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DA3D" w14:textId="77777777" w:rsidR="00CA708B" w:rsidRDefault="00000000">
      <w:pPr>
        <w:pStyle w:val="Nadpis10"/>
        <w:keepNext/>
        <w:keepLines/>
        <w:shd w:val="clear" w:color="auto" w:fill="auto"/>
        <w:spacing w:after="160"/>
        <w:jc w:val="center"/>
      </w:pPr>
      <w:bookmarkStart w:id="0" w:name="bookmark0"/>
      <w:r>
        <w:t>SMLOUVA č. 59/2025</w:t>
      </w:r>
      <w:bookmarkEnd w:id="0"/>
    </w:p>
    <w:p w14:paraId="6CEC194B" w14:textId="77777777" w:rsidR="00CA708B" w:rsidRDefault="00000000">
      <w:pPr>
        <w:pStyle w:val="Nadpis20"/>
        <w:keepNext/>
        <w:keepLines/>
        <w:shd w:val="clear" w:color="auto" w:fill="auto"/>
        <w:spacing w:after="360"/>
      </w:pPr>
      <w:bookmarkStart w:id="1" w:name="bookmark1"/>
      <w:r>
        <w:t>o množení osiv pro ekologické zemědělství ve sklizňovém roce 2025</w:t>
      </w:r>
      <w:bookmarkEnd w:id="1"/>
    </w:p>
    <w:p w14:paraId="389348DC" w14:textId="77777777" w:rsidR="00CA708B" w:rsidRDefault="00000000">
      <w:pPr>
        <w:pStyle w:val="Nadpis20"/>
        <w:keepNext/>
        <w:keepLines/>
        <w:pBdr>
          <w:bottom w:val="single" w:sz="4" w:space="0" w:color="auto"/>
        </w:pBdr>
        <w:shd w:val="clear" w:color="auto" w:fill="auto"/>
        <w:spacing w:after="580"/>
      </w:pPr>
      <w:bookmarkStart w:id="2" w:name="bookmark2"/>
      <w:r>
        <w:t>a o prodeji a koupi rozmnožených osiv</w:t>
      </w:r>
      <w:bookmarkEnd w:id="2"/>
    </w:p>
    <w:p w14:paraId="055EE815" w14:textId="77777777" w:rsidR="00CA708B" w:rsidRDefault="00000000">
      <w:pPr>
        <w:pStyle w:val="Zkladntext1"/>
        <w:shd w:val="clear" w:color="auto" w:fill="auto"/>
        <w:spacing w:after="0"/>
        <w:rPr>
          <w:sz w:val="22"/>
          <w:szCs w:val="22"/>
        </w:rPr>
      </w:pPr>
      <w:r>
        <w:rPr>
          <w:sz w:val="22"/>
          <w:szCs w:val="22"/>
        </w:rPr>
        <w:t>PRO-BIO, obchodní společnost s r.o.</w:t>
      </w:r>
    </w:p>
    <w:p w14:paraId="24FA1E09" w14:textId="77777777" w:rsidR="00CA708B" w:rsidRDefault="00000000">
      <w:pPr>
        <w:pStyle w:val="Zkladntext1"/>
        <w:shd w:val="clear" w:color="auto" w:fill="auto"/>
        <w:spacing w:after="0"/>
        <w:rPr>
          <w:sz w:val="22"/>
          <w:szCs w:val="22"/>
        </w:rPr>
      </w:pPr>
      <w:r>
        <w:rPr>
          <w:sz w:val="22"/>
          <w:szCs w:val="22"/>
        </w:rPr>
        <w:t>Lipová 40, 788 32 Staré Město</w:t>
      </w:r>
    </w:p>
    <w:p w14:paraId="2A5EFFC9" w14:textId="77777777" w:rsidR="00CA708B" w:rsidRDefault="00000000">
      <w:pPr>
        <w:pStyle w:val="Zkladntext1"/>
        <w:shd w:val="clear" w:color="auto" w:fill="auto"/>
        <w:spacing w:after="0"/>
        <w:rPr>
          <w:sz w:val="22"/>
          <w:szCs w:val="22"/>
        </w:rPr>
      </w:pPr>
      <w:r>
        <w:rPr>
          <w:sz w:val="22"/>
          <w:szCs w:val="22"/>
        </w:rPr>
        <w:t>jako</w:t>
      </w:r>
    </w:p>
    <w:p w14:paraId="1987848F" w14:textId="77777777" w:rsidR="00CA708B" w:rsidRDefault="00000000">
      <w:pPr>
        <w:pStyle w:val="Nadpis30"/>
        <w:keepNext/>
        <w:keepLines/>
        <w:shd w:val="clear" w:color="auto" w:fill="auto"/>
        <w:spacing w:after="0"/>
        <w:jc w:val="both"/>
      </w:pPr>
      <w:bookmarkStart w:id="3" w:name="bookmark3"/>
      <w:r>
        <w:t xml:space="preserve">odběratel a kupující </w:t>
      </w:r>
      <w:r>
        <w:rPr>
          <w:b w:val="0"/>
          <w:bCs w:val="0"/>
        </w:rPr>
        <w:t>(dále jen odběratel)</w:t>
      </w:r>
      <w:bookmarkEnd w:id="3"/>
    </w:p>
    <w:p w14:paraId="7EF520CF" w14:textId="5209A725" w:rsidR="00CA708B" w:rsidRDefault="00000000">
      <w:pPr>
        <w:pStyle w:val="Zkladntext1"/>
        <w:shd w:val="clear" w:color="auto" w:fill="auto"/>
        <w:spacing w:after="240"/>
        <w:rPr>
          <w:sz w:val="22"/>
          <w:szCs w:val="22"/>
        </w:rPr>
      </w:pPr>
      <w:r>
        <w:rPr>
          <w:sz w:val="22"/>
          <w:szCs w:val="22"/>
        </w:rPr>
        <w:t xml:space="preserve">zastoupený: </w:t>
      </w:r>
      <w:r w:rsidR="00C90AF5">
        <w:rPr>
          <w:sz w:val="22"/>
          <w:szCs w:val="22"/>
        </w:rPr>
        <w:t xml:space="preserve">                 </w:t>
      </w:r>
      <w:r>
        <w:rPr>
          <w:sz w:val="22"/>
          <w:szCs w:val="22"/>
        </w:rPr>
        <w:t xml:space="preserve"> - na základě plné moci</w:t>
      </w:r>
    </w:p>
    <w:p w14:paraId="1CF8B49D" w14:textId="77777777" w:rsidR="00CA708B" w:rsidRDefault="00000000">
      <w:pPr>
        <w:pStyle w:val="Zkladntext1"/>
        <w:shd w:val="clear" w:color="auto" w:fill="auto"/>
        <w:spacing w:after="0"/>
        <w:rPr>
          <w:sz w:val="22"/>
          <w:szCs w:val="22"/>
        </w:rPr>
      </w:pPr>
      <w:r>
        <w:rPr>
          <w:sz w:val="22"/>
          <w:szCs w:val="22"/>
        </w:rPr>
        <w:t>IČ: 465 81 863</w:t>
      </w:r>
    </w:p>
    <w:p w14:paraId="0C35B7FD" w14:textId="77777777" w:rsidR="00CA708B" w:rsidRDefault="00000000">
      <w:pPr>
        <w:pStyle w:val="Zkladntext1"/>
        <w:shd w:val="clear" w:color="auto" w:fill="auto"/>
        <w:spacing w:after="0"/>
        <w:rPr>
          <w:sz w:val="22"/>
          <w:szCs w:val="22"/>
        </w:rPr>
      </w:pPr>
      <w:r>
        <w:rPr>
          <w:sz w:val="22"/>
          <w:szCs w:val="22"/>
        </w:rPr>
        <w:t>DIČ: CZ46581863</w:t>
      </w:r>
    </w:p>
    <w:p w14:paraId="03E02D4B" w14:textId="77777777" w:rsidR="00CA708B" w:rsidRDefault="00000000">
      <w:pPr>
        <w:pStyle w:val="Zkladntext1"/>
        <w:shd w:val="clear" w:color="auto" w:fill="auto"/>
        <w:spacing w:after="0"/>
        <w:rPr>
          <w:sz w:val="22"/>
          <w:szCs w:val="22"/>
        </w:rPr>
      </w:pPr>
      <w:r>
        <w:rPr>
          <w:sz w:val="22"/>
          <w:szCs w:val="22"/>
        </w:rPr>
        <w:t>bankovní spojení: Komerční banka, a.s., 107-6245880277/0100</w:t>
      </w:r>
    </w:p>
    <w:p w14:paraId="4A365B8E" w14:textId="77777777" w:rsidR="00CA708B" w:rsidRDefault="00000000">
      <w:pPr>
        <w:pStyle w:val="Zkladntext1"/>
        <w:shd w:val="clear" w:color="auto" w:fill="auto"/>
        <w:spacing w:after="800"/>
        <w:rPr>
          <w:sz w:val="22"/>
          <w:szCs w:val="22"/>
        </w:rPr>
      </w:pPr>
      <w:r>
        <w:rPr>
          <w:sz w:val="22"/>
          <w:szCs w:val="22"/>
        </w:rPr>
        <w:t>zapsaný v obchodním rejstříku, vedeného Krajským soudem v Ostravě, oddíl C, vložka 3668</w:t>
      </w:r>
    </w:p>
    <w:p w14:paraId="2263311A" w14:textId="77777777" w:rsidR="00CA708B" w:rsidRDefault="00000000">
      <w:pPr>
        <w:pStyle w:val="Zkladntext1"/>
        <w:shd w:val="clear" w:color="auto" w:fill="auto"/>
        <w:spacing w:after="0"/>
        <w:rPr>
          <w:sz w:val="22"/>
          <w:szCs w:val="22"/>
        </w:rPr>
      </w:pPr>
      <w:r>
        <w:rPr>
          <w:sz w:val="22"/>
          <w:szCs w:val="22"/>
        </w:rPr>
        <w:t xml:space="preserve">Národní centrum zemědělského a potravinářského výzkumu, </w:t>
      </w:r>
      <w:proofErr w:type="spellStart"/>
      <w:r>
        <w:rPr>
          <w:sz w:val="22"/>
          <w:szCs w:val="22"/>
        </w:rPr>
        <w:t>v.v.i</w:t>
      </w:r>
      <w:proofErr w:type="spellEnd"/>
      <w:r>
        <w:rPr>
          <w:sz w:val="22"/>
          <w:szCs w:val="22"/>
        </w:rPr>
        <w:t>.</w:t>
      </w:r>
    </w:p>
    <w:p w14:paraId="525F761B" w14:textId="35160043" w:rsidR="00CA708B" w:rsidRDefault="00000000">
      <w:pPr>
        <w:pStyle w:val="Zkladntext1"/>
        <w:shd w:val="clear" w:color="auto" w:fill="auto"/>
        <w:spacing w:after="0"/>
        <w:rPr>
          <w:sz w:val="22"/>
          <w:szCs w:val="22"/>
        </w:rPr>
      </w:pPr>
      <w:r>
        <w:rPr>
          <w:sz w:val="22"/>
          <w:szCs w:val="22"/>
        </w:rPr>
        <w:t>D</w:t>
      </w:r>
      <w:r w:rsidR="000F248A">
        <w:rPr>
          <w:sz w:val="22"/>
          <w:szCs w:val="22"/>
        </w:rPr>
        <w:t>rn</w:t>
      </w:r>
      <w:r>
        <w:rPr>
          <w:sz w:val="22"/>
          <w:szCs w:val="22"/>
        </w:rPr>
        <w:t>ovská 507, 161 00 Praha 6 - Ruzyně</w:t>
      </w:r>
    </w:p>
    <w:p w14:paraId="3342C479" w14:textId="77777777" w:rsidR="00CA708B" w:rsidRDefault="00000000">
      <w:pPr>
        <w:pStyle w:val="Zkladntext1"/>
        <w:shd w:val="clear" w:color="auto" w:fill="auto"/>
        <w:spacing w:after="0"/>
      </w:pPr>
      <w:r>
        <w:t>jako</w:t>
      </w:r>
    </w:p>
    <w:p w14:paraId="2378278E" w14:textId="77777777" w:rsidR="00CA708B" w:rsidRDefault="00000000">
      <w:pPr>
        <w:pStyle w:val="Nadpis30"/>
        <w:keepNext/>
        <w:keepLines/>
        <w:shd w:val="clear" w:color="auto" w:fill="auto"/>
        <w:spacing w:after="0"/>
        <w:jc w:val="both"/>
      </w:pPr>
      <w:bookmarkStart w:id="4" w:name="bookmark4"/>
      <w:r>
        <w:t xml:space="preserve">dodavatel a prodávající </w:t>
      </w:r>
      <w:r>
        <w:rPr>
          <w:b w:val="0"/>
          <w:bCs w:val="0"/>
        </w:rPr>
        <w:t>(dále jen dodavatel)</w:t>
      </w:r>
      <w:bookmarkEnd w:id="4"/>
    </w:p>
    <w:p w14:paraId="53924502" w14:textId="77777777" w:rsidR="00CA708B" w:rsidRDefault="00000000">
      <w:pPr>
        <w:pStyle w:val="Zkladntext1"/>
        <w:shd w:val="clear" w:color="auto" w:fill="auto"/>
        <w:spacing w:after="240"/>
        <w:rPr>
          <w:sz w:val="22"/>
          <w:szCs w:val="22"/>
        </w:rPr>
      </w:pPr>
      <w:r>
        <w:rPr>
          <w:sz w:val="22"/>
          <w:szCs w:val="22"/>
        </w:rPr>
        <w:t xml:space="preserve">zastoupená: RNDR. Mikulášem </w:t>
      </w:r>
      <w:proofErr w:type="spellStart"/>
      <w:r>
        <w:rPr>
          <w:sz w:val="22"/>
          <w:szCs w:val="22"/>
        </w:rPr>
        <w:t>Madarasem</w:t>
      </w:r>
      <w:proofErr w:type="spellEnd"/>
      <w:r>
        <w:rPr>
          <w:sz w:val="22"/>
          <w:szCs w:val="22"/>
        </w:rPr>
        <w:t>, Ph.D. ředitel společnosti</w:t>
      </w:r>
    </w:p>
    <w:p w14:paraId="2D6E3013" w14:textId="77777777" w:rsidR="00CA708B" w:rsidRDefault="00000000">
      <w:pPr>
        <w:pStyle w:val="Zkladntext1"/>
        <w:shd w:val="clear" w:color="auto" w:fill="auto"/>
        <w:spacing w:after="0"/>
        <w:rPr>
          <w:sz w:val="22"/>
          <w:szCs w:val="22"/>
        </w:rPr>
      </w:pPr>
      <w:r>
        <w:rPr>
          <w:sz w:val="22"/>
          <w:szCs w:val="22"/>
        </w:rPr>
        <w:t>IČ: 00027006</w:t>
      </w:r>
    </w:p>
    <w:p w14:paraId="77371447" w14:textId="77777777" w:rsidR="00CA708B" w:rsidRDefault="00000000">
      <w:pPr>
        <w:pStyle w:val="Zkladntext1"/>
        <w:shd w:val="clear" w:color="auto" w:fill="auto"/>
        <w:spacing w:after="780"/>
        <w:rPr>
          <w:sz w:val="22"/>
          <w:szCs w:val="22"/>
        </w:rPr>
      </w:pPr>
      <w:r>
        <w:rPr>
          <w:sz w:val="22"/>
          <w:szCs w:val="22"/>
        </w:rPr>
        <w:t>DIČ: CZ000227006</w:t>
      </w:r>
    </w:p>
    <w:p w14:paraId="1711DDA8" w14:textId="77777777" w:rsidR="00CA708B" w:rsidRDefault="00000000">
      <w:pPr>
        <w:pStyle w:val="Zkladntext1"/>
        <w:shd w:val="clear" w:color="auto" w:fill="auto"/>
        <w:spacing w:after="0"/>
      </w:pPr>
      <w:r>
        <w:t>Uzavřeli následující smluvní ujednání o prodeji rozmnožovacích materiálů, jejich rozmnožení a zpětném prodeji takto rozmnožených osiv.</w:t>
      </w:r>
    </w:p>
    <w:p w14:paraId="2371453C" w14:textId="77777777" w:rsidR="00CA708B" w:rsidRDefault="00000000">
      <w:pPr>
        <w:pStyle w:val="Nadpis40"/>
        <w:keepNext/>
        <w:keepLines/>
        <w:shd w:val="clear" w:color="auto" w:fill="auto"/>
        <w:spacing w:after="0"/>
        <w:ind w:left="5040"/>
        <w:jc w:val="left"/>
      </w:pPr>
      <w:bookmarkStart w:id="5" w:name="bookmark5"/>
      <w:r>
        <w:t>I.</w:t>
      </w:r>
      <w:bookmarkEnd w:id="5"/>
    </w:p>
    <w:p w14:paraId="4B79C20C" w14:textId="77777777" w:rsidR="00CA708B" w:rsidRDefault="00000000">
      <w:pPr>
        <w:pStyle w:val="Nadpis40"/>
        <w:keepNext/>
        <w:keepLines/>
        <w:shd w:val="clear" w:color="auto" w:fill="auto"/>
        <w:spacing w:after="220"/>
      </w:pPr>
      <w:bookmarkStart w:id="6" w:name="bookmark6"/>
      <w:r>
        <w:t>Závazky odběratele</w:t>
      </w:r>
      <w:bookmarkEnd w:id="6"/>
    </w:p>
    <w:p w14:paraId="1916297E" w14:textId="77777777" w:rsidR="00CA708B" w:rsidRDefault="00000000">
      <w:pPr>
        <w:pStyle w:val="Zkladntext1"/>
        <w:numPr>
          <w:ilvl w:val="0"/>
          <w:numId w:val="1"/>
        </w:numPr>
        <w:shd w:val="clear" w:color="auto" w:fill="auto"/>
        <w:tabs>
          <w:tab w:val="left" w:pos="330"/>
        </w:tabs>
        <w:spacing w:after="240"/>
      </w:pPr>
      <w:r>
        <w:t>Odprodat dodavateli smluvně dohodnuté rozmnožovací materiály - osiva příslušné odrůdy a stupně množení v množství potřebném pro založení množitelských ploch, které jsou vhodné pro použití v ekologickém zemědělství.</w:t>
      </w:r>
    </w:p>
    <w:p w14:paraId="0242862B" w14:textId="77777777" w:rsidR="00CA708B" w:rsidRDefault="00000000">
      <w:pPr>
        <w:pStyle w:val="Zkladntext1"/>
        <w:numPr>
          <w:ilvl w:val="0"/>
          <w:numId w:val="1"/>
        </w:numPr>
        <w:shd w:val="clear" w:color="auto" w:fill="auto"/>
        <w:tabs>
          <w:tab w:val="left" w:pos="334"/>
        </w:tabs>
        <w:spacing w:after="240"/>
      </w:pPr>
      <w:r>
        <w:t>Přihlásit k uznávacímu řízení za spolupráce dodavatele množitelské porosty vyhovující podmínkám příslušných technických a právních předpisů.</w:t>
      </w:r>
    </w:p>
    <w:p w14:paraId="4D21C65C" w14:textId="77777777" w:rsidR="00CA708B" w:rsidRDefault="00000000">
      <w:pPr>
        <w:pStyle w:val="Zkladntext1"/>
        <w:numPr>
          <w:ilvl w:val="0"/>
          <w:numId w:val="1"/>
        </w:numPr>
        <w:shd w:val="clear" w:color="auto" w:fill="auto"/>
        <w:tabs>
          <w:tab w:val="left" w:pos="334"/>
        </w:tabs>
        <w:spacing w:after="240"/>
      </w:pPr>
      <w:r>
        <w:t>Odebrat od dodavatele veškerou vyrobenou produkci z množitelských ploch a to pouze v případě, nedošlo-li k zamítnutí porostu či osiva.</w:t>
      </w:r>
    </w:p>
    <w:p w14:paraId="23C38DBE" w14:textId="77777777" w:rsidR="00CA708B" w:rsidRDefault="00000000">
      <w:pPr>
        <w:pStyle w:val="Zkladntext1"/>
        <w:numPr>
          <w:ilvl w:val="0"/>
          <w:numId w:val="1"/>
        </w:numPr>
        <w:shd w:val="clear" w:color="auto" w:fill="auto"/>
        <w:tabs>
          <w:tab w:val="left" w:pos="354"/>
        </w:tabs>
        <w:spacing w:after="240"/>
      </w:pPr>
      <w:r>
        <w:t>Uhradit náklady spojené s uznávacím řízením a s dopravou na čistící zařízení a náklady na čištění, pokud není dojednáno jinak.</w:t>
      </w:r>
    </w:p>
    <w:p w14:paraId="20218618" w14:textId="77777777" w:rsidR="00CA708B" w:rsidRDefault="00000000">
      <w:pPr>
        <w:pStyle w:val="Zkladntext1"/>
        <w:numPr>
          <w:ilvl w:val="0"/>
          <w:numId w:val="1"/>
        </w:numPr>
        <w:shd w:val="clear" w:color="auto" w:fill="auto"/>
        <w:tabs>
          <w:tab w:val="left" w:pos="334"/>
        </w:tabs>
        <w:spacing w:after="240"/>
      </w:pPr>
      <w:r>
        <w:t>Zaplatit dodavateli cenu za odebranou produkci z množitelských ploch v souladu s cenovými ujednáními této smlouvy.</w:t>
      </w:r>
    </w:p>
    <w:p w14:paraId="412218EA" w14:textId="77777777" w:rsidR="00CA708B" w:rsidRDefault="00000000">
      <w:pPr>
        <w:pStyle w:val="Nadpis40"/>
        <w:keepNext/>
        <w:keepLines/>
        <w:shd w:val="clear" w:color="auto" w:fill="auto"/>
        <w:spacing w:after="0"/>
        <w:ind w:left="5040"/>
        <w:jc w:val="left"/>
      </w:pPr>
      <w:bookmarkStart w:id="7" w:name="bookmark7"/>
      <w:r>
        <w:t>II.</w:t>
      </w:r>
      <w:bookmarkEnd w:id="7"/>
    </w:p>
    <w:p w14:paraId="5422ACD0" w14:textId="77777777" w:rsidR="00CA708B" w:rsidRDefault="00000000">
      <w:pPr>
        <w:pStyle w:val="Nadpis40"/>
        <w:keepNext/>
        <w:keepLines/>
        <w:shd w:val="clear" w:color="auto" w:fill="auto"/>
        <w:spacing w:after="240"/>
      </w:pPr>
      <w:bookmarkStart w:id="8" w:name="bookmark8"/>
      <w:r>
        <w:t>Závazky dodavatele</w:t>
      </w:r>
      <w:bookmarkEnd w:id="8"/>
    </w:p>
    <w:p w14:paraId="514C7F4E" w14:textId="77777777" w:rsidR="00CA708B" w:rsidRDefault="00000000">
      <w:pPr>
        <w:pStyle w:val="Zkladntext1"/>
        <w:numPr>
          <w:ilvl w:val="0"/>
          <w:numId w:val="2"/>
        </w:numPr>
        <w:shd w:val="clear" w:color="auto" w:fill="auto"/>
        <w:tabs>
          <w:tab w:val="left" w:pos="334"/>
        </w:tabs>
        <w:spacing w:after="240"/>
      </w:pPr>
      <w:r>
        <w:t>Mít platnou registraci pro pěstování rostlin v ekologickém zemědělství tak, aby na veškerou produkci bylo vydáno osvědčení o původu pověřenou právnickou osobou dle § 29 zákona č. 242/2000 Sb., o ekologickém zemědělství. Ke každé dodávce osiv předložit osvědčení o původu bioproduktu (bio certifikát) a dodací list s přesnou specifikací (plodina a statut BIO/PO), hmotností a číslem kontrolní organizace.</w:t>
      </w:r>
    </w:p>
    <w:p w14:paraId="44B927ED" w14:textId="77777777" w:rsidR="000F248A" w:rsidRDefault="000F248A" w:rsidP="000F248A">
      <w:pPr>
        <w:pStyle w:val="Zkladntext1"/>
        <w:shd w:val="clear" w:color="auto" w:fill="auto"/>
        <w:tabs>
          <w:tab w:val="left" w:pos="334"/>
        </w:tabs>
        <w:spacing w:after="240"/>
      </w:pPr>
    </w:p>
    <w:p w14:paraId="7EBCA1B5" w14:textId="77777777" w:rsidR="00CA708B" w:rsidRDefault="00000000">
      <w:pPr>
        <w:pStyle w:val="Zkladntext1"/>
        <w:numPr>
          <w:ilvl w:val="0"/>
          <w:numId w:val="2"/>
        </w:numPr>
        <w:shd w:val="clear" w:color="auto" w:fill="auto"/>
        <w:tabs>
          <w:tab w:val="left" w:pos="279"/>
        </w:tabs>
      </w:pPr>
      <w:r>
        <w:lastRenderedPageBreak/>
        <w:t>Zakoupit od odběratele rozmnožovací materiály na smlouvou sjednané množitelské plochy a zaplatit za ně sjednanou cenu, pokud není dojednáno jinak.</w:t>
      </w:r>
    </w:p>
    <w:p w14:paraId="25949CCF" w14:textId="77777777" w:rsidR="00CA708B" w:rsidRDefault="00000000">
      <w:pPr>
        <w:pStyle w:val="Zkladntext1"/>
        <w:numPr>
          <w:ilvl w:val="0"/>
          <w:numId w:val="2"/>
        </w:numPr>
        <w:shd w:val="clear" w:color="auto" w:fill="auto"/>
        <w:tabs>
          <w:tab w:val="left" w:pos="279"/>
        </w:tabs>
      </w:pPr>
      <w:r>
        <w:t>Založit předmětné množitelské porosty na pozemcích vhodných pro výrobu osiv a sadby podle Nařízení Rady (ES) č. 834/2007 o ekologickém zemědělství. Nařízení Komise (ES) č. 889/2008 a zákona 242/2000 Sb. a jeho prováděcích předpisů v platném znění.</w:t>
      </w:r>
    </w:p>
    <w:p w14:paraId="51507502" w14:textId="77777777" w:rsidR="00CA708B" w:rsidRDefault="00000000">
      <w:pPr>
        <w:pStyle w:val="Zkladntext1"/>
        <w:numPr>
          <w:ilvl w:val="0"/>
          <w:numId w:val="2"/>
        </w:numPr>
        <w:shd w:val="clear" w:color="auto" w:fill="auto"/>
        <w:tabs>
          <w:tab w:val="left" w:pos="279"/>
        </w:tabs>
        <w:spacing w:line="259" w:lineRule="auto"/>
      </w:pPr>
      <w:r>
        <w:t>Bez předchozího souhlasu odběratele nezrušit smluvně založené množitelské porosty, ani použít produkci z nich k jinému účelu a zdržet se všech pěstitelských zásahů, které by mohly negativně ovlivnit kvalitu množitelských porostů (přísevy apod.).</w:t>
      </w:r>
    </w:p>
    <w:p w14:paraId="16A5B654" w14:textId="77777777" w:rsidR="00CA708B" w:rsidRDefault="00000000">
      <w:pPr>
        <w:pStyle w:val="Zkladntext1"/>
        <w:numPr>
          <w:ilvl w:val="0"/>
          <w:numId w:val="2"/>
        </w:numPr>
        <w:shd w:val="clear" w:color="auto" w:fill="auto"/>
        <w:tabs>
          <w:tab w:val="left" w:pos="289"/>
        </w:tabs>
        <w:spacing w:after="460"/>
      </w:pPr>
      <w:r>
        <w:t>Vyrobit a dodat odběrateli veškeré přírodní osivo ze smluvně založených množitelských ploch v druzích a odrůdách dle časových termínů uvedených v příloze č. 1 této smlouvy. V případě rozšíření této smlouvy i na osivo, které není uvedeno v Příloze č. 1 této smlouvy, podepíší strany vždy novou přílohu ke smlouvě, ve které definují konkrétní parametry daného osiva. Tyto nové přílohy smlouvy budou vždy vzestupně číslovány a budou tvořit součást této smlouvy.</w:t>
      </w:r>
    </w:p>
    <w:p w14:paraId="6E507DDE" w14:textId="77777777" w:rsidR="00CA708B" w:rsidRDefault="00000000">
      <w:pPr>
        <w:pStyle w:val="Zkladntext1"/>
        <w:numPr>
          <w:ilvl w:val="0"/>
          <w:numId w:val="2"/>
        </w:numPr>
        <w:shd w:val="clear" w:color="auto" w:fill="auto"/>
        <w:tabs>
          <w:tab w:val="left" w:pos="274"/>
        </w:tabs>
        <w:spacing w:line="252" w:lineRule="auto"/>
      </w:pPr>
      <w:r>
        <w:t>Při výrobě osiv se řídit platnými technickými a právními předpisy, druhovými a odrůdovými agrotechnikami a pokyny odběratele jako přihlašovatele předmětných množitelských porostů a rozmnožovacího materiálu k uznávacímu řízení a držitele sublicence. Umožnit odběrateli, v jeho doprovodu též poskytovateli licence, vstup na pozemky, kontrolu stavu množitelských porostů, přístup k výrobní dokumentaci a též kontrolu uskladnění rozmnožovacích materiálů.</w:t>
      </w:r>
    </w:p>
    <w:p w14:paraId="20F9A72F" w14:textId="77777777" w:rsidR="00CA708B" w:rsidRDefault="00000000">
      <w:pPr>
        <w:pStyle w:val="Zkladntext1"/>
        <w:numPr>
          <w:ilvl w:val="0"/>
          <w:numId w:val="2"/>
        </w:numPr>
        <w:shd w:val="clear" w:color="auto" w:fill="auto"/>
        <w:tabs>
          <w:tab w:val="left" w:pos="279"/>
        </w:tabs>
      </w:pPr>
      <w:r>
        <w:t>V případě živelné pohromy, či jiné neodvratitelné události ohrožující kvalitu a předpokládaný výnos množitelského porostu, neprodleně uvědomit odběratele a další zásahy provádět po předchozí dohodě s ním.</w:t>
      </w:r>
    </w:p>
    <w:p w14:paraId="248F8187" w14:textId="77777777" w:rsidR="00CA708B" w:rsidRDefault="00000000">
      <w:pPr>
        <w:pStyle w:val="Zkladntext1"/>
        <w:numPr>
          <w:ilvl w:val="0"/>
          <w:numId w:val="2"/>
        </w:numPr>
        <w:shd w:val="clear" w:color="auto" w:fill="auto"/>
        <w:tabs>
          <w:tab w:val="left" w:pos="279"/>
        </w:tabs>
      </w:pPr>
      <w:r>
        <w:t>Sklizené přírodní osivo ihned po sklizni řádně ošetřit, tj. zajistit úpravu vlhkosti (dosoušení na roštech, aktivní provzdušňování apod.) dle dispozic odběratele a zásadně odděleně uskladnit ve vyhovujících skladech do doby, než bude po vzájemné dohodě zajištěna přeprava osiva ke konečné úpravě.</w:t>
      </w:r>
    </w:p>
    <w:p w14:paraId="3068EE83" w14:textId="77777777" w:rsidR="00CA708B" w:rsidRDefault="00000000">
      <w:pPr>
        <w:pStyle w:val="Zkladntext1"/>
        <w:numPr>
          <w:ilvl w:val="0"/>
          <w:numId w:val="2"/>
        </w:numPr>
        <w:shd w:val="clear" w:color="auto" w:fill="auto"/>
        <w:tabs>
          <w:tab w:val="left" w:pos="279"/>
        </w:tabs>
      </w:pPr>
      <w:r>
        <w:t>Podle časových dispozic odběratele realizovat dodávky přírodního osiva na čistící zařízení, pokud není dohodnuto jinak.</w:t>
      </w:r>
    </w:p>
    <w:p w14:paraId="4492E298" w14:textId="77777777" w:rsidR="00CA708B" w:rsidRDefault="00000000">
      <w:pPr>
        <w:pStyle w:val="Zkladntext1"/>
        <w:numPr>
          <w:ilvl w:val="0"/>
          <w:numId w:val="2"/>
        </w:numPr>
        <w:shd w:val="clear" w:color="auto" w:fill="auto"/>
        <w:tabs>
          <w:tab w:val="left" w:pos="351"/>
        </w:tabs>
      </w:pPr>
      <w:r>
        <w:t>Uhradit nakládku a převzít zodpovědnost za případné znečištění při nakládce.</w:t>
      </w:r>
    </w:p>
    <w:p w14:paraId="520BB43D" w14:textId="77777777" w:rsidR="00CA708B" w:rsidRDefault="00000000">
      <w:pPr>
        <w:pStyle w:val="Zkladntext1"/>
        <w:numPr>
          <w:ilvl w:val="0"/>
          <w:numId w:val="2"/>
        </w:numPr>
        <w:shd w:val="clear" w:color="auto" w:fill="auto"/>
        <w:tabs>
          <w:tab w:val="left" w:pos="380"/>
        </w:tabs>
      </w:pPr>
      <w:r>
        <w:t>Veškerou produkci ze smluvních množitelských ploch realizovat pouze prostřednictvím smluvního odběratele a tím zamezit možnostem jejího jakéhokoli neoprávněného užití k dalšímu rozmnožování.</w:t>
      </w:r>
    </w:p>
    <w:p w14:paraId="260E6BE4" w14:textId="77777777" w:rsidR="00CA708B" w:rsidRDefault="00000000">
      <w:pPr>
        <w:pStyle w:val="Nadpis40"/>
        <w:keepNext/>
        <w:keepLines/>
        <w:shd w:val="clear" w:color="auto" w:fill="auto"/>
        <w:spacing w:after="0"/>
      </w:pPr>
      <w:bookmarkStart w:id="9" w:name="bookmark9"/>
      <w:r>
        <w:t>III.</w:t>
      </w:r>
      <w:bookmarkEnd w:id="9"/>
    </w:p>
    <w:p w14:paraId="124DDA9B" w14:textId="77777777" w:rsidR="00CA708B" w:rsidRDefault="00000000">
      <w:pPr>
        <w:pStyle w:val="Nadpis40"/>
        <w:keepNext/>
        <w:keepLines/>
        <w:shd w:val="clear" w:color="auto" w:fill="auto"/>
        <w:spacing w:after="220"/>
      </w:pPr>
      <w:bookmarkStart w:id="10" w:name="bookmark10"/>
      <w:r>
        <w:t>Cenová ujednání</w:t>
      </w:r>
      <w:bookmarkEnd w:id="10"/>
    </w:p>
    <w:p w14:paraId="4FC81871" w14:textId="77777777" w:rsidR="00CA708B" w:rsidRDefault="00000000">
      <w:pPr>
        <w:pStyle w:val="Zkladntext1"/>
        <w:shd w:val="clear" w:color="auto" w:fill="auto"/>
      </w:pPr>
      <w:r>
        <w:t>Vzhledem k časovému předstihu uzavření této smlouvy před termínem vlastního prodeje a koupě smluvně rozmnoženého osiva, smluvní strany přijímají a zavazují se vzájemně plnit následující cenová ujednání:</w:t>
      </w:r>
    </w:p>
    <w:p w14:paraId="4A5E805D" w14:textId="77777777" w:rsidR="00CA708B" w:rsidRDefault="00000000">
      <w:pPr>
        <w:pStyle w:val="Zkladntext1"/>
        <w:numPr>
          <w:ilvl w:val="0"/>
          <w:numId w:val="3"/>
        </w:numPr>
        <w:shd w:val="clear" w:color="auto" w:fill="auto"/>
        <w:tabs>
          <w:tab w:val="left" w:pos="298"/>
        </w:tabs>
        <w:spacing w:after="0"/>
      </w:pPr>
      <w:r>
        <w:t>Za odebranou produkci z množitelských ploch se odběratel zavazuje zaplatit smluvní cenu, která bude stanovena pro jednotlivé dílčí dodávky dle následujících podmínek:</w:t>
      </w:r>
    </w:p>
    <w:p w14:paraId="266F5D68" w14:textId="77777777" w:rsidR="00CA708B" w:rsidRDefault="00000000">
      <w:pPr>
        <w:pStyle w:val="Zkladntext1"/>
        <w:numPr>
          <w:ilvl w:val="0"/>
          <w:numId w:val="4"/>
        </w:numPr>
        <w:shd w:val="clear" w:color="auto" w:fill="auto"/>
        <w:tabs>
          <w:tab w:val="left" w:pos="289"/>
        </w:tabs>
        <w:spacing w:after="0"/>
      </w:pPr>
      <w:r>
        <w:t xml:space="preserve">za jednotku množství produkce, která bude realizována dalšímu odběrateli jako uznaný rozmnožovací materiál ve stupni SE, E, zaplatí odběratel aktuální tržní cenu pro </w:t>
      </w:r>
      <w:proofErr w:type="spellStart"/>
      <w:r>
        <w:t>merkantilni</w:t>
      </w:r>
      <w:proofErr w:type="spellEnd"/>
      <w:r>
        <w:t xml:space="preserve"> zboží ekologického původu s 15 % příplatkem.</w:t>
      </w:r>
    </w:p>
    <w:p w14:paraId="195F2EA8" w14:textId="77777777" w:rsidR="00CA708B" w:rsidRDefault="00000000">
      <w:pPr>
        <w:pStyle w:val="Zkladntext1"/>
        <w:numPr>
          <w:ilvl w:val="0"/>
          <w:numId w:val="4"/>
        </w:numPr>
        <w:shd w:val="clear" w:color="auto" w:fill="auto"/>
        <w:tabs>
          <w:tab w:val="left" w:pos="303"/>
        </w:tabs>
      </w:pPr>
      <w:r>
        <w:t xml:space="preserve">za jednotku množství produkce, která bude realizována dalšímu odběrateli jako uznaný rozmnožovací materiál ve stupni Cl, C2, zaplatí odběratel aktuální tržní cenu pro </w:t>
      </w:r>
      <w:proofErr w:type="spellStart"/>
      <w:r>
        <w:t>merkantilni</w:t>
      </w:r>
      <w:proofErr w:type="spellEnd"/>
      <w:r>
        <w:t xml:space="preserve"> zboží ekologického původu s 10 % příplatkem.</w:t>
      </w:r>
    </w:p>
    <w:p w14:paraId="738DAEA2" w14:textId="77777777" w:rsidR="00CA708B" w:rsidRDefault="00000000">
      <w:pPr>
        <w:pStyle w:val="Zkladntext1"/>
        <w:numPr>
          <w:ilvl w:val="0"/>
          <w:numId w:val="3"/>
        </w:numPr>
        <w:shd w:val="clear" w:color="auto" w:fill="auto"/>
        <w:tabs>
          <w:tab w:val="left" w:pos="279"/>
        </w:tabs>
      </w:pPr>
      <w:r>
        <w:t>Ceny sjednané podle ujednání bodu 1., tohoto článku jsou cenami zaručenými a stanou se závaznými, nedojde-li mezi dodavatelem a odběratelem k další cenové dohodě vztahující se k jednotlivé dílčí dodávce.</w:t>
      </w:r>
    </w:p>
    <w:p w14:paraId="1D716142" w14:textId="77777777" w:rsidR="00CA708B" w:rsidRDefault="00000000">
      <w:pPr>
        <w:pStyle w:val="Zkladntext1"/>
        <w:numPr>
          <w:ilvl w:val="0"/>
          <w:numId w:val="3"/>
        </w:numPr>
        <w:shd w:val="clear" w:color="auto" w:fill="auto"/>
        <w:tabs>
          <w:tab w:val="left" w:pos="284"/>
        </w:tabs>
      </w:pPr>
      <w:r>
        <w:t>Podle konkrétních podmínek časového vývoje nabídky a poptávky se při každé jednotlivé dodávce mohou smluvní strany dohodnout na jiné cenové relaci platné pro danou konkrétní dodávku. Pro sjednání této odchylné cenové relace je dostačující i ústní dohoda pověřených zástupců smluvních stran.</w:t>
      </w:r>
    </w:p>
    <w:p w14:paraId="21ACE3BD" w14:textId="77777777" w:rsidR="00CA708B" w:rsidRDefault="00000000">
      <w:pPr>
        <w:pStyle w:val="Zkladntext1"/>
        <w:numPr>
          <w:ilvl w:val="0"/>
          <w:numId w:val="3"/>
        </w:numPr>
        <w:shd w:val="clear" w:color="auto" w:fill="auto"/>
        <w:tabs>
          <w:tab w:val="left" w:pos="279"/>
        </w:tabs>
      </w:pPr>
      <w:r>
        <w:t>Cenové relace jsou sjednávány za jednotku množství při dodání ze skladu dodavatele. K těmto cenám bude účtována DPH dle platných právních předpisů.</w:t>
      </w:r>
      <w:r>
        <w:br w:type="page"/>
      </w:r>
    </w:p>
    <w:p w14:paraId="00A99D6F" w14:textId="751FF2CF" w:rsidR="00CA708B" w:rsidRDefault="000F248A">
      <w:pPr>
        <w:pStyle w:val="Zkladntext1"/>
        <w:shd w:val="clear" w:color="auto" w:fill="auto"/>
        <w:spacing w:after="240"/>
      </w:pPr>
      <w:r>
        <w:rPr>
          <w:i/>
          <w:iCs/>
        </w:rPr>
        <w:lastRenderedPageBreak/>
        <w:t>5</w:t>
      </w:r>
      <w:r w:rsidR="00000000">
        <w:rPr>
          <w:i/>
          <w:iCs/>
        </w:rPr>
        <w:t>.</w:t>
      </w:r>
      <w:r w:rsidR="00000000">
        <w:t xml:space="preserve"> Platby za odebrané rozmnožovací materiály jsou odběratelem splatné na základě daňového dokladu vystaveného dodavatelem se lhůtou splatnosti do 30 dnů. Dodavatel je oprávněn vystavit daňový doklad pro realizaci každé jednotlivé dodávky, u uznaných osiv ne však dříve než je vydáno platné rozhodnutí o uznání příslušného rozmnožovacího materiálu.</w:t>
      </w:r>
    </w:p>
    <w:p w14:paraId="060961A7" w14:textId="77777777" w:rsidR="00CA708B" w:rsidRDefault="00000000">
      <w:pPr>
        <w:pStyle w:val="Nadpis40"/>
        <w:keepNext/>
        <w:keepLines/>
        <w:shd w:val="clear" w:color="auto" w:fill="auto"/>
        <w:spacing w:after="0"/>
      </w:pPr>
      <w:bookmarkStart w:id="11" w:name="bookmark11"/>
      <w:r>
        <w:t>IV.</w:t>
      </w:r>
      <w:bookmarkEnd w:id="11"/>
    </w:p>
    <w:p w14:paraId="30F3EB3C" w14:textId="77777777" w:rsidR="00CA708B" w:rsidRDefault="00000000">
      <w:pPr>
        <w:pStyle w:val="Nadpis40"/>
        <w:keepNext/>
        <w:keepLines/>
        <w:shd w:val="clear" w:color="auto" w:fill="auto"/>
        <w:spacing w:after="240"/>
      </w:pPr>
      <w:bookmarkStart w:id="12" w:name="bookmark12"/>
      <w:r>
        <w:t>Závěrečná ujednání</w:t>
      </w:r>
      <w:bookmarkEnd w:id="12"/>
    </w:p>
    <w:p w14:paraId="1894182D" w14:textId="77777777" w:rsidR="00CA708B" w:rsidRDefault="00000000">
      <w:pPr>
        <w:pStyle w:val="Zkladntext1"/>
        <w:numPr>
          <w:ilvl w:val="0"/>
          <w:numId w:val="5"/>
        </w:numPr>
        <w:shd w:val="clear" w:color="auto" w:fill="auto"/>
        <w:tabs>
          <w:tab w:val="left" w:pos="283"/>
        </w:tabs>
        <w:spacing w:after="240"/>
        <w:jc w:val="left"/>
      </w:pPr>
      <w:r>
        <w:t>Dodavatel odpovídá odběrateli za dodržení kvality' dodaného přírodního osiva, poskytuje též záruku za odrůdovou pravost rozmnožovacího materiálu.</w:t>
      </w:r>
    </w:p>
    <w:p w14:paraId="04703375" w14:textId="77777777" w:rsidR="00CA708B" w:rsidRDefault="00000000">
      <w:pPr>
        <w:pStyle w:val="Zkladntext1"/>
        <w:numPr>
          <w:ilvl w:val="0"/>
          <w:numId w:val="5"/>
        </w:numPr>
        <w:shd w:val="clear" w:color="auto" w:fill="auto"/>
        <w:tabs>
          <w:tab w:val="left" w:pos="287"/>
        </w:tabs>
        <w:spacing w:after="240"/>
      </w:pPr>
      <w:r>
        <w:t>Smluvní strany shledávají, že za podstatné porušení této smlouvy se považuje nedodržení jakostních parametrů rozmnoženého materiálu, tj. na předmětnou produkci nebylo vydáno platné rozhodnutí o uznání v porostu nebo o uznání rozmnožovacího materiálu a dále se takto posuzuje i nedodržení časové dispozice expedice a dodání rozmnožovacího materiálu.</w:t>
      </w:r>
    </w:p>
    <w:p w14:paraId="5F72B4B4" w14:textId="77777777" w:rsidR="00CA708B" w:rsidRDefault="00000000">
      <w:pPr>
        <w:pStyle w:val="Zkladntext1"/>
        <w:numPr>
          <w:ilvl w:val="0"/>
          <w:numId w:val="5"/>
        </w:numPr>
        <w:shd w:val="clear" w:color="auto" w:fill="auto"/>
        <w:tabs>
          <w:tab w:val="left" w:pos="307"/>
        </w:tabs>
        <w:spacing w:after="240"/>
      </w:pPr>
      <w:r>
        <w:t>V případě porušení ujednání čl. II., bod 11. se dodavatel zavazuje zaplatit odběrateli smluvní pokutu ve výši 30 % obvyklé kupní ceny za každou jednotku množství neoprávněného užití produkce ze smluvních množitelských ploch. Smluvní pokuta je splatná do 30-ti dnů ode dne písemné výzvy odběratele.</w:t>
      </w:r>
    </w:p>
    <w:p w14:paraId="4E8B517E" w14:textId="77777777" w:rsidR="00CA708B" w:rsidRDefault="00000000">
      <w:pPr>
        <w:pStyle w:val="Zkladntext1"/>
        <w:numPr>
          <w:ilvl w:val="0"/>
          <w:numId w:val="5"/>
        </w:numPr>
        <w:shd w:val="clear" w:color="auto" w:fill="auto"/>
        <w:tabs>
          <w:tab w:val="left" w:pos="283"/>
        </w:tabs>
        <w:spacing w:after="240"/>
      </w:pPr>
      <w:r>
        <w:t>V případě porušení ujednání čl. II. bod 4., 8., 10. a čl. IV. bod 1. a 2., dodavatel uhradí odběrateli veškeré vynaložené náklady.</w:t>
      </w:r>
    </w:p>
    <w:p w14:paraId="51C226BD" w14:textId="77777777" w:rsidR="00CA708B" w:rsidRDefault="00000000">
      <w:pPr>
        <w:pStyle w:val="Zkladntext1"/>
        <w:numPr>
          <w:ilvl w:val="0"/>
          <w:numId w:val="5"/>
        </w:numPr>
        <w:shd w:val="clear" w:color="auto" w:fill="auto"/>
        <w:tabs>
          <w:tab w:val="left" w:pos="287"/>
        </w:tabs>
        <w:spacing w:after="240"/>
      </w:pPr>
      <w:r>
        <w:t>Smluvní strany sjednávají, že případné rozpory, které by mezi nimi vznikly při plnění této smlouvy, budou přednostně řešit smírčím jednáním na úrovni smluvních stran před případným soudním řešením.</w:t>
      </w:r>
    </w:p>
    <w:p w14:paraId="205503F1" w14:textId="77777777" w:rsidR="00CA708B" w:rsidRDefault="00000000">
      <w:pPr>
        <w:pStyle w:val="Zkladntext1"/>
        <w:numPr>
          <w:ilvl w:val="0"/>
          <w:numId w:val="5"/>
        </w:numPr>
        <w:shd w:val="clear" w:color="auto" w:fill="auto"/>
        <w:tabs>
          <w:tab w:val="left" w:pos="283"/>
        </w:tabs>
        <w:spacing w:after="240"/>
      </w:pPr>
      <w:r>
        <w:t>Další vztahy plynoucí z této smlouvy, pokud nejsou zněním smlouvy výslovně upraveny, se řídí příslušnými ustanoveními občanského zákoníku a zákoníku o obchodních korporacích. Jakékoli změny ve smlouvě se řeší dodatkem ke smlouvě.</w:t>
      </w:r>
    </w:p>
    <w:p w14:paraId="788501E0" w14:textId="77777777" w:rsidR="00CA708B" w:rsidRDefault="00000000">
      <w:pPr>
        <w:pStyle w:val="Zkladntext1"/>
        <w:numPr>
          <w:ilvl w:val="0"/>
          <w:numId w:val="5"/>
        </w:numPr>
        <w:shd w:val="clear" w:color="auto" w:fill="auto"/>
        <w:tabs>
          <w:tab w:val="left" w:pos="283"/>
        </w:tabs>
        <w:spacing w:after="240"/>
      </w:pPr>
      <w:r>
        <w:t>Tato smlouva je vyhotovena ve 2 stejnopisech, z nichž jeden obdrží dodavatel a jeden odběratel. Smlouva nabývá platnosti dnem jejího podpisu oběma smluvními stranami.</w:t>
      </w:r>
    </w:p>
    <w:p w14:paraId="21A5D999" w14:textId="77777777" w:rsidR="00CA708B" w:rsidRDefault="00000000">
      <w:pPr>
        <w:pStyle w:val="Zkladntext1"/>
        <w:numPr>
          <w:ilvl w:val="0"/>
          <w:numId w:val="5"/>
        </w:numPr>
        <w:shd w:val="clear" w:color="auto" w:fill="auto"/>
        <w:tabs>
          <w:tab w:val="left" w:pos="287"/>
        </w:tabs>
        <w:spacing w:after="340"/>
      </w:pPr>
      <w:r>
        <w:t>Smluvní strany shodně prohlašují, že obsahu smlouvy plně porozuměly, je projevem jejich svobodné vůle a připojují tedy podpisy svých zástupců oprávněných k uzavření tohoto obchodně-právního vztahu.</w:t>
      </w:r>
    </w:p>
    <w:p w14:paraId="729999B9" w14:textId="77777777" w:rsidR="00CA708B" w:rsidRDefault="00000000">
      <w:pPr>
        <w:pStyle w:val="Zkladntext1"/>
        <w:numPr>
          <w:ilvl w:val="0"/>
          <w:numId w:val="5"/>
        </w:numPr>
        <w:shd w:val="clear" w:color="auto" w:fill="auto"/>
        <w:tabs>
          <w:tab w:val="left" w:pos="283"/>
        </w:tabs>
        <w:spacing w:after="460"/>
      </w:pPr>
      <w:r>
        <w:t>Nedílnou součástí této Smlouvy je Příloha č. 1, případně další přílohy vystavené v souladu s čl. II.5. této Smlouvy.</w:t>
      </w:r>
    </w:p>
    <w:p w14:paraId="09AB3191" w14:textId="77777777" w:rsidR="00CA708B" w:rsidRDefault="00000000">
      <w:pPr>
        <w:pStyle w:val="Zkladntext1"/>
        <w:shd w:val="clear" w:color="auto" w:fill="auto"/>
        <w:spacing w:after="240"/>
      </w:pPr>
      <w:r>
        <w:t>Platnost smlouvy do 31. 12. 2026.</w:t>
      </w:r>
    </w:p>
    <w:p w14:paraId="079935C3" w14:textId="5B397CA9" w:rsidR="00CA708B" w:rsidRDefault="00000000">
      <w:pPr>
        <w:spacing w:line="14" w:lineRule="exact"/>
        <w:sectPr w:rsidR="00CA708B">
          <w:pgSz w:w="11900" w:h="16840"/>
          <w:pgMar w:top="925" w:right="863" w:bottom="1060" w:left="803" w:header="497" w:footer="632" w:gutter="0"/>
          <w:pgNumType w:start="1"/>
          <w:cols w:space="720"/>
          <w:noEndnote/>
          <w:docGrid w:linePitch="360"/>
        </w:sectPr>
      </w:pPr>
      <w:r>
        <w:rPr>
          <w:noProof/>
        </w:rPr>
        <mc:AlternateContent>
          <mc:Choice Requires="wps">
            <w:drawing>
              <wp:anchor distT="191135" distB="1582420" distL="114300" distR="3671570" simplePos="0" relativeHeight="125829378" behindDoc="0" locked="0" layoutInCell="1" allowOverlap="1" wp14:anchorId="2A1E0AB4" wp14:editId="5D8D6FC2">
                <wp:simplePos x="0" y="0"/>
                <wp:positionH relativeFrom="page">
                  <wp:posOffset>534670</wp:posOffset>
                </wp:positionH>
                <wp:positionV relativeFrom="paragraph">
                  <wp:posOffset>200025</wp:posOffset>
                </wp:positionV>
                <wp:extent cx="1880870" cy="1708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880870" cy="170815"/>
                        </a:xfrm>
                        <a:prstGeom prst="rect">
                          <a:avLst/>
                        </a:prstGeom>
                        <a:noFill/>
                      </wps:spPr>
                      <wps:txbx>
                        <w:txbxContent>
                          <w:p w14:paraId="5F77634E" w14:textId="77777777" w:rsidR="00CA708B" w:rsidRDefault="00000000">
                            <w:pPr>
                              <w:pStyle w:val="Zkladntext1"/>
                              <w:shd w:val="clear" w:color="auto" w:fill="auto"/>
                              <w:spacing w:after="0"/>
                              <w:jc w:val="left"/>
                            </w:pPr>
                            <w:r>
                              <w:t>Ve Starém Městě dne 14.03.2025</w:t>
                            </w:r>
                          </w:p>
                        </w:txbxContent>
                      </wps:txbx>
                      <wps:bodyPr lIns="0" tIns="0" rIns="0" bIns="0"/>
                    </wps:wsp>
                  </a:graphicData>
                </a:graphic>
              </wp:anchor>
            </w:drawing>
          </mc:Choice>
          <mc:Fallback>
            <w:pict>
              <v:shapetype w14:anchorId="2A1E0AB4" id="_x0000_t202" coordsize="21600,21600" o:spt="202" path="m,l,21600r21600,l21600,xe">
                <v:stroke joinstyle="miter"/>
                <v:path gradientshapeok="t" o:connecttype="rect"/>
              </v:shapetype>
              <v:shape id="Shape 1" o:spid="_x0000_s1026" type="#_x0000_t202" style="position:absolute;margin-left:42.1pt;margin-top:15.75pt;width:148.1pt;height:13.45pt;z-index:125829378;visibility:visible;mso-wrap-style:square;mso-wrap-distance-left:9pt;mso-wrap-distance-top:15.05pt;mso-wrap-distance-right:289.1pt;mso-wrap-distance-bottom:124.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" filled="f" stroked="f">
                <v:textbox inset="0,0,0,0">
                  <w:txbxContent>
                    <w:p w14:paraId="5F77634E" w14:textId="77777777" w:rsidR="00CA708B" w:rsidRDefault="00000000">
                      <w:pPr>
                        <w:pStyle w:val="Zkladntext1"/>
                        <w:shd w:val="clear" w:color="auto" w:fill="auto"/>
                        <w:spacing w:after="0"/>
                        <w:jc w:val="left"/>
                      </w:pPr>
                      <w:r>
                        <w:t>Ve Starém Městě dne 14.03.2025</w:t>
                      </w:r>
                    </w:p>
                  </w:txbxContent>
                </v:textbox>
                <w10:wrap type="topAndBottom" anchorx="page"/>
              </v:shape>
            </w:pict>
          </mc:Fallback>
        </mc:AlternateContent>
      </w:r>
      <w:r>
        <w:rPr>
          <w:noProof/>
        </w:rPr>
        <mc:AlternateContent>
          <mc:Choice Requires="wps">
            <w:drawing>
              <wp:anchor distT="0" distB="0" distL="0" distR="0" simplePos="0" relativeHeight="125829381" behindDoc="0" locked="0" layoutInCell="1" allowOverlap="1" wp14:anchorId="2064BEF4" wp14:editId="20C5B18F">
                <wp:simplePos x="0" y="0"/>
                <wp:positionH relativeFrom="page">
                  <wp:posOffset>784225</wp:posOffset>
                </wp:positionH>
                <wp:positionV relativeFrom="paragraph">
                  <wp:posOffset>1630045</wp:posOffset>
                </wp:positionV>
                <wp:extent cx="502920" cy="15557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02920" cy="155575"/>
                        </a:xfrm>
                        <a:prstGeom prst="rect">
                          <a:avLst/>
                        </a:prstGeom>
                        <a:noFill/>
                      </wps:spPr>
                      <wps:txbx>
                        <w:txbxContent>
                          <w:p w14:paraId="10108D35" w14:textId="77777777" w:rsidR="00CA708B" w:rsidRDefault="00000000">
                            <w:pPr>
                              <w:pStyle w:val="Titulekobrzku0"/>
                              <w:shd w:val="clear" w:color="auto" w:fill="auto"/>
                              <w:rPr>
                                <w:sz w:val="18"/>
                                <w:szCs w:val="18"/>
                              </w:rPr>
                            </w:pPr>
                            <w:r>
                              <w:rPr>
                                <w:b/>
                                <w:bCs/>
                                <w:i w:val="0"/>
                                <w:iCs w:val="0"/>
                                <w:sz w:val="18"/>
                                <w:szCs w:val="18"/>
                              </w:rPr>
                              <w:t>PROBIO</w:t>
                            </w:r>
                          </w:p>
                        </w:txbxContent>
                      </wps:txbx>
                      <wps:bodyPr lIns="0" tIns="0" rIns="0" bIns="0">
                        <a:spAutoFit/>
                      </wps:bodyPr>
                    </wps:wsp>
                  </a:graphicData>
                </a:graphic>
              </wp:anchor>
            </w:drawing>
          </mc:Choice>
          <mc:Fallback>
            <w:pict>
              <v:shape w14:anchorId="2064BEF4" id="Shape 5" o:spid="_x0000_s1027" type="#_x0000_t202" style="position:absolute;margin-left:61.75pt;margin-top:128.35pt;width:39.6pt;height:12.25pt;z-index:12582938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" filled="f" stroked="f">
                <v:textbox style="mso-fit-shape-to-text:t" inset="0,0,0,0">
                  <w:txbxContent>
                    <w:p w14:paraId="10108D35" w14:textId="77777777" w:rsidR="00CA708B" w:rsidRDefault="00000000">
                      <w:pPr>
                        <w:pStyle w:val="Titulekobrzku0"/>
                        <w:shd w:val="clear" w:color="auto" w:fill="auto"/>
                        <w:rPr>
                          <w:sz w:val="18"/>
                          <w:szCs w:val="18"/>
                        </w:rPr>
                      </w:pPr>
                      <w:r>
                        <w:rPr>
                          <w:b/>
                          <w:bCs/>
                          <w:i w:val="0"/>
                          <w:iCs w:val="0"/>
                          <w:sz w:val="18"/>
                          <w:szCs w:val="18"/>
                        </w:rPr>
                        <w:t>PROBIO</w:t>
                      </w:r>
                    </w:p>
                  </w:txbxContent>
                </v:textbox>
                <w10:wrap type="topAndBottom" anchorx="page"/>
              </v:shape>
            </w:pict>
          </mc:Fallback>
        </mc:AlternateContent>
      </w:r>
      <w:r>
        <w:rPr>
          <w:noProof/>
        </w:rPr>
        <w:drawing>
          <wp:anchor distT="1635760" distB="121920" distL="873125" distR="3756660" simplePos="0" relativeHeight="125829384" behindDoc="0" locked="0" layoutInCell="1" allowOverlap="1" wp14:anchorId="56BFB0DC" wp14:editId="477044B3">
            <wp:simplePos x="0" y="0"/>
            <wp:positionH relativeFrom="page">
              <wp:posOffset>1293495</wp:posOffset>
            </wp:positionH>
            <wp:positionV relativeFrom="paragraph">
              <wp:posOffset>1644650</wp:posOffset>
            </wp:positionV>
            <wp:extent cx="1036320" cy="194945"/>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off x="0" y="0"/>
                      <a:ext cx="1036320" cy="194945"/>
                    </a:xfrm>
                    <a:prstGeom prst="rect">
                      <a:avLst/>
                    </a:prstGeom>
                  </pic:spPr>
                </pic:pic>
              </a:graphicData>
            </a:graphic>
          </wp:anchor>
        </w:drawing>
      </w:r>
      <w:r>
        <w:rPr>
          <w:noProof/>
        </w:rPr>
        <mc:AlternateContent>
          <mc:Choice Requires="wps">
            <w:drawing>
              <wp:anchor distT="0" distB="0" distL="0" distR="0" simplePos="0" relativeHeight="125829385" behindDoc="0" locked="0" layoutInCell="1" allowOverlap="1" wp14:anchorId="38E74BC8" wp14:editId="1C52FF97">
                <wp:simplePos x="0" y="0"/>
                <wp:positionH relativeFrom="page">
                  <wp:posOffset>1470025</wp:posOffset>
                </wp:positionH>
                <wp:positionV relativeFrom="paragraph">
                  <wp:posOffset>1827530</wp:posOffset>
                </wp:positionV>
                <wp:extent cx="829310" cy="1339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829310" cy="133985"/>
                        </a:xfrm>
                        <a:prstGeom prst="rect">
                          <a:avLst/>
                        </a:prstGeom>
                        <a:noFill/>
                      </wps:spPr>
                      <wps:txbx>
                        <w:txbxContent>
                          <w:p w14:paraId="0D54125E" w14:textId="77777777" w:rsidR="00CA708B" w:rsidRDefault="00000000">
                            <w:pPr>
                              <w:pStyle w:val="Titulekobrzku0"/>
                              <w:shd w:val="clear" w:color="auto" w:fill="auto"/>
                            </w:pPr>
                            <w:r>
                              <w:rPr>
                                <w:rFonts w:ascii="Arial" w:eastAsia="Arial" w:hAnsi="Arial" w:cs="Arial"/>
                                <w:i w:val="0"/>
                                <w:iCs w:val="0"/>
                                <w:sz w:val="13"/>
                                <w:szCs w:val="13"/>
                              </w:rPr>
                              <w:t xml:space="preserve">DIČ; </w:t>
                            </w:r>
                            <w:r>
                              <w:t>CZA65B-CS3 í</w:t>
                            </w:r>
                          </w:p>
                        </w:txbxContent>
                      </wps:txbx>
                      <wps:bodyPr lIns="0" tIns="0" rIns="0" bIns="0">
                        <a:spAutoFit/>
                      </wps:bodyPr>
                    </wps:wsp>
                  </a:graphicData>
                </a:graphic>
              </wp:anchor>
            </w:drawing>
          </mc:Choice>
          <mc:Fallback>
            <w:pict>
              <v:shape w14:anchorId="38E74BC8" id="Shape 11" o:spid="_x0000_s1028" type="#_x0000_t202" style="position:absolute;margin-left:115.75pt;margin-top:143.9pt;width:65.3pt;height:10.55pt;z-index:12582938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" filled="f" stroked="f">
                <v:textbox style="mso-fit-shape-to-text:t" inset="0,0,0,0">
                  <w:txbxContent>
                    <w:p w14:paraId="0D54125E" w14:textId="77777777" w:rsidR="00CA708B" w:rsidRDefault="00000000">
                      <w:pPr>
                        <w:pStyle w:val="Titulekobrzku0"/>
                        <w:shd w:val="clear" w:color="auto" w:fill="auto"/>
                      </w:pPr>
                      <w:r>
                        <w:rPr>
                          <w:rFonts w:ascii="Arial" w:eastAsia="Arial" w:hAnsi="Arial" w:cs="Arial"/>
                          <w:i w:val="0"/>
                          <w:iCs w:val="0"/>
                          <w:sz w:val="13"/>
                          <w:szCs w:val="13"/>
                        </w:rPr>
                        <w:t xml:space="preserve">DIČ; </w:t>
                      </w:r>
                      <w:r>
                        <w:t>CZA65B-CS3 í</w:t>
                      </w:r>
                    </w:p>
                  </w:txbxContent>
                </v:textbox>
                <w10:wrap type="topAndBottom" anchorx="page"/>
              </v:shape>
            </w:pict>
          </mc:Fallback>
        </mc:AlternateContent>
      </w:r>
    </w:p>
    <w:p w14:paraId="1BB02227" w14:textId="77777777" w:rsidR="00CA708B" w:rsidRDefault="00000000">
      <w:pPr>
        <w:pStyle w:val="Nadpis10"/>
        <w:keepNext/>
        <w:keepLines/>
        <w:shd w:val="clear" w:color="auto" w:fill="auto"/>
        <w:spacing w:after="420"/>
      </w:pPr>
      <w:bookmarkStart w:id="13" w:name="bookmark13"/>
      <w:r>
        <w:lastRenderedPageBreak/>
        <w:t>PŘÍLOHA č. 1 KE SMLOUVĚ č. 59/2025</w:t>
      </w:r>
      <w:bookmarkEnd w:id="13"/>
    </w:p>
    <w:p w14:paraId="4F1B015E" w14:textId="77777777" w:rsidR="00CA708B" w:rsidRDefault="00000000">
      <w:pPr>
        <w:pStyle w:val="Nadpis30"/>
        <w:keepNext/>
        <w:keepLines/>
        <w:shd w:val="clear" w:color="auto" w:fill="auto"/>
      </w:pPr>
      <w:bookmarkStart w:id="14" w:name="bookmark14"/>
      <w:r>
        <w:t>PRO-BIO, obchodní společnost s.r.o.</w:t>
      </w:r>
      <w:bookmarkEnd w:id="14"/>
    </w:p>
    <w:p w14:paraId="5A104CC3" w14:textId="77777777" w:rsidR="00CA708B" w:rsidRDefault="00000000">
      <w:pPr>
        <w:pStyle w:val="Nadpis30"/>
        <w:keepNext/>
        <w:keepLines/>
        <w:shd w:val="clear" w:color="auto" w:fill="auto"/>
      </w:pPr>
      <w:bookmarkStart w:id="15" w:name="bookmark15"/>
      <w:r>
        <w:t>Lipová 40, 788 32 Staré Město</w:t>
      </w:r>
      <w:bookmarkEnd w:id="15"/>
    </w:p>
    <w:p w14:paraId="3E5DB7F8" w14:textId="77777777" w:rsidR="00CA708B" w:rsidRDefault="00000000">
      <w:pPr>
        <w:pStyle w:val="Nadpis30"/>
        <w:keepNext/>
        <w:keepLines/>
        <w:shd w:val="clear" w:color="auto" w:fill="auto"/>
      </w:pPr>
      <w:bookmarkStart w:id="16" w:name="bookmark16"/>
      <w:r>
        <w:t>IČ: 465 81 863</w:t>
      </w:r>
      <w:bookmarkEnd w:id="16"/>
    </w:p>
    <w:p w14:paraId="2C678AD9" w14:textId="77777777" w:rsidR="00CA708B" w:rsidRDefault="00000000">
      <w:pPr>
        <w:pStyle w:val="Nadpis30"/>
        <w:keepNext/>
        <w:keepLines/>
        <w:shd w:val="clear" w:color="auto" w:fill="auto"/>
        <w:spacing w:after="940"/>
      </w:pPr>
      <w:bookmarkStart w:id="17" w:name="bookmark17"/>
      <w:r>
        <w:t>DIČ: CZ465818863</w:t>
      </w:r>
      <w:bookmarkEnd w:id="17"/>
    </w:p>
    <w:p w14:paraId="1B4673F0" w14:textId="77777777" w:rsidR="00CA708B" w:rsidRDefault="00000000">
      <w:pPr>
        <w:pStyle w:val="Nadpis30"/>
        <w:keepNext/>
        <w:keepLines/>
        <w:shd w:val="clear" w:color="auto" w:fill="auto"/>
        <w:ind w:right="3480"/>
      </w:pPr>
      <w:bookmarkStart w:id="18" w:name="bookmark18"/>
      <w:r>
        <w:t xml:space="preserve">Národní centrum zemědělského a potravinářského výzkumu, </w:t>
      </w:r>
      <w:proofErr w:type="spellStart"/>
      <w:r>
        <w:t>v.v.i</w:t>
      </w:r>
      <w:proofErr w:type="spellEnd"/>
      <w:r>
        <w:t>. Drnovská 507,161 00 Praha 6 - Ruzyně IČ: 00027006</w:t>
      </w:r>
      <w:bookmarkEnd w:id="18"/>
    </w:p>
    <w:p w14:paraId="78DA6E23" w14:textId="77777777" w:rsidR="00CA708B" w:rsidRDefault="00000000">
      <w:pPr>
        <w:pStyle w:val="Nadpis30"/>
        <w:keepNext/>
        <w:keepLines/>
        <w:shd w:val="clear" w:color="auto" w:fill="auto"/>
        <w:spacing w:after="340"/>
      </w:pPr>
      <w:bookmarkStart w:id="19" w:name="bookmark19"/>
      <w:r>
        <w:t>DIČ: CZ000227006</w:t>
      </w:r>
      <w:bookmarkEnd w:id="19"/>
    </w:p>
    <w:p w14:paraId="6EC03E81" w14:textId="77777777" w:rsidR="00CA708B" w:rsidRDefault="00000000">
      <w:pPr>
        <w:pStyle w:val="Zkladntext1"/>
        <w:shd w:val="clear" w:color="auto" w:fill="auto"/>
        <w:spacing w:after="300"/>
        <w:jc w:val="left"/>
        <w:rPr>
          <w:sz w:val="22"/>
          <w:szCs w:val="22"/>
        </w:rPr>
      </w:pPr>
      <w:r>
        <w:rPr>
          <w:sz w:val="22"/>
          <w:szCs w:val="22"/>
        </w:rPr>
        <w:t>Množitelské plochy ze sklizně 2025:</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1147"/>
        <w:gridCol w:w="1752"/>
        <w:gridCol w:w="883"/>
        <w:gridCol w:w="931"/>
        <w:gridCol w:w="1085"/>
        <w:gridCol w:w="1670"/>
        <w:gridCol w:w="1373"/>
      </w:tblGrid>
      <w:tr w:rsidR="00CA708B" w14:paraId="3C0369F3" w14:textId="77777777">
        <w:tblPrEx>
          <w:tblCellMar>
            <w:top w:w="0" w:type="dxa"/>
            <w:bottom w:w="0" w:type="dxa"/>
          </w:tblCellMar>
        </w:tblPrEx>
        <w:trPr>
          <w:trHeight w:hRule="exact" w:val="898"/>
          <w:jc w:val="center"/>
        </w:trPr>
        <w:tc>
          <w:tcPr>
            <w:tcW w:w="1066" w:type="dxa"/>
            <w:shd w:val="clear" w:color="auto" w:fill="FFFFFF"/>
          </w:tcPr>
          <w:p w14:paraId="602ADC90" w14:textId="77777777" w:rsidR="00CA708B" w:rsidRDefault="00000000">
            <w:pPr>
              <w:pStyle w:val="Jin0"/>
              <w:shd w:val="clear" w:color="auto" w:fill="auto"/>
              <w:spacing w:after="0"/>
              <w:jc w:val="center"/>
              <w:rPr>
                <w:sz w:val="18"/>
                <w:szCs w:val="18"/>
              </w:rPr>
            </w:pPr>
            <w:r>
              <w:rPr>
                <w:b/>
                <w:bCs/>
                <w:sz w:val="18"/>
                <w:szCs w:val="18"/>
              </w:rPr>
              <w:t>Druh</w:t>
            </w:r>
          </w:p>
        </w:tc>
        <w:tc>
          <w:tcPr>
            <w:tcW w:w="1147" w:type="dxa"/>
            <w:shd w:val="clear" w:color="auto" w:fill="FFFFFF"/>
          </w:tcPr>
          <w:p w14:paraId="675C6A55" w14:textId="77777777" w:rsidR="00CA708B" w:rsidRDefault="00000000">
            <w:pPr>
              <w:pStyle w:val="Jin0"/>
              <w:shd w:val="clear" w:color="auto" w:fill="auto"/>
              <w:spacing w:after="0"/>
              <w:jc w:val="center"/>
              <w:rPr>
                <w:sz w:val="18"/>
                <w:szCs w:val="18"/>
              </w:rPr>
            </w:pPr>
            <w:r>
              <w:rPr>
                <w:b/>
                <w:bCs/>
                <w:sz w:val="18"/>
                <w:szCs w:val="18"/>
              </w:rPr>
              <w:t>Odrůda</w:t>
            </w:r>
          </w:p>
        </w:tc>
        <w:tc>
          <w:tcPr>
            <w:tcW w:w="1752" w:type="dxa"/>
            <w:tcBorders>
              <w:top w:val="single" w:sz="4" w:space="0" w:color="auto"/>
            </w:tcBorders>
            <w:shd w:val="clear" w:color="auto" w:fill="FFFFFF"/>
          </w:tcPr>
          <w:p w14:paraId="5F683FE7" w14:textId="77777777" w:rsidR="00CA708B" w:rsidRDefault="00000000">
            <w:pPr>
              <w:pStyle w:val="Jin0"/>
              <w:shd w:val="clear" w:color="auto" w:fill="auto"/>
              <w:spacing w:after="0"/>
              <w:jc w:val="center"/>
              <w:rPr>
                <w:sz w:val="18"/>
                <w:szCs w:val="18"/>
              </w:rPr>
            </w:pPr>
            <w:r>
              <w:rPr>
                <w:b/>
                <w:bCs/>
                <w:sz w:val="18"/>
                <w:szCs w:val="18"/>
              </w:rPr>
              <w:t>Statut</w:t>
            </w:r>
          </w:p>
          <w:p w14:paraId="3D6878E1" w14:textId="77777777" w:rsidR="00CA708B" w:rsidRDefault="00000000">
            <w:pPr>
              <w:pStyle w:val="Jin0"/>
              <w:shd w:val="clear" w:color="auto" w:fill="auto"/>
              <w:spacing w:after="0"/>
              <w:jc w:val="center"/>
              <w:rPr>
                <w:sz w:val="18"/>
                <w:szCs w:val="18"/>
              </w:rPr>
            </w:pPr>
            <w:r>
              <w:rPr>
                <w:b/>
                <w:bCs/>
                <w:sz w:val="18"/>
                <w:szCs w:val="18"/>
              </w:rPr>
              <w:t>vyprodukovaného</w:t>
            </w:r>
          </w:p>
          <w:p w14:paraId="6BF22228" w14:textId="77777777" w:rsidR="00CA708B" w:rsidRDefault="00000000">
            <w:pPr>
              <w:pStyle w:val="Jin0"/>
              <w:shd w:val="clear" w:color="auto" w:fill="auto"/>
              <w:spacing w:after="0"/>
              <w:jc w:val="center"/>
              <w:rPr>
                <w:sz w:val="18"/>
                <w:szCs w:val="18"/>
              </w:rPr>
            </w:pPr>
            <w:r>
              <w:rPr>
                <w:b/>
                <w:bCs/>
                <w:sz w:val="18"/>
                <w:szCs w:val="18"/>
              </w:rPr>
              <w:t>osiva</w:t>
            </w:r>
          </w:p>
        </w:tc>
        <w:tc>
          <w:tcPr>
            <w:tcW w:w="883" w:type="dxa"/>
            <w:tcBorders>
              <w:top w:val="single" w:sz="4" w:space="0" w:color="auto"/>
            </w:tcBorders>
            <w:shd w:val="clear" w:color="auto" w:fill="FFFFFF"/>
          </w:tcPr>
          <w:p w14:paraId="4315513E" w14:textId="77777777" w:rsidR="00CA708B" w:rsidRDefault="00000000">
            <w:pPr>
              <w:pStyle w:val="Jin0"/>
              <w:shd w:val="clear" w:color="auto" w:fill="auto"/>
              <w:spacing w:after="0"/>
              <w:jc w:val="center"/>
              <w:rPr>
                <w:sz w:val="18"/>
                <w:szCs w:val="18"/>
              </w:rPr>
            </w:pPr>
            <w:r>
              <w:rPr>
                <w:b/>
                <w:bCs/>
                <w:sz w:val="18"/>
                <w:szCs w:val="18"/>
              </w:rPr>
              <w:t>Stupeň</w:t>
            </w:r>
          </w:p>
          <w:p w14:paraId="23DA82FA" w14:textId="77777777" w:rsidR="00CA708B" w:rsidRDefault="00000000">
            <w:pPr>
              <w:pStyle w:val="Jin0"/>
              <w:shd w:val="clear" w:color="auto" w:fill="auto"/>
              <w:spacing w:after="0"/>
              <w:jc w:val="center"/>
              <w:rPr>
                <w:sz w:val="18"/>
                <w:szCs w:val="18"/>
              </w:rPr>
            </w:pPr>
            <w:r>
              <w:rPr>
                <w:b/>
                <w:bCs/>
                <w:sz w:val="18"/>
                <w:szCs w:val="18"/>
              </w:rPr>
              <w:t>množení</w:t>
            </w:r>
          </w:p>
          <w:p w14:paraId="10DF874A" w14:textId="77777777" w:rsidR="00CA708B" w:rsidRDefault="00000000">
            <w:pPr>
              <w:pStyle w:val="Jin0"/>
              <w:shd w:val="clear" w:color="auto" w:fill="auto"/>
              <w:spacing w:after="0"/>
              <w:jc w:val="center"/>
              <w:rPr>
                <w:sz w:val="18"/>
                <w:szCs w:val="18"/>
              </w:rPr>
            </w:pPr>
            <w:r>
              <w:rPr>
                <w:b/>
                <w:bCs/>
                <w:sz w:val="18"/>
                <w:szCs w:val="18"/>
              </w:rPr>
              <w:t>z/do</w:t>
            </w:r>
          </w:p>
        </w:tc>
        <w:tc>
          <w:tcPr>
            <w:tcW w:w="931" w:type="dxa"/>
            <w:tcBorders>
              <w:top w:val="single" w:sz="4" w:space="0" w:color="auto"/>
            </w:tcBorders>
            <w:shd w:val="clear" w:color="auto" w:fill="FFFFFF"/>
          </w:tcPr>
          <w:p w14:paraId="6A55ECE2" w14:textId="77777777" w:rsidR="00CA708B" w:rsidRDefault="00000000">
            <w:pPr>
              <w:pStyle w:val="Jin0"/>
              <w:shd w:val="clear" w:color="auto" w:fill="auto"/>
              <w:spacing w:after="0"/>
              <w:jc w:val="center"/>
              <w:rPr>
                <w:sz w:val="18"/>
                <w:szCs w:val="18"/>
              </w:rPr>
            </w:pPr>
            <w:r>
              <w:rPr>
                <w:b/>
                <w:bCs/>
                <w:sz w:val="18"/>
                <w:szCs w:val="18"/>
              </w:rPr>
              <w:t>Výměra</w:t>
            </w:r>
          </w:p>
          <w:p w14:paraId="7D6D937B" w14:textId="77777777" w:rsidR="00CA708B" w:rsidRDefault="00000000">
            <w:pPr>
              <w:pStyle w:val="Jin0"/>
              <w:shd w:val="clear" w:color="auto" w:fill="auto"/>
              <w:spacing w:after="0"/>
              <w:jc w:val="center"/>
              <w:rPr>
                <w:sz w:val="18"/>
                <w:szCs w:val="18"/>
              </w:rPr>
            </w:pPr>
            <w:r>
              <w:rPr>
                <w:b/>
                <w:bCs/>
                <w:sz w:val="18"/>
                <w:szCs w:val="18"/>
              </w:rPr>
              <w:t>(ha)</w:t>
            </w:r>
          </w:p>
        </w:tc>
        <w:tc>
          <w:tcPr>
            <w:tcW w:w="1085" w:type="dxa"/>
            <w:shd w:val="clear" w:color="auto" w:fill="FFFFFF"/>
            <w:vAlign w:val="bottom"/>
          </w:tcPr>
          <w:p w14:paraId="6FBFDFC6" w14:textId="77777777" w:rsidR="00CA708B" w:rsidRDefault="00000000">
            <w:pPr>
              <w:pStyle w:val="Jin0"/>
              <w:shd w:val="clear" w:color="auto" w:fill="auto"/>
              <w:spacing w:after="0"/>
              <w:jc w:val="center"/>
              <w:rPr>
                <w:sz w:val="18"/>
                <w:szCs w:val="18"/>
              </w:rPr>
            </w:pPr>
            <w:r>
              <w:rPr>
                <w:b/>
                <w:bCs/>
                <w:sz w:val="18"/>
                <w:szCs w:val="18"/>
              </w:rPr>
              <w:t>Množství</w:t>
            </w:r>
          </w:p>
          <w:p w14:paraId="2EF8A624" w14:textId="77777777" w:rsidR="00CA708B" w:rsidRDefault="00000000">
            <w:pPr>
              <w:pStyle w:val="Jin0"/>
              <w:shd w:val="clear" w:color="auto" w:fill="auto"/>
              <w:spacing w:after="0"/>
              <w:jc w:val="center"/>
              <w:rPr>
                <w:sz w:val="18"/>
                <w:szCs w:val="18"/>
              </w:rPr>
            </w:pPr>
            <w:r>
              <w:rPr>
                <w:b/>
                <w:bCs/>
                <w:sz w:val="18"/>
                <w:szCs w:val="18"/>
              </w:rPr>
              <w:t>vstupního</w:t>
            </w:r>
          </w:p>
          <w:p w14:paraId="140A8C9F" w14:textId="77777777" w:rsidR="00CA708B" w:rsidRDefault="00000000">
            <w:pPr>
              <w:pStyle w:val="Jin0"/>
              <w:shd w:val="clear" w:color="auto" w:fill="auto"/>
              <w:spacing w:after="0"/>
              <w:jc w:val="center"/>
              <w:rPr>
                <w:sz w:val="18"/>
                <w:szCs w:val="18"/>
              </w:rPr>
            </w:pPr>
            <w:r>
              <w:rPr>
                <w:b/>
                <w:bCs/>
                <w:sz w:val="18"/>
                <w:szCs w:val="18"/>
              </w:rPr>
              <w:t>materiálu</w:t>
            </w:r>
          </w:p>
          <w:p w14:paraId="73C1658F" w14:textId="77777777" w:rsidR="00CA708B" w:rsidRDefault="00000000">
            <w:pPr>
              <w:pStyle w:val="Jin0"/>
              <w:shd w:val="clear" w:color="auto" w:fill="auto"/>
              <w:spacing w:after="0"/>
              <w:jc w:val="center"/>
              <w:rPr>
                <w:sz w:val="18"/>
                <w:szCs w:val="18"/>
              </w:rPr>
            </w:pPr>
            <w:r>
              <w:rPr>
                <w:b/>
                <w:bCs/>
                <w:sz w:val="18"/>
                <w:szCs w:val="18"/>
              </w:rPr>
              <w:t>(kg)</w:t>
            </w:r>
          </w:p>
        </w:tc>
        <w:tc>
          <w:tcPr>
            <w:tcW w:w="1670" w:type="dxa"/>
            <w:tcBorders>
              <w:top w:val="single" w:sz="4" w:space="0" w:color="auto"/>
            </w:tcBorders>
            <w:shd w:val="clear" w:color="auto" w:fill="FFFFFF"/>
          </w:tcPr>
          <w:p w14:paraId="5D6208D2" w14:textId="77777777" w:rsidR="00CA708B" w:rsidRDefault="00000000">
            <w:pPr>
              <w:pStyle w:val="Jin0"/>
              <w:shd w:val="clear" w:color="auto" w:fill="auto"/>
              <w:spacing w:after="0" w:line="254" w:lineRule="auto"/>
              <w:jc w:val="center"/>
              <w:rPr>
                <w:sz w:val="18"/>
                <w:szCs w:val="18"/>
              </w:rPr>
            </w:pPr>
            <w:r>
              <w:rPr>
                <w:b/>
                <w:bCs/>
                <w:sz w:val="18"/>
                <w:szCs w:val="18"/>
              </w:rPr>
              <w:t>Termín dodání vyprodukovaného přírodního osiva</w:t>
            </w:r>
          </w:p>
        </w:tc>
        <w:tc>
          <w:tcPr>
            <w:tcW w:w="1373" w:type="dxa"/>
            <w:shd w:val="clear" w:color="auto" w:fill="FFFFFF"/>
          </w:tcPr>
          <w:p w14:paraId="14F95375" w14:textId="77777777" w:rsidR="00CA708B" w:rsidRDefault="00000000">
            <w:pPr>
              <w:pStyle w:val="Jin0"/>
              <w:shd w:val="clear" w:color="auto" w:fill="auto"/>
              <w:spacing w:after="0"/>
              <w:jc w:val="center"/>
              <w:rPr>
                <w:sz w:val="18"/>
                <w:szCs w:val="18"/>
              </w:rPr>
            </w:pPr>
            <w:r>
              <w:rPr>
                <w:b/>
                <w:bCs/>
                <w:sz w:val="18"/>
                <w:szCs w:val="18"/>
              </w:rPr>
              <w:t>Cena osiva</w:t>
            </w:r>
          </w:p>
        </w:tc>
      </w:tr>
      <w:tr w:rsidR="00CA708B" w14:paraId="0EF0E440" w14:textId="77777777">
        <w:tblPrEx>
          <w:tblCellMar>
            <w:top w:w="0" w:type="dxa"/>
            <w:bottom w:w="0" w:type="dxa"/>
          </w:tblCellMar>
        </w:tblPrEx>
        <w:trPr>
          <w:trHeight w:hRule="exact" w:val="821"/>
          <w:jc w:val="center"/>
        </w:trPr>
        <w:tc>
          <w:tcPr>
            <w:tcW w:w="1066" w:type="dxa"/>
            <w:tcBorders>
              <w:top w:val="single" w:sz="4" w:space="0" w:color="auto"/>
            </w:tcBorders>
            <w:shd w:val="clear" w:color="auto" w:fill="FFFFFF"/>
            <w:vAlign w:val="center"/>
          </w:tcPr>
          <w:p w14:paraId="6A045CD3" w14:textId="77777777" w:rsidR="00CA708B" w:rsidRDefault="00000000">
            <w:pPr>
              <w:pStyle w:val="Jin0"/>
              <w:shd w:val="clear" w:color="auto" w:fill="auto"/>
              <w:spacing w:after="0"/>
              <w:jc w:val="left"/>
              <w:rPr>
                <w:sz w:val="16"/>
                <w:szCs w:val="16"/>
              </w:rPr>
            </w:pPr>
            <w:r>
              <w:rPr>
                <w:sz w:val="16"/>
                <w:szCs w:val="16"/>
              </w:rPr>
              <w:t>Hrách</w:t>
            </w:r>
          </w:p>
          <w:p w14:paraId="446A0AC8" w14:textId="77777777" w:rsidR="00CA708B" w:rsidRDefault="00000000">
            <w:pPr>
              <w:pStyle w:val="Jin0"/>
              <w:shd w:val="clear" w:color="auto" w:fill="auto"/>
              <w:spacing w:after="0"/>
              <w:jc w:val="left"/>
              <w:rPr>
                <w:sz w:val="16"/>
                <w:szCs w:val="16"/>
              </w:rPr>
            </w:pPr>
            <w:r>
              <w:rPr>
                <w:sz w:val="16"/>
                <w:szCs w:val="16"/>
              </w:rPr>
              <w:t>polní</w:t>
            </w:r>
          </w:p>
        </w:tc>
        <w:tc>
          <w:tcPr>
            <w:tcW w:w="1147" w:type="dxa"/>
            <w:tcBorders>
              <w:top w:val="single" w:sz="4" w:space="0" w:color="auto"/>
            </w:tcBorders>
            <w:shd w:val="clear" w:color="auto" w:fill="FFFFFF"/>
            <w:vAlign w:val="center"/>
          </w:tcPr>
          <w:p w14:paraId="332C655C" w14:textId="77777777" w:rsidR="00CA708B" w:rsidRDefault="00000000">
            <w:pPr>
              <w:pStyle w:val="Jin0"/>
              <w:shd w:val="clear" w:color="auto" w:fill="auto"/>
              <w:spacing w:after="0"/>
              <w:jc w:val="left"/>
              <w:rPr>
                <w:sz w:val="18"/>
                <w:szCs w:val="18"/>
              </w:rPr>
            </w:pPr>
            <w:r>
              <w:rPr>
                <w:b/>
                <w:bCs/>
                <w:sz w:val="18"/>
                <w:szCs w:val="18"/>
              </w:rPr>
              <w:t>Eso</w:t>
            </w:r>
          </w:p>
        </w:tc>
        <w:tc>
          <w:tcPr>
            <w:tcW w:w="1752" w:type="dxa"/>
            <w:tcBorders>
              <w:top w:val="single" w:sz="4" w:space="0" w:color="auto"/>
            </w:tcBorders>
            <w:shd w:val="clear" w:color="auto" w:fill="FFFFFF"/>
            <w:vAlign w:val="center"/>
          </w:tcPr>
          <w:p w14:paraId="493957EF" w14:textId="77777777" w:rsidR="00CA708B" w:rsidRDefault="00000000">
            <w:pPr>
              <w:pStyle w:val="Jin0"/>
              <w:shd w:val="clear" w:color="auto" w:fill="auto"/>
              <w:spacing w:after="0"/>
              <w:jc w:val="center"/>
              <w:rPr>
                <w:sz w:val="18"/>
                <w:szCs w:val="18"/>
              </w:rPr>
            </w:pPr>
            <w:r>
              <w:rPr>
                <w:b/>
                <w:bCs/>
                <w:sz w:val="18"/>
                <w:szCs w:val="18"/>
              </w:rPr>
              <w:t>BIO</w:t>
            </w:r>
          </w:p>
        </w:tc>
        <w:tc>
          <w:tcPr>
            <w:tcW w:w="883" w:type="dxa"/>
            <w:tcBorders>
              <w:top w:val="single" w:sz="4" w:space="0" w:color="auto"/>
            </w:tcBorders>
            <w:shd w:val="clear" w:color="auto" w:fill="FFFFFF"/>
            <w:vAlign w:val="center"/>
          </w:tcPr>
          <w:p w14:paraId="37EF39AD" w14:textId="77777777" w:rsidR="00CA708B" w:rsidRDefault="00000000">
            <w:pPr>
              <w:pStyle w:val="Jin0"/>
              <w:shd w:val="clear" w:color="auto" w:fill="auto"/>
              <w:spacing w:after="0"/>
              <w:jc w:val="center"/>
              <w:rPr>
                <w:sz w:val="18"/>
                <w:szCs w:val="18"/>
              </w:rPr>
            </w:pPr>
            <w:r>
              <w:rPr>
                <w:b/>
                <w:bCs/>
                <w:sz w:val="18"/>
                <w:szCs w:val="18"/>
              </w:rPr>
              <w:t>E/Cl</w:t>
            </w:r>
          </w:p>
        </w:tc>
        <w:tc>
          <w:tcPr>
            <w:tcW w:w="931" w:type="dxa"/>
            <w:tcBorders>
              <w:top w:val="single" w:sz="4" w:space="0" w:color="auto"/>
            </w:tcBorders>
            <w:shd w:val="clear" w:color="auto" w:fill="FFFFFF"/>
            <w:vAlign w:val="center"/>
          </w:tcPr>
          <w:p w14:paraId="6F84711F" w14:textId="77777777" w:rsidR="00CA708B" w:rsidRDefault="00000000">
            <w:pPr>
              <w:pStyle w:val="Jin0"/>
              <w:shd w:val="clear" w:color="auto" w:fill="auto"/>
              <w:spacing w:after="0"/>
              <w:ind w:left="60"/>
              <w:jc w:val="center"/>
              <w:rPr>
                <w:sz w:val="18"/>
                <w:szCs w:val="18"/>
              </w:rPr>
            </w:pPr>
            <w:r>
              <w:rPr>
                <w:b/>
                <w:bCs/>
                <w:sz w:val="18"/>
                <w:szCs w:val="18"/>
              </w:rPr>
              <w:t>1,8</w:t>
            </w:r>
          </w:p>
        </w:tc>
        <w:tc>
          <w:tcPr>
            <w:tcW w:w="1085" w:type="dxa"/>
            <w:tcBorders>
              <w:top w:val="single" w:sz="4" w:space="0" w:color="auto"/>
            </w:tcBorders>
            <w:shd w:val="clear" w:color="auto" w:fill="FFFFFF"/>
            <w:vAlign w:val="center"/>
          </w:tcPr>
          <w:p w14:paraId="46F492D8" w14:textId="77777777" w:rsidR="00CA708B" w:rsidRDefault="00000000">
            <w:pPr>
              <w:pStyle w:val="Jin0"/>
              <w:shd w:val="clear" w:color="auto" w:fill="auto"/>
              <w:spacing w:after="0"/>
              <w:jc w:val="center"/>
              <w:rPr>
                <w:sz w:val="18"/>
                <w:szCs w:val="18"/>
              </w:rPr>
            </w:pPr>
            <w:r>
              <w:rPr>
                <w:b/>
                <w:bCs/>
                <w:sz w:val="18"/>
                <w:szCs w:val="18"/>
              </w:rPr>
              <w:t>500</w:t>
            </w:r>
          </w:p>
        </w:tc>
        <w:tc>
          <w:tcPr>
            <w:tcW w:w="1670" w:type="dxa"/>
            <w:tcBorders>
              <w:top w:val="single" w:sz="4" w:space="0" w:color="auto"/>
            </w:tcBorders>
            <w:shd w:val="clear" w:color="auto" w:fill="FFFFFF"/>
            <w:vAlign w:val="center"/>
          </w:tcPr>
          <w:p w14:paraId="2FB2478E" w14:textId="77777777" w:rsidR="00CA708B" w:rsidRDefault="00000000">
            <w:pPr>
              <w:pStyle w:val="Jin0"/>
              <w:shd w:val="clear" w:color="auto" w:fill="auto"/>
              <w:spacing w:after="0"/>
              <w:jc w:val="center"/>
              <w:rPr>
                <w:sz w:val="18"/>
                <w:szCs w:val="18"/>
              </w:rPr>
            </w:pPr>
            <w:r>
              <w:rPr>
                <w:b/>
                <w:bCs/>
                <w:sz w:val="18"/>
                <w:szCs w:val="18"/>
              </w:rPr>
              <w:t>10/2025</w:t>
            </w:r>
          </w:p>
        </w:tc>
        <w:tc>
          <w:tcPr>
            <w:tcW w:w="1373" w:type="dxa"/>
            <w:tcBorders>
              <w:top w:val="single" w:sz="4" w:space="0" w:color="auto"/>
            </w:tcBorders>
            <w:shd w:val="clear" w:color="auto" w:fill="FFFFFF"/>
            <w:vAlign w:val="bottom"/>
          </w:tcPr>
          <w:p w14:paraId="656FD951" w14:textId="77777777" w:rsidR="00CA708B" w:rsidRDefault="00000000">
            <w:pPr>
              <w:pStyle w:val="Jin0"/>
              <w:shd w:val="clear" w:color="auto" w:fill="auto"/>
              <w:spacing w:after="0"/>
              <w:jc w:val="left"/>
              <w:rPr>
                <w:sz w:val="18"/>
                <w:szCs w:val="18"/>
              </w:rPr>
            </w:pPr>
            <w:r>
              <w:rPr>
                <w:sz w:val="16"/>
                <w:szCs w:val="16"/>
              </w:rPr>
              <w:t xml:space="preserve">Aktuální tržní cena </w:t>
            </w:r>
            <w:proofErr w:type="spellStart"/>
            <w:r>
              <w:rPr>
                <w:sz w:val="16"/>
                <w:szCs w:val="16"/>
              </w:rPr>
              <w:t>merkantilu</w:t>
            </w:r>
            <w:proofErr w:type="spellEnd"/>
            <w:r>
              <w:rPr>
                <w:sz w:val="16"/>
                <w:szCs w:val="16"/>
              </w:rPr>
              <w:t xml:space="preserve"> </w:t>
            </w:r>
            <w:r>
              <w:rPr>
                <w:b/>
                <w:bCs/>
                <w:sz w:val="18"/>
                <w:szCs w:val="18"/>
              </w:rPr>
              <w:t>+ 10 %</w:t>
            </w:r>
          </w:p>
        </w:tc>
      </w:tr>
      <w:tr w:rsidR="00CA708B" w14:paraId="55C03F66" w14:textId="77777777">
        <w:tblPrEx>
          <w:tblCellMar>
            <w:top w:w="0" w:type="dxa"/>
            <w:bottom w:w="0" w:type="dxa"/>
          </w:tblCellMar>
        </w:tblPrEx>
        <w:trPr>
          <w:trHeight w:hRule="exact" w:val="821"/>
          <w:jc w:val="center"/>
        </w:trPr>
        <w:tc>
          <w:tcPr>
            <w:tcW w:w="1066" w:type="dxa"/>
            <w:shd w:val="clear" w:color="auto" w:fill="FFFFFF"/>
            <w:vAlign w:val="center"/>
          </w:tcPr>
          <w:p w14:paraId="4A712D56" w14:textId="77777777" w:rsidR="00CA708B" w:rsidRDefault="00000000">
            <w:pPr>
              <w:pStyle w:val="Jin0"/>
              <w:shd w:val="clear" w:color="auto" w:fill="auto"/>
              <w:spacing w:after="0"/>
              <w:jc w:val="left"/>
              <w:rPr>
                <w:sz w:val="16"/>
                <w:szCs w:val="16"/>
              </w:rPr>
            </w:pPr>
            <w:r>
              <w:rPr>
                <w:sz w:val="16"/>
                <w:szCs w:val="16"/>
              </w:rPr>
              <w:t>Pšenice</w:t>
            </w:r>
          </w:p>
          <w:p w14:paraId="72E51E05" w14:textId="77777777" w:rsidR="00CA708B" w:rsidRDefault="00000000">
            <w:pPr>
              <w:pStyle w:val="Jin0"/>
              <w:shd w:val="clear" w:color="auto" w:fill="auto"/>
              <w:spacing w:after="0"/>
              <w:jc w:val="left"/>
              <w:rPr>
                <w:sz w:val="16"/>
                <w:szCs w:val="16"/>
              </w:rPr>
            </w:pPr>
            <w:r>
              <w:rPr>
                <w:sz w:val="16"/>
                <w:szCs w:val="16"/>
              </w:rPr>
              <w:t>jarní</w:t>
            </w:r>
          </w:p>
        </w:tc>
        <w:tc>
          <w:tcPr>
            <w:tcW w:w="1147" w:type="dxa"/>
            <w:tcBorders>
              <w:top w:val="single" w:sz="4" w:space="0" w:color="auto"/>
            </w:tcBorders>
            <w:shd w:val="clear" w:color="auto" w:fill="FFFFFF"/>
            <w:vAlign w:val="center"/>
          </w:tcPr>
          <w:p w14:paraId="5ABDA797" w14:textId="77777777" w:rsidR="00CA708B" w:rsidRDefault="00000000">
            <w:pPr>
              <w:pStyle w:val="Jin0"/>
              <w:shd w:val="clear" w:color="auto" w:fill="auto"/>
              <w:spacing w:after="0"/>
              <w:jc w:val="left"/>
              <w:rPr>
                <w:sz w:val="16"/>
                <w:szCs w:val="16"/>
              </w:rPr>
            </w:pPr>
            <w:r>
              <w:rPr>
                <w:sz w:val="16"/>
                <w:szCs w:val="16"/>
              </w:rPr>
              <w:t>Cindy</w:t>
            </w:r>
          </w:p>
        </w:tc>
        <w:tc>
          <w:tcPr>
            <w:tcW w:w="1752" w:type="dxa"/>
            <w:tcBorders>
              <w:top w:val="single" w:sz="4" w:space="0" w:color="auto"/>
            </w:tcBorders>
            <w:shd w:val="clear" w:color="auto" w:fill="FFFFFF"/>
            <w:vAlign w:val="center"/>
          </w:tcPr>
          <w:p w14:paraId="38D33CC6" w14:textId="77777777" w:rsidR="00CA708B" w:rsidRDefault="00000000">
            <w:pPr>
              <w:pStyle w:val="Jin0"/>
              <w:shd w:val="clear" w:color="auto" w:fill="auto"/>
              <w:spacing w:after="0"/>
              <w:jc w:val="center"/>
              <w:rPr>
                <w:sz w:val="18"/>
                <w:szCs w:val="18"/>
              </w:rPr>
            </w:pPr>
            <w:r>
              <w:rPr>
                <w:b/>
                <w:bCs/>
                <w:sz w:val="18"/>
                <w:szCs w:val="18"/>
              </w:rPr>
              <w:t>BIO</w:t>
            </w:r>
          </w:p>
        </w:tc>
        <w:tc>
          <w:tcPr>
            <w:tcW w:w="883" w:type="dxa"/>
            <w:shd w:val="clear" w:color="auto" w:fill="FFFFFF"/>
            <w:vAlign w:val="center"/>
          </w:tcPr>
          <w:p w14:paraId="1ACF4782" w14:textId="77777777" w:rsidR="00CA708B" w:rsidRDefault="00000000">
            <w:pPr>
              <w:pStyle w:val="Jin0"/>
              <w:shd w:val="clear" w:color="auto" w:fill="auto"/>
              <w:spacing w:after="0"/>
              <w:jc w:val="center"/>
              <w:rPr>
                <w:sz w:val="18"/>
                <w:szCs w:val="18"/>
              </w:rPr>
            </w:pPr>
            <w:r>
              <w:rPr>
                <w:b/>
                <w:bCs/>
                <w:sz w:val="18"/>
                <w:szCs w:val="18"/>
              </w:rPr>
              <w:t>E/Cl</w:t>
            </w:r>
          </w:p>
        </w:tc>
        <w:tc>
          <w:tcPr>
            <w:tcW w:w="931" w:type="dxa"/>
            <w:tcBorders>
              <w:top w:val="single" w:sz="4" w:space="0" w:color="auto"/>
            </w:tcBorders>
            <w:shd w:val="clear" w:color="auto" w:fill="FFFFFF"/>
            <w:vAlign w:val="center"/>
          </w:tcPr>
          <w:p w14:paraId="1CF6F5F5" w14:textId="77777777" w:rsidR="00CA708B" w:rsidRDefault="00000000">
            <w:pPr>
              <w:pStyle w:val="Jin0"/>
              <w:shd w:val="clear" w:color="auto" w:fill="auto"/>
              <w:spacing w:after="0"/>
              <w:ind w:left="60"/>
              <w:jc w:val="center"/>
              <w:rPr>
                <w:sz w:val="18"/>
                <w:szCs w:val="18"/>
              </w:rPr>
            </w:pPr>
            <w:r>
              <w:rPr>
                <w:b/>
                <w:bCs/>
                <w:sz w:val="18"/>
                <w:szCs w:val="18"/>
              </w:rPr>
              <w:t>3,9</w:t>
            </w:r>
          </w:p>
        </w:tc>
        <w:tc>
          <w:tcPr>
            <w:tcW w:w="1085" w:type="dxa"/>
            <w:tcBorders>
              <w:top w:val="single" w:sz="4" w:space="0" w:color="auto"/>
            </w:tcBorders>
            <w:shd w:val="clear" w:color="auto" w:fill="FFFFFF"/>
            <w:vAlign w:val="center"/>
          </w:tcPr>
          <w:p w14:paraId="49468687" w14:textId="77777777" w:rsidR="00CA708B" w:rsidRDefault="00000000">
            <w:pPr>
              <w:pStyle w:val="Jin0"/>
              <w:shd w:val="clear" w:color="auto" w:fill="auto"/>
              <w:spacing w:after="0"/>
              <w:jc w:val="center"/>
              <w:rPr>
                <w:sz w:val="18"/>
                <w:szCs w:val="18"/>
              </w:rPr>
            </w:pPr>
            <w:r>
              <w:rPr>
                <w:b/>
                <w:bCs/>
                <w:sz w:val="18"/>
                <w:szCs w:val="18"/>
              </w:rPr>
              <w:t>1 000</w:t>
            </w:r>
          </w:p>
        </w:tc>
        <w:tc>
          <w:tcPr>
            <w:tcW w:w="1670" w:type="dxa"/>
            <w:tcBorders>
              <w:top w:val="single" w:sz="4" w:space="0" w:color="auto"/>
            </w:tcBorders>
            <w:shd w:val="clear" w:color="auto" w:fill="FFFFFF"/>
            <w:vAlign w:val="center"/>
          </w:tcPr>
          <w:p w14:paraId="31A3D0AC" w14:textId="77777777" w:rsidR="00CA708B" w:rsidRDefault="00000000">
            <w:pPr>
              <w:pStyle w:val="Jin0"/>
              <w:shd w:val="clear" w:color="auto" w:fill="auto"/>
              <w:spacing w:after="0"/>
              <w:jc w:val="center"/>
              <w:rPr>
                <w:sz w:val="18"/>
                <w:szCs w:val="18"/>
              </w:rPr>
            </w:pPr>
            <w:r>
              <w:rPr>
                <w:b/>
                <w:bCs/>
                <w:sz w:val="18"/>
                <w:szCs w:val="18"/>
              </w:rPr>
              <w:t>11/2025</w:t>
            </w:r>
          </w:p>
        </w:tc>
        <w:tc>
          <w:tcPr>
            <w:tcW w:w="1373" w:type="dxa"/>
            <w:tcBorders>
              <w:top w:val="single" w:sz="4" w:space="0" w:color="auto"/>
            </w:tcBorders>
            <w:shd w:val="clear" w:color="auto" w:fill="FFFFFF"/>
            <w:vAlign w:val="bottom"/>
          </w:tcPr>
          <w:p w14:paraId="748911F9" w14:textId="77777777" w:rsidR="00CA708B" w:rsidRDefault="00000000">
            <w:pPr>
              <w:pStyle w:val="Jin0"/>
              <w:shd w:val="clear" w:color="auto" w:fill="auto"/>
              <w:tabs>
                <w:tab w:val="left" w:leader="hyphen" w:pos="466"/>
                <w:tab w:val="left" w:leader="hyphen" w:pos="1334"/>
              </w:tabs>
              <w:spacing w:after="60" w:line="254" w:lineRule="auto"/>
              <w:rPr>
                <w:sz w:val="16"/>
                <w:szCs w:val="16"/>
              </w:rPr>
            </w:pPr>
            <w:r>
              <w:rPr>
                <w:color w:val="A8AD9A"/>
                <w:sz w:val="16"/>
                <w:szCs w:val="16"/>
              </w:rPr>
              <w:tab/>
              <w:t xml:space="preserve"> </w:t>
            </w:r>
            <w:r>
              <w:rPr>
                <w:color w:val="A8AD9A"/>
                <w:sz w:val="16"/>
                <w:szCs w:val="16"/>
              </w:rPr>
              <w:tab/>
              <w:t>1</w:t>
            </w:r>
          </w:p>
          <w:p w14:paraId="49838633" w14:textId="77777777" w:rsidR="00CA708B" w:rsidRDefault="00000000">
            <w:pPr>
              <w:pStyle w:val="Jin0"/>
              <w:shd w:val="clear" w:color="auto" w:fill="auto"/>
              <w:spacing w:after="0"/>
              <w:jc w:val="left"/>
              <w:rPr>
                <w:sz w:val="18"/>
                <w:szCs w:val="18"/>
              </w:rPr>
            </w:pPr>
            <w:r>
              <w:rPr>
                <w:sz w:val="16"/>
                <w:szCs w:val="16"/>
              </w:rPr>
              <w:t xml:space="preserve">Aktuální tržní cena </w:t>
            </w:r>
            <w:proofErr w:type="spellStart"/>
            <w:r>
              <w:rPr>
                <w:sz w:val="16"/>
                <w:szCs w:val="16"/>
              </w:rPr>
              <w:t>merkantilu</w:t>
            </w:r>
            <w:proofErr w:type="spellEnd"/>
            <w:r>
              <w:rPr>
                <w:sz w:val="16"/>
                <w:szCs w:val="16"/>
              </w:rPr>
              <w:t xml:space="preserve"> </w:t>
            </w:r>
            <w:r>
              <w:rPr>
                <w:b/>
                <w:bCs/>
                <w:sz w:val="18"/>
                <w:szCs w:val="18"/>
              </w:rPr>
              <w:t>+ 10%</w:t>
            </w:r>
          </w:p>
        </w:tc>
      </w:tr>
      <w:tr w:rsidR="00CA708B" w14:paraId="615506F3" w14:textId="77777777">
        <w:tblPrEx>
          <w:tblCellMar>
            <w:top w:w="0" w:type="dxa"/>
            <w:bottom w:w="0" w:type="dxa"/>
          </w:tblCellMar>
        </w:tblPrEx>
        <w:trPr>
          <w:trHeight w:hRule="exact" w:val="845"/>
          <w:jc w:val="center"/>
        </w:trPr>
        <w:tc>
          <w:tcPr>
            <w:tcW w:w="1066" w:type="dxa"/>
            <w:tcBorders>
              <w:top w:val="single" w:sz="4" w:space="0" w:color="auto"/>
            </w:tcBorders>
            <w:shd w:val="clear" w:color="auto" w:fill="FFFFFF"/>
            <w:vAlign w:val="center"/>
          </w:tcPr>
          <w:p w14:paraId="4B4D02F9" w14:textId="77777777" w:rsidR="00CA708B" w:rsidRDefault="00000000">
            <w:pPr>
              <w:pStyle w:val="Jin0"/>
              <w:shd w:val="clear" w:color="auto" w:fill="auto"/>
              <w:spacing w:after="0"/>
              <w:jc w:val="left"/>
              <w:rPr>
                <w:sz w:val="16"/>
                <w:szCs w:val="16"/>
              </w:rPr>
            </w:pPr>
            <w:r>
              <w:rPr>
                <w:sz w:val="16"/>
                <w:szCs w:val="16"/>
              </w:rPr>
              <w:t>Svazenka</w:t>
            </w:r>
          </w:p>
          <w:p w14:paraId="6477D8E8" w14:textId="77777777" w:rsidR="00CA708B" w:rsidRDefault="00000000">
            <w:pPr>
              <w:pStyle w:val="Jin0"/>
              <w:shd w:val="clear" w:color="auto" w:fill="auto"/>
              <w:spacing w:after="0"/>
              <w:jc w:val="left"/>
              <w:rPr>
                <w:sz w:val="16"/>
                <w:szCs w:val="16"/>
              </w:rPr>
            </w:pPr>
            <w:proofErr w:type="spellStart"/>
            <w:r>
              <w:rPr>
                <w:sz w:val="16"/>
                <w:szCs w:val="16"/>
              </w:rPr>
              <w:t>vratičolistá</w:t>
            </w:r>
            <w:proofErr w:type="spellEnd"/>
          </w:p>
        </w:tc>
        <w:tc>
          <w:tcPr>
            <w:tcW w:w="1147" w:type="dxa"/>
            <w:tcBorders>
              <w:top w:val="single" w:sz="4" w:space="0" w:color="auto"/>
              <w:bottom w:val="single" w:sz="4" w:space="0" w:color="auto"/>
            </w:tcBorders>
            <w:shd w:val="clear" w:color="auto" w:fill="FFFFFF"/>
            <w:vAlign w:val="center"/>
          </w:tcPr>
          <w:p w14:paraId="64C91CF0" w14:textId="77777777" w:rsidR="00CA708B" w:rsidRDefault="00000000">
            <w:pPr>
              <w:pStyle w:val="Jin0"/>
              <w:shd w:val="clear" w:color="auto" w:fill="auto"/>
              <w:spacing w:after="0"/>
              <w:jc w:val="left"/>
              <w:rPr>
                <w:sz w:val="16"/>
                <w:szCs w:val="16"/>
              </w:rPr>
            </w:pPr>
            <w:r>
              <w:rPr>
                <w:sz w:val="16"/>
                <w:szCs w:val="16"/>
              </w:rPr>
              <w:t>Pro fa</w:t>
            </w:r>
          </w:p>
        </w:tc>
        <w:tc>
          <w:tcPr>
            <w:tcW w:w="1752" w:type="dxa"/>
            <w:tcBorders>
              <w:top w:val="single" w:sz="4" w:space="0" w:color="auto"/>
              <w:bottom w:val="single" w:sz="4" w:space="0" w:color="auto"/>
            </w:tcBorders>
            <w:shd w:val="clear" w:color="auto" w:fill="FFFFFF"/>
            <w:vAlign w:val="center"/>
          </w:tcPr>
          <w:p w14:paraId="1268092B" w14:textId="77777777" w:rsidR="00CA708B" w:rsidRDefault="00000000">
            <w:pPr>
              <w:pStyle w:val="Jin0"/>
              <w:shd w:val="clear" w:color="auto" w:fill="auto"/>
              <w:spacing w:after="0"/>
              <w:jc w:val="center"/>
              <w:rPr>
                <w:sz w:val="18"/>
                <w:szCs w:val="18"/>
              </w:rPr>
            </w:pPr>
            <w:r>
              <w:rPr>
                <w:b/>
                <w:bCs/>
                <w:sz w:val="18"/>
                <w:szCs w:val="18"/>
              </w:rPr>
              <w:t>BIO</w:t>
            </w:r>
          </w:p>
        </w:tc>
        <w:tc>
          <w:tcPr>
            <w:tcW w:w="883" w:type="dxa"/>
            <w:shd w:val="clear" w:color="auto" w:fill="FFFFFF"/>
            <w:vAlign w:val="center"/>
          </w:tcPr>
          <w:p w14:paraId="3C347244" w14:textId="77777777" w:rsidR="00CA708B" w:rsidRDefault="00000000">
            <w:pPr>
              <w:pStyle w:val="Jin0"/>
              <w:shd w:val="clear" w:color="auto" w:fill="auto"/>
              <w:spacing w:after="0"/>
              <w:jc w:val="center"/>
              <w:rPr>
                <w:sz w:val="18"/>
                <w:szCs w:val="18"/>
              </w:rPr>
            </w:pPr>
            <w:r>
              <w:rPr>
                <w:b/>
                <w:bCs/>
                <w:sz w:val="18"/>
                <w:szCs w:val="18"/>
              </w:rPr>
              <w:t>E/Cl</w:t>
            </w:r>
          </w:p>
        </w:tc>
        <w:tc>
          <w:tcPr>
            <w:tcW w:w="931" w:type="dxa"/>
            <w:shd w:val="clear" w:color="auto" w:fill="FFFFFF"/>
            <w:vAlign w:val="center"/>
          </w:tcPr>
          <w:p w14:paraId="431064A8" w14:textId="77777777" w:rsidR="00CA708B" w:rsidRDefault="00000000">
            <w:pPr>
              <w:pStyle w:val="Jin0"/>
              <w:shd w:val="clear" w:color="auto" w:fill="auto"/>
              <w:spacing w:after="0"/>
              <w:ind w:left="60"/>
              <w:jc w:val="center"/>
              <w:rPr>
                <w:sz w:val="18"/>
                <w:szCs w:val="18"/>
              </w:rPr>
            </w:pPr>
            <w:r>
              <w:rPr>
                <w:b/>
                <w:bCs/>
                <w:sz w:val="18"/>
                <w:szCs w:val="18"/>
              </w:rPr>
              <w:t>3,3</w:t>
            </w:r>
          </w:p>
        </w:tc>
        <w:tc>
          <w:tcPr>
            <w:tcW w:w="1085" w:type="dxa"/>
            <w:shd w:val="clear" w:color="auto" w:fill="FFFFFF"/>
            <w:vAlign w:val="center"/>
          </w:tcPr>
          <w:p w14:paraId="66F26595" w14:textId="77777777" w:rsidR="00CA708B" w:rsidRDefault="00000000">
            <w:pPr>
              <w:pStyle w:val="Jin0"/>
              <w:shd w:val="clear" w:color="auto" w:fill="auto"/>
              <w:spacing w:after="0"/>
              <w:jc w:val="center"/>
              <w:rPr>
                <w:sz w:val="18"/>
                <w:szCs w:val="18"/>
              </w:rPr>
            </w:pPr>
            <w:r>
              <w:rPr>
                <w:b/>
                <w:bCs/>
                <w:sz w:val="18"/>
                <w:szCs w:val="18"/>
              </w:rPr>
              <w:t>50</w:t>
            </w:r>
          </w:p>
        </w:tc>
        <w:tc>
          <w:tcPr>
            <w:tcW w:w="1670" w:type="dxa"/>
            <w:shd w:val="clear" w:color="auto" w:fill="FFFFFF"/>
            <w:vAlign w:val="center"/>
          </w:tcPr>
          <w:p w14:paraId="7C2FFC30" w14:textId="77777777" w:rsidR="00CA708B" w:rsidRDefault="00000000">
            <w:pPr>
              <w:pStyle w:val="Jin0"/>
              <w:shd w:val="clear" w:color="auto" w:fill="auto"/>
              <w:spacing w:after="0"/>
              <w:jc w:val="center"/>
              <w:rPr>
                <w:sz w:val="18"/>
                <w:szCs w:val="18"/>
              </w:rPr>
            </w:pPr>
            <w:r>
              <w:rPr>
                <w:b/>
                <w:bCs/>
                <w:sz w:val="18"/>
                <w:szCs w:val="18"/>
              </w:rPr>
              <w:t>10/2025</w:t>
            </w:r>
          </w:p>
        </w:tc>
        <w:tc>
          <w:tcPr>
            <w:tcW w:w="1373" w:type="dxa"/>
            <w:shd w:val="clear" w:color="auto" w:fill="FFFFFF"/>
            <w:vAlign w:val="bottom"/>
          </w:tcPr>
          <w:p w14:paraId="57EAAF54" w14:textId="77777777" w:rsidR="00CA708B" w:rsidRDefault="00000000">
            <w:pPr>
              <w:pStyle w:val="Jin0"/>
              <w:shd w:val="clear" w:color="auto" w:fill="auto"/>
              <w:spacing w:after="0"/>
              <w:jc w:val="left"/>
            </w:pPr>
            <w:r>
              <w:rPr>
                <w:sz w:val="16"/>
                <w:szCs w:val="16"/>
              </w:rPr>
              <w:t xml:space="preserve">Aktuální tržní cena </w:t>
            </w:r>
            <w:proofErr w:type="spellStart"/>
            <w:r>
              <w:rPr>
                <w:sz w:val="16"/>
                <w:szCs w:val="16"/>
              </w:rPr>
              <w:t>merkantilu</w:t>
            </w:r>
            <w:proofErr w:type="spellEnd"/>
            <w:r>
              <w:rPr>
                <w:sz w:val="16"/>
                <w:szCs w:val="16"/>
              </w:rPr>
              <w:t xml:space="preserve"> </w:t>
            </w:r>
            <w:r>
              <w:rPr>
                <w:rFonts w:ascii="Arial" w:eastAsia="Arial" w:hAnsi="Arial" w:cs="Arial"/>
              </w:rPr>
              <w:t>+ to%</w:t>
            </w:r>
          </w:p>
        </w:tc>
      </w:tr>
    </w:tbl>
    <w:p w14:paraId="15F88587" w14:textId="77777777" w:rsidR="00CA708B" w:rsidRDefault="00CA708B">
      <w:pPr>
        <w:spacing w:after="2706" w:line="14" w:lineRule="exact"/>
      </w:pPr>
    </w:p>
    <w:p w14:paraId="7A273912" w14:textId="13A06296" w:rsidR="00CA708B" w:rsidRDefault="00CA708B">
      <w:pPr>
        <w:rPr>
          <w:sz w:val="2"/>
          <w:szCs w:val="2"/>
        </w:rPr>
      </w:pPr>
    </w:p>
    <w:p w14:paraId="4DC56E1C" w14:textId="77777777" w:rsidR="00CA708B" w:rsidRDefault="00CA708B">
      <w:pPr>
        <w:spacing w:line="14" w:lineRule="exact"/>
      </w:pPr>
    </w:p>
    <w:sectPr w:rsidR="00CA708B">
      <w:pgSz w:w="11900" w:h="16840"/>
      <w:pgMar w:top="1809" w:right="1089" w:bottom="982" w:left="889" w:header="1381" w:footer="5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056E4" w14:textId="77777777" w:rsidR="00120581" w:rsidRDefault="00120581">
      <w:r>
        <w:separator/>
      </w:r>
    </w:p>
  </w:endnote>
  <w:endnote w:type="continuationSeparator" w:id="0">
    <w:p w14:paraId="585F242E" w14:textId="77777777" w:rsidR="00120581" w:rsidRDefault="0012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74AC4" w14:textId="77777777" w:rsidR="00120581" w:rsidRDefault="00120581"/>
  </w:footnote>
  <w:footnote w:type="continuationSeparator" w:id="0">
    <w:p w14:paraId="62AEE647" w14:textId="77777777" w:rsidR="00120581" w:rsidRDefault="001205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B8F"/>
    <w:multiLevelType w:val="multilevel"/>
    <w:tmpl w:val="075CB1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6962E6"/>
    <w:multiLevelType w:val="multilevel"/>
    <w:tmpl w:val="C0B45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130A6C"/>
    <w:multiLevelType w:val="multilevel"/>
    <w:tmpl w:val="F8849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5E016A"/>
    <w:multiLevelType w:val="multilevel"/>
    <w:tmpl w:val="F580B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C46BA1"/>
    <w:multiLevelType w:val="multilevel"/>
    <w:tmpl w:val="B9F69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619850">
    <w:abstractNumId w:val="2"/>
  </w:num>
  <w:num w:numId="2" w16cid:durableId="1985427637">
    <w:abstractNumId w:val="1"/>
  </w:num>
  <w:num w:numId="3" w16cid:durableId="512189064">
    <w:abstractNumId w:val="4"/>
  </w:num>
  <w:num w:numId="4" w16cid:durableId="1456559890">
    <w:abstractNumId w:val="0"/>
  </w:num>
  <w:num w:numId="5" w16cid:durableId="1828210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8B"/>
    <w:rsid w:val="000F248A"/>
    <w:rsid w:val="00120581"/>
    <w:rsid w:val="00C47F4D"/>
    <w:rsid w:val="00C90AF5"/>
    <w:rsid w:val="00CA70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FA55"/>
  <w15:docId w15:val="{B1CC17A2-6C04-42FD-B7E8-534349C9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iCs/>
      <w:smallCaps w:val="0"/>
      <w:strike w:val="0"/>
      <w:sz w:val="12"/>
      <w:szCs w:val="1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0"/>
      <w:szCs w:val="3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20"/>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i/>
      <w:iCs/>
      <w:sz w:val="12"/>
      <w:szCs w:val="12"/>
    </w:rPr>
  </w:style>
  <w:style w:type="paragraph" w:customStyle="1" w:styleId="Nadpis10">
    <w:name w:val="Nadpis #1"/>
    <w:basedOn w:val="Normln"/>
    <w:link w:val="Nadpis1"/>
    <w:pPr>
      <w:shd w:val="clear" w:color="auto" w:fill="FFFFFF"/>
      <w:spacing w:after="290"/>
      <w:outlineLvl w:val="0"/>
    </w:pPr>
    <w:rPr>
      <w:rFonts w:ascii="Times New Roman" w:eastAsia="Times New Roman" w:hAnsi="Times New Roman" w:cs="Times New Roman"/>
      <w:b/>
      <w:bCs/>
      <w:sz w:val="34"/>
      <w:szCs w:val="34"/>
    </w:rPr>
  </w:style>
  <w:style w:type="paragraph" w:customStyle="1" w:styleId="Nadpis20">
    <w:name w:val="Nadpis #2"/>
    <w:basedOn w:val="Normln"/>
    <w:link w:val="Nadpis2"/>
    <w:pPr>
      <w:shd w:val="clear" w:color="auto" w:fill="FFFFFF"/>
      <w:spacing w:after="470"/>
      <w:jc w:val="center"/>
      <w:outlineLvl w:val="1"/>
    </w:pPr>
    <w:rPr>
      <w:rFonts w:ascii="Times New Roman" w:eastAsia="Times New Roman" w:hAnsi="Times New Roman" w:cs="Times New Roman"/>
      <w:sz w:val="30"/>
      <w:szCs w:val="30"/>
    </w:rPr>
  </w:style>
  <w:style w:type="paragraph" w:customStyle="1" w:styleId="Nadpis30">
    <w:name w:val="Nadpis #3"/>
    <w:basedOn w:val="Normln"/>
    <w:link w:val="Nadpis3"/>
    <w:pPr>
      <w:shd w:val="clear" w:color="auto" w:fill="FFFFFF"/>
      <w:spacing w:after="40"/>
      <w:outlineLvl w:val="2"/>
    </w:pPr>
    <w:rPr>
      <w:rFonts w:ascii="Times New Roman" w:eastAsia="Times New Roman" w:hAnsi="Times New Roman" w:cs="Times New Roman"/>
      <w:b/>
      <w:bCs/>
      <w:sz w:val="22"/>
      <w:szCs w:val="22"/>
    </w:rPr>
  </w:style>
  <w:style w:type="paragraph" w:customStyle="1" w:styleId="Nadpis40">
    <w:name w:val="Nadpis #4"/>
    <w:basedOn w:val="Normln"/>
    <w:link w:val="Nadpis4"/>
    <w:pPr>
      <w:shd w:val="clear" w:color="auto" w:fill="FFFFFF"/>
      <w:spacing w:after="110"/>
      <w:jc w:val="center"/>
      <w:outlineLvl w:val="3"/>
    </w:pPr>
    <w:rPr>
      <w:rFonts w:ascii="Times New Roman" w:eastAsia="Times New Roman" w:hAnsi="Times New Roman" w:cs="Times New Roman"/>
      <w:b/>
      <w:bCs/>
      <w:sz w:val="20"/>
      <w:szCs w:val="20"/>
    </w:rPr>
  </w:style>
  <w:style w:type="paragraph" w:customStyle="1" w:styleId="Jin0">
    <w:name w:val="Jiné"/>
    <w:basedOn w:val="Normln"/>
    <w:link w:val="Jin"/>
    <w:pPr>
      <w:shd w:val="clear" w:color="auto" w:fill="FFFFFF"/>
      <w:spacing w:after="220"/>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1293</Words>
  <Characters>7635</Characters>
  <Application>Microsoft Office Word</Application>
  <DocSecurity>0</DocSecurity>
  <Lines>63</Lines>
  <Paragraphs>17</Paragraphs>
  <ScaleCrop>false</ScaleCrop>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Sakrýtová Alena</cp:lastModifiedBy>
  <cp:revision>3</cp:revision>
  <dcterms:created xsi:type="dcterms:W3CDTF">2025-04-04T12:04:00Z</dcterms:created>
  <dcterms:modified xsi:type="dcterms:W3CDTF">2025-04-04T12:09:00Z</dcterms:modified>
</cp:coreProperties>
</file>