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781" w:h="235" w:wrap="none" w:hAnchor="page" w:x="1311" w:y="6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b w:val="0"/>
          <w:b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Příloha č. 2 SOD č. 356/2025</w:t>
      </w:r>
    </w:p>
    <w:p>
      <w:pPr>
        <w:pStyle w:val="Style2"/>
        <w:keepNext w:val="0"/>
        <w:keepLines w:val="0"/>
        <w:framePr w:w="9475" w:h="1781" w:wrap="none" w:hAnchor="page" w:x="1287" w:y="15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Výzva potápěčské práce 2025 VD Jirkov, č. akce 201 757</w:t>
      </w:r>
    </w:p>
    <w:p>
      <w:pPr>
        <w:pStyle w:val="Style2"/>
        <w:keepNext w:val="0"/>
        <w:keepLines w:val="0"/>
        <w:framePr w:w="9475" w:h="1781" w:wrap="none" w:hAnchor="page" w:x="1287" w:y="1599"/>
        <w:widowControl w:val="0"/>
        <w:shd w:val="clear" w:color="auto" w:fill="auto"/>
        <w:tabs>
          <w:tab w:pos="7838" w:val="left"/>
        </w:tabs>
        <w:bidi w:val="0"/>
        <w:spacing w:before="0" w:after="0" w:line="240" w:lineRule="auto"/>
        <w:ind w:left="0" w:right="0" w:firstLine="0"/>
        <w:jc w:val="center"/>
        <w:rPr>
          <w:sz w:val="18"/>
          <w:szCs w:val="18"/>
        </w:rPr>
      </w:pPr>
      <w:r>
        <w:rPr>
          <w:b w:val="0"/>
          <w:bCs w:val="0"/>
          <w:color w:val="8F8F8F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komu</w:t>
        <w:tab/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25.03.2025 15:02</w:t>
      </w:r>
    </w:p>
    <w:p>
      <w:pPr>
        <w:pStyle w:val="Style2"/>
        <w:keepNext w:val="0"/>
        <w:keepLines w:val="0"/>
        <w:framePr w:w="9475" w:h="1781" w:wrap="none" w:hAnchor="page" w:x="1287" w:y="1599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sz w:val="18"/>
          <w:szCs w:val="18"/>
        </w:rPr>
      </w:pPr>
      <w:r>
        <w:rPr>
          <w:b w:val="0"/>
          <w:bCs w:val="0"/>
          <w:color w:val="8F8F8F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Kopie</w:t>
      </w:r>
    </w:p>
    <w:p>
      <w:pPr>
        <w:pStyle w:val="Style2"/>
        <w:keepNext w:val="0"/>
        <w:keepLines w:val="0"/>
        <w:framePr w:w="9475" w:h="1781" w:wrap="none" w:hAnchor="page" w:x="1287" w:y="15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b w:val="0"/>
          <w:bCs w:val="0"/>
          <w:color w:val="8F8F8F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Od</w:t>
      </w:r>
    </w:p>
    <w:p>
      <w:pPr>
        <w:pStyle w:val="Style2"/>
        <w:keepNext w:val="0"/>
        <w:keepLines w:val="0"/>
        <w:framePr w:w="9475" w:h="1781" w:wrap="none" w:hAnchor="page" w:x="1287" w:y="15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b w:val="0"/>
          <w:bCs w:val="0"/>
          <w:color w:val="8F8F8F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Komu</w:t>
      </w:r>
    </w:p>
    <w:p>
      <w:pPr>
        <w:pStyle w:val="Style2"/>
        <w:keepNext w:val="0"/>
        <w:keepLines w:val="0"/>
        <w:framePr w:w="9475" w:h="1781" w:wrap="none" w:hAnchor="page" w:x="1287" w:y="1599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8"/>
          <w:szCs w:val="18"/>
        </w:rPr>
      </w:pPr>
      <w:r>
        <w:rPr>
          <w:b w:val="0"/>
          <w:bCs w:val="0"/>
          <w:color w:val="8F8F8F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Kopie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2540</wp:posOffset>
            </wp:positionH>
            <wp:positionV relativeFrom="margin">
              <wp:posOffset>0</wp:posOffset>
            </wp:positionV>
            <wp:extent cx="27305" cy="2730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481330" distB="0" distL="0" distR="0" simplePos="0" relativeHeight="62914691" behindDoc="1" locked="0" layoutInCell="1" allowOverlap="1">
            <wp:simplePos x="0" y="0"/>
            <wp:positionH relativeFrom="page">
              <wp:posOffset>664210</wp:posOffset>
            </wp:positionH>
            <wp:positionV relativeFrom="margin">
              <wp:posOffset>886460</wp:posOffset>
            </wp:positionV>
            <wp:extent cx="6236335" cy="128651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236335" cy="12865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5017135</wp:posOffset>
            </wp:positionH>
            <wp:positionV relativeFrom="margin">
              <wp:posOffset>6324600</wp:posOffset>
            </wp:positionV>
            <wp:extent cx="1664335" cy="33845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664335" cy="3384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932815</wp:posOffset>
            </wp:positionH>
            <wp:positionV relativeFrom="margin">
              <wp:posOffset>6324600</wp:posOffset>
            </wp:positionV>
            <wp:extent cx="4077970" cy="33845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4077970" cy="3384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7" w:left="4" w:right="672" w:bottom="2029" w:header="0" w:footer="1601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3764280</wp:posOffset>
                </wp:positionV>
                <wp:extent cx="1929130" cy="194945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29130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4) Návrh SOD, ceník potáp. prací: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70.75pt;margin-top:296.40000000000003pt;width:151.90000000000001pt;height:15.3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4) Návrh SOD, ceník potáp. prací: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Vážení obchodní partneři,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uzavřené "Rámcové dohody na potápěčské práce pro roky 2025 a 2026" č. objednatele 1296/2024, vás vyzýváme k výkonu potápěčských prací.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line="240" w:lineRule="auto"/>
        <w:ind w:left="0" w:right="0" w:firstLine="0"/>
        <w:jc w:val="left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plnění: VD Jirkov - periodická kontrola nátoků SV, č. akce 201 757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line="240" w:lineRule="auto"/>
        <w:ind w:left="0" w:right="0" w:firstLine="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obsahu předmětu plnění: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Požadujeme zajistit tyto práce za využití potápěčské techniky: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periodické kontroly prostoru nátoku do spodních výpustí (1x3 roky) dle programu TBD. Jedná se o následující potápěčské práce: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kontroly stavu všech česlových polí pravé i levé SV vč. rámů, svorníků a podpěrných ocelových nosníků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kontroly stavu železobetonových konstrukcí pravé SV, levé SV, středového pilíře a nátokového koryta s drážkami pro provizorní hrazení vč. kontroly stavu osazeného provizorního hrazení (ocelové trubky, dřevěné fošny)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67" w:val="left"/>
        </w:tabs>
        <w:bidi w:val="0"/>
        <w:spacing w:before="0" w:line="240" w:lineRule="auto"/>
        <w:ind w:left="0" w:right="0" w:firstLine="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kontroly množství sedimentu před pravou a levou SV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8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záznamu,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after="500" w:line="240" w:lineRule="auto"/>
        <w:ind w:left="0" w:right="0" w:firstLine="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Termín: 05. až 06.2025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Návrh SOD -VD Jirkov - periodická kontrola nátoku potápěčské práce 2025 .docxPříloha č. 1 RD_vzor_ceník.xlsx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 pozdravem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underscore" w:pos="551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odbor inženýringu, TDS specialista </w:t>
        <w:tab/>
        <w:t xml:space="preserve"> Povodí Ohře, státní podnik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underscore" w:pos="5510" w:val="left"/>
        </w:tabs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Bezručova 4219, 430 03 Chomutov tel. : mob. : fax : e-mail : </w:t>
      </w:r>
      <w:r>
        <w:rPr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http: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</w:p>
    <w:sectPr>
      <w:footnotePr>
        <w:pos w:val="pageBottom"/>
        <w:numFmt w:val="decimal"/>
        <w:numRestart w:val="continuous"/>
      </w:footnotePr>
      <w:pgSz w:w="11909" w:h="16834"/>
      <w:pgMar w:top="7" w:left="1415" w:right="672" w:bottom="7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80"/>
      <w:szCs w:val="80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ind w:left="43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80"/>
      <w:szCs w:val="80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6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