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line="240" w:lineRule="auto"/>
        <w:ind w:left="0" w:firstLine="0"/>
        <w:jc w:val="right"/>
      </w:pPr>
      <w:r>
        <w:drawing>
          <wp:anchor distT="0" distB="0" distL="114300" distR="114300" simplePos="0" relativeHeight="125829378" behindDoc="0" locked="0" layoutInCell="1" allowOverlap="1">
            <wp:simplePos x="0" y="0"/>
            <wp:positionH relativeFrom="page">
              <wp:posOffset>3536315</wp:posOffset>
            </wp:positionH>
            <wp:positionV relativeFrom="paragraph">
              <wp:posOffset>152400</wp:posOffset>
            </wp:positionV>
            <wp:extent cx="518160" cy="506095"/>
            <wp:wrapSquare wrapText="r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18160" cy="506095"/>
                    </a:xfrm>
                    <a:prstGeom prst="rect"/>
                  </pic:spPr>
                </pic:pic>
              </a:graphicData>
            </a:graphic>
          </wp:anchor>
        </w:drawing>
      </w:r>
      <w:bookmarkStart w:id="0" w:name="bookmark0"/>
      <w:r>
        <w:rPr>
          <w:rStyle w:val="CharStyle6"/>
        </w:rPr>
        <w:t>Illlllllllllllllllllllll</w:t>
      </w:r>
      <w:bookmarkEnd w:id="0"/>
    </w:p>
    <w:p>
      <w:pPr>
        <w:pStyle w:val="Style7"/>
        <w:keepNext w:val="0"/>
        <w:keepLines w:val="0"/>
        <w:widowControl w:val="0"/>
        <w:shd w:val="clear" w:color="auto" w:fill="auto"/>
        <w:bidi w:val="0"/>
        <w:spacing w:before="0" w:line="240" w:lineRule="auto"/>
        <w:ind w:left="0" w:firstLine="0"/>
        <w:jc w:val="right"/>
      </w:pPr>
      <w:r>
        <w:rPr>
          <w:rStyle w:val="CharStyle8"/>
        </w:rPr>
        <w:t>2021002692</w:t>
      </w:r>
    </w:p>
    <w:p>
      <w:pPr>
        <w:pStyle w:val="Style2"/>
        <w:keepNext w:val="0"/>
        <w:keepLines w:val="0"/>
        <w:widowControl w:val="0"/>
        <w:shd w:val="clear" w:color="auto" w:fill="auto"/>
        <w:bidi w:val="0"/>
        <w:spacing w:before="0" w:after="420" w:line="240" w:lineRule="auto"/>
        <w:ind w:left="0" w:right="0" w:firstLine="0"/>
        <w:jc w:val="left"/>
      </w:pPr>
      <w:r>
        <w:rPr>
          <w:rStyle w:val="CharStyle3"/>
        </w:rPr>
        <w:t>číslo Rámcové dohody: O2OP / 898670</w:t>
      </w:r>
    </w:p>
    <w:p>
      <w:pPr>
        <w:pStyle w:val="Style9"/>
        <w:keepNext/>
        <w:keepLines/>
        <w:widowControl w:val="0"/>
        <w:shd w:val="clear" w:color="auto" w:fill="auto"/>
        <w:bidi w:val="0"/>
        <w:spacing w:before="0" w:line="240" w:lineRule="auto"/>
        <w:ind w:left="0" w:right="0" w:firstLine="0"/>
        <w:jc w:val="center"/>
      </w:pPr>
      <w:bookmarkStart w:id="2" w:name="bookmark2"/>
      <w:r>
        <w:rPr>
          <w:rStyle w:val="CharStyle10"/>
          <w:b/>
          <w:bCs/>
        </w:rPr>
        <w:t>RÁMCOVÁ DOHODA</w:t>
      </w:r>
      <w:bookmarkEnd w:id="2"/>
    </w:p>
    <w:p>
      <w:pPr>
        <w:pStyle w:val="Style11"/>
        <w:keepNext/>
        <w:keepLines/>
        <w:widowControl w:val="0"/>
        <w:shd w:val="clear" w:color="auto" w:fill="auto"/>
        <w:bidi w:val="0"/>
        <w:spacing w:before="0" w:after="320" w:line="240" w:lineRule="auto"/>
        <w:ind w:left="0" w:right="0" w:firstLine="0"/>
        <w:jc w:val="center"/>
      </w:pPr>
      <w:bookmarkStart w:id="4" w:name="bookmark4"/>
      <w:r>
        <w:rPr>
          <w:rStyle w:val="CharStyle12"/>
          <w:b/>
          <w:bCs/>
        </w:rPr>
        <w:t>O PODMÍNKÁCH POSKYTOVÁNÍ MOBILNÍCH SLUŽEB ELEKTRONICKÝCH KOMUNIKACÍ</w:t>
      </w:r>
      <w:bookmarkEnd w:id="4"/>
    </w:p>
    <w:p>
      <w:pPr>
        <w:pStyle w:val="Style2"/>
        <w:keepNext w:val="0"/>
        <w:keepLines w:val="0"/>
        <w:widowControl w:val="0"/>
        <w:shd w:val="clear" w:color="auto" w:fill="auto"/>
        <w:bidi w:val="0"/>
        <w:spacing w:before="0" w:after="460" w:line="240" w:lineRule="auto"/>
        <w:ind w:left="0" w:right="0" w:firstLine="0"/>
        <w:jc w:val="center"/>
      </w:pPr>
      <w:r>
        <w:rPr>
          <w:rStyle w:val="CharStyle3"/>
        </w:rPr>
        <w:t>uzavřená mezi</w:t>
      </w:r>
    </w:p>
    <w:p>
      <w:pPr>
        <w:pStyle w:val="Style11"/>
        <w:keepNext/>
        <w:keepLines/>
        <w:widowControl w:val="0"/>
        <w:shd w:val="clear" w:color="auto" w:fill="auto"/>
        <w:bidi w:val="0"/>
        <w:spacing w:before="0" w:after="0" w:line="254" w:lineRule="auto"/>
        <w:ind w:left="0" w:right="0" w:firstLine="0"/>
        <w:jc w:val="left"/>
      </w:pPr>
      <w:r>
        <mc:AlternateContent>
          <mc:Choice Requires="wps">
            <w:drawing>
              <wp:anchor distT="0" distB="0" distL="88900" distR="88900" simplePos="0" relativeHeight="125829379" behindDoc="0" locked="0" layoutInCell="1" allowOverlap="1">
                <wp:simplePos x="0" y="0"/>
                <wp:positionH relativeFrom="page">
                  <wp:posOffset>3856355</wp:posOffset>
                </wp:positionH>
                <wp:positionV relativeFrom="paragraph">
                  <wp:posOffset>12700</wp:posOffset>
                </wp:positionV>
                <wp:extent cx="2172970" cy="2371090"/>
                <wp:wrapSquare wrapText="left"/>
                <wp:docPr id="3" name="Shape 3"/>
                <a:graphic xmlns:a="http://schemas.openxmlformats.org/drawingml/2006/main">
                  <a:graphicData uri="http://schemas.microsoft.com/office/word/2010/wordprocessingShape">
                    <wps:wsp>
                      <wps:cNvSpPr txBox="1"/>
                      <wps:spPr>
                        <a:xfrm>
                          <a:ext cx="2172970" cy="23710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02 Czech Republic a. s.</w:t>
                            </w:r>
                          </w:p>
                          <w:p>
                            <w:pPr>
                              <w:pStyle w:val="Style2"/>
                              <w:keepNext w:val="0"/>
                              <w:keepLines w:val="0"/>
                              <w:widowControl w:val="0"/>
                              <w:shd w:val="clear" w:color="auto" w:fill="auto"/>
                              <w:bidi w:val="0"/>
                              <w:spacing w:before="0" w:after="0" w:line="240" w:lineRule="auto"/>
                              <w:ind w:left="0" w:right="0" w:firstLine="0"/>
                              <w:jc w:val="left"/>
                            </w:pPr>
                            <w:r>
                              <w:rPr>
                                <w:rStyle w:val="CharStyle3"/>
                              </w:rPr>
                              <w:t>Za Brumlovkou 266/2</w:t>
                            </w:r>
                          </w:p>
                          <w:p>
                            <w:pPr>
                              <w:pStyle w:val="Style2"/>
                              <w:keepNext w:val="0"/>
                              <w:keepLines w:val="0"/>
                              <w:widowControl w:val="0"/>
                              <w:shd w:val="clear" w:color="auto" w:fill="auto"/>
                              <w:bidi w:val="0"/>
                              <w:spacing w:before="0" w:after="0" w:line="240" w:lineRule="auto"/>
                              <w:ind w:left="0" w:right="0" w:firstLine="0"/>
                              <w:jc w:val="left"/>
                            </w:pPr>
                            <w:r>
                              <w:rPr>
                                <w:rStyle w:val="CharStyle3"/>
                              </w:rPr>
                              <w:t>140 22 Praha 4 - Michle</w:t>
                            </w:r>
                          </w:p>
                          <w:p>
                            <w:pPr>
                              <w:pStyle w:val="Style2"/>
                              <w:keepNext w:val="0"/>
                              <w:keepLines w:val="0"/>
                              <w:widowControl w:val="0"/>
                              <w:shd w:val="clear" w:color="auto" w:fill="auto"/>
                              <w:bidi w:val="0"/>
                              <w:spacing w:before="0" w:after="0" w:line="240" w:lineRule="auto"/>
                              <w:ind w:left="0" w:right="0" w:firstLine="0"/>
                              <w:jc w:val="left"/>
                            </w:pPr>
                            <w:r>
                              <w:rPr>
                                <w:rStyle w:val="CharStyle3"/>
                              </w:rPr>
                              <w:t>IČO: 60193336</w:t>
                            </w:r>
                          </w:p>
                          <w:p>
                            <w:pPr>
                              <w:pStyle w:val="Style2"/>
                              <w:keepNext w:val="0"/>
                              <w:keepLines w:val="0"/>
                              <w:widowControl w:val="0"/>
                              <w:shd w:val="clear" w:color="auto" w:fill="auto"/>
                              <w:bidi w:val="0"/>
                              <w:spacing w:before="0" w:after="0" w:line="240" w:lineRule="auto"/>
                              <w:ind w:left="0" w:right="0" w:firstLine="0"/>
                              <w:jc w:val="left"/>
                            </w:pPr>
                            <w:r>
                              <w:rPr>
                                <w:rStyle w:val="CharStyle3"/>
                              </w:rPr>
                              <w:t>DIČ: CZ60193336</w:t>
                            </w:r>
                          </w:p>
                          <w:p>
                            <w:pPr>
                              <w:pStyle w:val="Style2"/>
                              <w:keepNext w:val="0"/>
                              <w:keepLines w:val="0"/>
                              <w:widowControl w:val="0"/>
                              <w:shd w:val="clear" w:color="auto" w:fill="auto"/>
                              <w:bidi w:val="0"/>
                              <w:spacing w:before="0" w:after="0" w:line="240" w:lineRule="auto"/>
                              <w:ind w:left="0" w:right="0" w:firstLine="0"/>
                              <w:jc w:val="left"/>
                            </w:pPr>
                            <w:r>
                              <w:rPr>
                                <w:rStyle w:val="CharStyle3"/>
                              </w:rPr>
                              <w:t>spisová značka, pod kterou je společnost zapsána u příslušného rejstříkového soudu:</w:t>
                            </w:r>
                          </w:p>
                          <w:p>
                            <w:pPr>
                              <w:pStyle w:val="Style2"/>
                              <w:keepNext w:val="0"/>
                              <w:keepLines w:val="0"/>
                              <w:widowControl w:val="0"/>
                              <w:shd w:val="clear" w:color="auto" w:fill="auto"/>
                              <w:bidi w:val="0"/>
                              <w:spacing w:before="0" w:after="240" w:line="240" w:lineRule="auto"/>
                              <w:ind w:left="0" w:right="0" w:firstLine="0"/>
                              <w:jc w:val="left"/>
                            </w:pPr>
                            <w:r>
                              <w:rPr>
                                <w:rStyle w:val="CharStyle3"/>
                              </w:rPr>
                              <w:t>B 2322 vedená u Městského soudu v Praze</w:t>
                            </w:r>
                          </w:p>
                          <w:p>
                            <w:pPr>
                              <w:pStyle w:val="Style2"/>
                              <w:keepNext w:val="0"/>
                              <w:keepLines w:val="0"/>
                              <w:widowControl w:val="0"/>
                              <w:shd w:val="clear" w:color="auto" w:fill="auto"/>
                              <w:bidi w:val="0"/>
                              <w:spacing w:before="0" w:after="0" w:line="240" w:lineRule="auto"/>
                              <w:ind w:left="0" w:right="0" w:firstLine="0"/>
                              <w:jc w:val="left"/>
                            </w:pPr>
                            <w:r>
                              <w:rPr>
                                <w:rStyle w:val="CharStyle3"/>
                              </w:rPr>
                              <w:t>Bankovní spojení:</w:t>
                            </w:r>
                          </w:p>
                          <w:p>
                            <w:pPr>
                              <w:pStyle w:val="Style2"/>
                              <w:keepNext w:val="0"/>
                              <w:keepLines w:val="0"/>
                              <w:widowControl w:val="0"/>
                              <w:shd w:val="clear" w:color="auto" w:fill="auto"/>
                              <w:bidi w:val="0"/>
                              <w:spacing w:before="0" w:after="240" w:line="240" w:lineRule="auto"/>
                              <w:ind w:left="0" w:right="0" w:firstLine="0"/>
                              <w:jc w:val="left"/>
                            </w:pPr>
                            <w:r>
                              <w:rPr>
                                <w:rStyle w:val="CharStyle3"/>
                              </w:rPr>
                              <w:t>UniCredit Bank a.s., č.ú.: 500114004 / 2700</w:t>
                            </w:r>
                          </w:p>
                          <w:p>
                            <w:pPr>
                              <w:pStyle w:val="Style2"/>
                              <w:keepNext w:val="0"/>
                              <w:keepLines w:val="0"/>
                              <w:widowControl w:val="0"/>
                              <w:shd w:val="clear" w:color="auto" w:fill="auto"/>
                              <w:bidi w:val="0"/>
                              <w:spacing w:before="0" w:after="0" w:line="240" w:lineRule="auto"/>
                              <w:ind w:left="0" w:right="0" w:firstLine="0"/>
                              <w:jc w:val="left"/>
                            </w:pPr>
                            <w:r>
                              <w:rPr>
                                <w:rStyle w:val="CharStyle3"/>
                              </w:rPr>
                              <w:t>zastoupená:</w:t>
                            </w:r>
                          </w:p>
                          <w:p>
                            <w:pPr>
                              <w:pStyle w:val="Style2"/>
                              <w:keepNext w:val="0"/>
                              <w:keepLines w:val="0"/>
                              <w:widowControl w:val="0"/>
                              <w:shd w:val="clear" w:color="auto" w:fill="auto"/>
                              <w:bidi w:val="0"/>
                              <w:spacing w:before="0" w:after="0" w:line="240" w:lineRule="auto"/>
                              <w:ind w:left="0" w:right="0" w:firstLine="0"/>
                              <w:jc w:val="left"/>
                            </w:pPr>
                            <w:r>
                              <w:rPr>
                                <w:rStyle w:val="CharStyle3"/>
                              </w:rPr>
                              <w:t>Ing. Tomáš Linhart</w:t>
                            </w:r>
                          </w:p>
                          <w:p>
                            <w:pPr>
                              <w:pStyle w:val="Style2"/>
                              <w:keepNext w:val="0"/>
                              <w:keepLines w:val="0"/>
                              <w:widowControl w:val="0"/>
                              <w:shd w:val="clear" w:color="auto" w:fill="auto"/>
                              <w:bidi w:val="0"/>
                              <w:spacing w:before="0" w:after="0" w:line="240" w:lineRule="auto"/>
                              <w:ind w:left="0" w:right="0" w:firstLine="0"/>
                              <w:jc w:val="left"/>
                            </w:pPr>
                            <w:r>
                              <w:rPr>
                                <w:rStyle w:val="CharStyle3"/>
                              </w:rPr>
                              <w:t>Ředitel, Veřejná správa</w:t>
                            </w:r>
                          </w:p>
                          <w:p>
                            <w:pPr>
                              <w:pStyle w:val="Style2"/>
                              <w:keepNext w:val="0"/>
                              <w:keepLines w:val="0"/>
                              <w:widowControl w:val="0"/>
                              <w:shd w:val="clear" w:color="auto" w:fill="auto"/>
                              <w:bidi w:val="0"/>
                              <w:spacing w:before="0" w:after="0" w:line="240" w:lineRule="auto"/>
                              <w:ind w:left="0" w:right="0" w:firstLine="0"/>
                              <w:jc w:val="left"/>
                            </w:pPr>
                            <w:r>
                              <w:rPr>
                                <w:rStyle w:val="CharStyle3"/>
                              </w:rPr>
                              <w:t>(dále jen „02")</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03.65000000000003pt;margin-top:1.pt;width:171.09999999999999pt;height:186.70000000000002pt;z-index:-125829374;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02 Czech Republic a. s.</w:t>
                      </w:r>
                    </w:p>
                    <w:p>
                      <w:pPr>
                        <w:pStyle w:val="Style2"/>
                        <w:keepNext w:val="0"/>
                        <w:keepLines w:val="0"/>
                        <w:widowControl w:val="0"/>
                        <w:shd w:val="clear" w:color="auto" w:fill="auto"/>
                        <w:bidi w:val="0"/>
                        <w:spacing w:before="0" w:after="0" w:line="240" w:lineRule="auto"/>
                        <w:ind w:left="0" w:right="0" w:firstLine="0"/>
                        <w:jc w:val="left"/>
                      </w:pPr>
                      <w:r>
                        <w:rPr>
                          <w:rStyle w:val="CharStyle3"/>
                        </w:rPr>
                        <w:t>Za Brumlovkou 266/2</w:t>
                      </w:r>
                    </w:p>
                    <w:p>
                      <w:pPr>
                        <w:pStyle w:val="Style2"/>
                        <w:keepNext w:val="0"/>
                        <w:keepLines w:val="0"/>
                        <w:widowControl w:val="0"/>
                        <w:shd w:val="clear" w:color="auto" w:fill="auto"/>
                        <w:bidi w:val="0"/>
                        <w:spacing w:before="0" w:after="0" w:line="240" w:lineRule="auto"/>
                        <w:ind w:left="0" w:right="0" w:firstLine="0"/>
                        <w:jc w:val="left"/>
                      </w:pPr>
                      <w:r>
                        <w:rPr>
                          <w:rStyle w:val="CharStyle3"/>
                        </w:rPr>
                        <w:t>140 22 Praha 4 - Michle</w:t>
                      </w:r>
                    </w:p>
                    <w:p>
                      <w:pPr>
                        <w:pStyle w:val="Style2"/>
                        <w:keepNext w:val="0"/>
                        <w:keepLines w:val="0"/>
                        <w:widowControl w:val="0"/>
                        <w:shd w:val="clear" w:color="auto" w:fill="auto"/>
                        <w:bidi w:val="0"/>
                        <w:spacing w:before="0" w:after="0" w:line="240" w:lineRule="auto"/>
                        <w:ind w:left="0" w:right="0" w:firstLine="0"/>
                        <w:jc w:val="left"/>
                      </w:pPr>
                      <w:r>
                        <w:rPr>
                          <w:rStyle w:val="CharStyle3"/>
                        </w:rPr>
                        <w:t>IČO: 60193336</w:t>
                      </w:r>
                    </w:p>
                    <w:p>
                      <w:pPr>
                        <w:pStyle w:val="Style2"/>
                        <w:keepNext w:val="0"/>
                        <w:keepLines w:val="0"/>
                        <w:widowControl w:val="0"/>
                        <w:shd w:val="clear" w:color="auto" w:fill="auto"/>
                        <w:bidi w:val="0"/>
                        <w:spacing w:before="0" w:after="0" w:line="240" w:lineRule="auto"/>
                        <w:ind w:left="0" w:right="0" w:firstLine="0"/>
                        <w:jc w:val="left"/>
                      </w:pPr>
                      <w:r>
                        <w:rPr>
                          <w:rStyle w:val="CharStyle3"/>
                        </w:rPr>
                        <w:t>DIČ: CZ60193336</w:t>
                      </w:r>
                    </w:p>
                    <w:p>
                      <w:pPr>
                        <w:pStyle w:val="Style2"/>
                        <w:keepNext w:val="0"/>
                        <w:keepLines w:val="0"/>
                        <w:widowControl w:val="0"/>
                        <w:shd w:val="clear" w:color="auto" w:fill="auto"/>
                        <w:bidi w:val="0"/>
                        <w:spacing w:before="0" w:after="0" w:line="240" w:lineRule="auto"/>
                        <w:ind w:left="0" w:right="0" w:firstLine="0"/>
                        <w:jc w:val="left"/>
                      </w:pPr>
                      <w:r>
                        <w:rPr>
                          <w:rStyle w:val="CharStyle3"/>
                        </w:rPr>
                        <w:t>spisová značka, pod kterou je společnost zapsána u příslušného rejstříkového soudu:</w:t>
                      </w:r>
                    </w:p>
                    <w:p>
                      <w:pPr>
                        <w:pStyle w:val="Style2"/>
                        <w:keepNext w:val="0"/>
                        <w:keepLines w:val="0"/>
                        <w:widowControl w:val="0"/>
                        <w:shd w:val="clear" w:color="auto" w:fill="auto"/>
                        <w:bidi w:val="0"/>
                        <w:spacing w:before="0" w:after="240" w:line="240" w:lineRule="auto"/>
                        <w:ind w:left="0" w:right="0" w:firstLine="0"/>
                        <w:jc w:val="left"/>
                      </w:pPr>
                      <w:r>
                        <w:rPr>
                          <w:rStyle w:val="CharStyle3"/>
                        </w:rPr>
                        <w:t>B 2322 vedená u Městského soudu v Praze</w:t>
                      </w:r>
                    </w:p>
                    <w:p>
                      <w:pPr>
                        <w:pStyle w:val="Style2"/>
                        <w:keepNext w:val="0"/>
                        <w:keepLines w:val="0"/>
                        <w:widowControl w:val="0"/>
                        <w:shd w:val="clear" w:color="auto" w:fill="auto"/>
                        <w:bidi w:val="0"/>
                        <w:spacing w:before="0" w:after="0" w:line="240" w:lineRule="auto"/>
                        <w:ind w:left="0" w:right="0" w:firstLine="0"/>
                        <w:jc w:val="left"/>
                      </w:pPr>
                      <w:r>
                        <w:rPr>
                          <w:rStyle w:val="CharStyle3"/>
                        </w:rPr>
                        <w:t>Bankovní spojení:</w:t>
                      </w:r>
                    </w:p>
                    <w:p>
                      <w:pPr>
                        <w:pStyle w:val="Style2"/>
                        <w:keepNext w:val="0"/>
                        <w:keepLines w:val="0"/>
                        <w:widowControl w:val="0"/>
                        <w:shd w:val="clear" w:color="auto" w:fill="auto"/>
                        <w:bidi w:val="0"/>
                        <w:spacing w:before="0" w:after="240" w:line="240" w:lineRule="auto"/>
                        <w:ind w:left="0" w:right="0" w:firstLine="0"/>
                        <w:jc w:val="left"/>
                      </w:pPr>
                      <w:r>
                        <w:rPr>
                          <w:rStyle w:val="CharStyle3"/>
                        </w:rPr>
                        <w:t>UniCredit Bank a.s., č.ú.: 500114004 / 2700</w:t>
                      </w:r>
                    </w:p>
                    <w:p>
                      <w:pPr>
                        <w:pStyle w:val="Style2"/>
                        <w:keepNext w:val="0"/>
                        <w:keepLines w:val="0"/>
                        <w:widowControl w:val="0"/>
                        <w:shd w:val="clear" w:color="auto" w:fill="auto"/>
                        <w:bidi w:val="0"/>
                        <w:spacing w:before="0" w:after="0" w:line="240" w:lineRule="auto"/>
                        <w:ind w:left="0" w:right="0" w:firstLine="0"/>
                        <w:jc w:val="left"/>
                      </w:pPr>
                      <w:r>
                        <w:rPr>
                          <w:rStyle w:val="CharStyle3"/>
                        </w:rPr>
                        <w:t>zastoupená:</w:t>
                      </w:r>
                    </w:p>
                    <w:p>
                      <w:pPr>
                        <w:pStyle w:val="Style2"/>
                        <w:keepNext w:val="0"/>
                        <w:keepLines w:val="0"/>
                        <w:widowControl w:val="0"/>
                        <w:shd w:val="clear" w:color="auto" w:fill="auto"/>
                        <w:bidi w:val="0"/>
                        <w:spacing w:before="0" w:after="0" w:line="240" w:lineRule="auto"/>
                        <w:ind w:left="0" w:right="0" w:firstLine="0"/>
                        <w:jc w:val="left"/>
                      </w:pPr>
                      <w:r>
                        <w:rPr>
                          <w:rStyle w:val="CharStyle3"/>
                        </w:rPr>
                        <w:t>Ing. Tomáš Linhart</w:t>
                      </w:r>
                    </w:p>
                    <w:p>
                      <w:pPr>
                        <w:pStyle w:val="Style2"/>
                        <w:keepNext w:val="0"/>
                        <w:keepLines w:val="0"/>
                        <w:widowControl w:val="0"/>
                        <w:shd w:val="clear" w:color="auto" w:fill="auto"/>
                        <w:bidi w:val="0"/>
                        <w:spacing w:before="0" w:after="0" w:line="240" w:lineRule="auto"/>
                        <w:ind w:left="0" w:right="0" w:firstLine="0"/>
                        <w:jc w:val="left"/>
                      </w:pPr>
                      <w:r>
                        <w:rPr>
                          <w:rStyle w:val="CharStyle3"/>
                        </w:rPr>
                        <w:t>Ředitel, Veřejná správa</w:t>
                      </w:r>
                    </w:p>
                    <w:p>
                      <w:pPr>
                        <w:pStyle w:val="Style2"/>
                        <w:keepNext w:val="0"/>
                        <w:keepLines w:val="0"/>
                        <w:widowControl w:val="0"/>
                        <w:shd w:val="clear" w:color="auto" w:fill="auto"/>
                        <w:bidi w:val="0"/>
                        <w:spacing w:before="0" w:after="0" w:line="240" w:lineRule="auto"/>
                        <w:ind w:left="0" w:right="0" w:firstLine="0"/>
                        <w:jc w:val="left"/>
                      </w:pPr>
                      <w:r>
                        <w:rPr>
                          <w:rStyle w:val="CharStyle3"/>
                        </w:rPr>
                        <w:t>(dále jen „02")</w:t>
                      </w:r>
                    </w:p>
                  </w:txbxContent>
                </v:textbox>
                <w10:wrap type="square" side="left" anchorx="page"/>
              </v:shape>
            </w:pict>
          </mc:Fallback>
        </mc:AlternateContent>
      </w:r>
      <w:bookmarkStart w:id="6" w:name="bookmark6"/>
      <w:r>
        <w:rPr>
          <w:rStyle w:val="CharStyle12"/>
          <w:b/>
          <w:bCs/>
        </w:rPr>
        <w:t>Zdravotnická záchranná služba Jihomoravského kraje, příspěvková organizace</w:t>
      </w:r>
      <w:bookmarkEnd w:id="6"/>
    </w:p>
    <w:p>
      <w:pPr>
        <w:pStyle w:val="Style2"/>
        <w:keepNext w:val="0"/>
        <w:keepLines w:val="0"/>
        <w:widowControl w:val="0"/>
        <w:shd w:val="clear" w:color="auto" w:fill="auto"/>
        <w:bidi w:val="0"/>
        <w:spacing w:before="0" w:after="0" w:line="254" w:lineRule="auto"/>
        <w:ind w:left="0" w:right="0" w:firstLine="0"/>
        <w:jc w:val="left"/>
      </w:pPr>
      <w:r>
        <w:rPr>
          <w:rStyle w:val="CharStyle3"/>
        </w:rPr>
        <w:t>Kamenice 798/ld</w:t>
      </w:r>
    </w:p>
    <w:p>
      <w:pPr>
        <w:pStyle w:val="Style2"/>
        <w:keepNext w:val="0"/>
        <w:keepLines w:val="0"/>
        <w:widowControl w:val="0"/>
        <w:shd w:val="clear" w:color="auto" w:fill="auto"/>
        <w:bidi w:val="0"/>
        <w:spacing w:before="0" w:after="0" w:line="254" w:lineRule="auto"/>
        <w:ind w:left="0" w:right="0" w:firstLine="0"/>
        <w:jc w:val="left"/>
      </w:pPr>
      <w:r>
        <w:rPr>
          <w:rStyle w:val="CharStyle3"/>
        </w:rPr>
        <w:t>625 00 Brno - Bohunice</w:t>
      </w:r>
    </w:p>
    <w:p>
      <w:pPr>
        <w:pStyle w:val="Style2"/>
        <w:keepNext w:val="0"/>
        <w:keepLines w:val="0"/>
        <w:widowControl w:val="0"/>
        <w:shd w:val="clear" w:color="auto" w:fill="auto"/>
        <w:bidi w:val="0"/>
        <w:spacing w:before="0" w:after="0" w:line="254" w:lineRule="auto"/>
        <w:ind w:left="0" w:right="0" w:firstLine="0"/>
        <w:jc w:val="left"/>
      </w:pPr>
      <w:r>
        <w:rPr>
          <w:rStyle w:val="CharStyle3"/>
        </w:rPr>
        <w:t>IČO: 00346292</w:t>
      </w:r>
    </w:p>
    <w:p>
      <w:pPr>
        <w:pStyle w:val="Style2"/>
        <w:keepNext w:val="0"/>
        <w:keepLines w:val="0"/>
        <w:widowControl w:val="0"/>
        <w:shd w:val="clear" w:color="auto" w:fill="auto"/>
        <w:bidi w:val="0"/>
        <w:spacing w:before="0" w:after="0" w:line="254" w:lineRule="auto"/>
        <w:ind w:left="0" w:right="0" w:firstLine="0"/>
        <w:jc w:val="left"/>
      </w:pPr>
      <w:r>
        <w:rPr>
          <w:rStyle w:val="CharStyle3"/>
        </w:rPr>
        <w:t>DIČ: CZ00346292</w:t>
      </w:r>
    </w:p>
    <w:p>
      <w:pPr>
        <w:pStyle w:val="Style2"/>
        <w:keepNext w:val="0"/>
        <w:keepLines w:val="0"/>
        <w:widowControl w:val="0"/>
        <w:shd w:val="clear" w:color="auto" w:fill="auto"/>
        <w:bidi w:val="0"/>
        <w:spacing w:before="0" w:after="0" w:line="254" w:lineRule="auto"/>
        <w:ind w:left="0" w:right="0" w:firstLine="0"/>
        <w:jc w:val="left"/>
      </w:pPr>
      <w:r>
        <w:rPr>
          <w:rStyle w:val="CharStyle3"/>
        </w:rPr>
        <w:t>spisová značka, pod kterou je společnost</w:t>
      </w:r>
    </w:p>
    <w:p>
      <w:pPr>
        <w:pStyle w:val="Style2"/>
        <w:keepNext w:val="0"/>
        <w:keepLines w:val="0"/>
        <w:widowControl w:val="0"/>
        <w:shd w:val="clear" w:color="auto" w:fill="auto"/>
        <w:bidi w:val="0"/>
        <w:spacing w:before="0" w:after="0" w:line="254" w:lineRule="auto"/>
        <w:ind w:left="0" w:right="0" w:firstLine="0"/>
        <w:jc w:val="left"/>
      </w:pPr>
      <w:r>
        <w:rPr>
          <w:rStyle w:val="CharStyle3"/>
        </w:rPr>
        <w:t>zapsána u příslušného rejstříkového soudu:</w:t>
      </w:r>
    </w:p>
    <w:p>
      <w:pPr>
        <w:pStyle w:val="Style2"/>
        <w:keepNext w:val="0"/>
        <w:keepLines w:val="0"/>
        <w:widowControl w:val="0"/>
        <w:shd w:val="clear" w:color="auto" w:fill="auto"/>
        <w:bidi w:val="0"/>
        <w:spacing w:before="0" w:after="200" w:line="254" w:lineRule="auto"/>
        <w:ind w:left="0" w:right="0" w:firstLine="0"/>
        <w:jc w:val="left"/>
      </w:pPr>
      <w:r>
        <w:rPr>
          <w:rStyle w:val="CharStyle3"/>
        </w:rPr>
        <w:t>Pr 1245 vedená u Krajského soudu v Brně</w:t>
      </w:r>
    </w:p>
    <w:p>
      <w:pPr>
        <w:pStyle w:val="Style2"/>
        <w:keepNext w:val="0"/>
        <w:keepLines w:val="0"/>
        <w:widowControl w:val="0"/>
        <w:shd w:val="clear" w:color="auto" w:fill="auto"/>
        <w:bidi w:val="0"/>
        <w:spacing w:before="0" w:after="200" w:line="269" w:lineRule="auto"/>
        <w:ind w:left="0" w:right="0" w:firstLine="0"/>
        <w:jc w:val="left"/>
      </w:pPr>
      <w:r>
        <w:rPr>
          <w:rStyle w:val="CharStyle3"/>
        </w:rPr>
        <w:t>Bankovní spojení: MONETA Money Bank, a.s. číslo účtu: 117203514/0600</w:t>
      </w:r>
    </w:p>
    <w:p>
      <w:pPr>
        <w:pStyle w:val="Style2"/>
        <w:keepNext w:val="0"/>
        <w:keepLines w:val="0"/>
        <w:widowControl w:val="0"/>
        <w:shd w:val="clear" w:color="auto" w:fill="auto"/>
        <w:bidi w:val="0"/>
        <w:spacing w:before="0" w:after="0" w:line="254" w:lineRule="auto"/>
        <w:ind w:left="0" w:right="0" w:firstLine="0"/>
        <w:jc w:val="left"/>
      </w:pPr>
      <w:r>
        <w:rPr>
          <w:rStyle w:val="CharStyle3"/>
        </w:rPr>
        <w:t>zastoupená:</w:t>
      </w:r>
    </w:p>
    <w:p>
      <w:pPr>
        <w:pStyle w:val="Style2"/>
        <w:keepNext w:val="0"/>
        <w:keepLines w:val="0"/>
        <w:widowControl w:val="0"/>
        <w:shd w:val="clear" w:color="auto" w:fill="auto"/>
        <w:bidi w:val="0"/>
        <w:spacing w:before="0" w:after="0" w:line="254" w:lineRule="auto"/>
        <w:ind w:left="0" w:right="0" w:firstLine="0"/>
        <w:jc w:val="left"/>
      </w:pPr>
      <w:r>
        <w:rPr>
          <w:rStyle w:val="CharStyle3"/>
        </w:rPr>
        <w:t>MUDr. HANA ALBRECHTOVÁ</w:t>
      </w:r>
    </w:p>
    <w:p>
      <w:pPr>
        <w:pStyle w:val="Style2"/>
        <w:keepNext w:val="0"/>
        <w:keepLines w:val="0"/>
        <w:widowControl w:val="0"/>
        <w:shd w:val="clear" w:color="auto" w:fill="auto"/>
        <w:bidi w:val="0"/>
        <w:spacing w:before="0" w:after="0" w:line="254" w:lineRule="auto"/>
        <w:ind w:left="0" w:right="0" w:firstLine="0"/>
        <w:jc w:val="left"/>
      </w:pPr>
      <w:r>
        <w:rPr>
          <w:rStyle w:val="CharStyle3"/>
        </w:rPr>
        <w:t>ředitel</w:t>
      </w:r>
    </w:p>
    <w:p>
      <w:pPr>
        <w:pStyle w:val="Style2"/>
        <w:keepNext w:val="0"/>
        <w:keepLines w:val="0"/>
        <w:widowControl w:val="0"/>
        <w:shd w:val="clear" w:color="auto" w:fill="auto"/>
        <w:bidi w:val="0"/>
        <w:spacing w:before="0" w:after="320" w:line="254" w:lineRule="auto"/>
        <w:ind w:left="0" w:right="0" w:firstLine="0"/>
        <w:jc w:val="left"/>
      </w:pPr>
      <w:r>
        <w:rPr>
          <w:rStyle w:val="CharStyle3"/>
        </w:rPr>
        <w:t>(dále jen „Účastník")</w:t>
      </w:r>
    </w:p>
    <w:p>
      <w:pPr>
        <w:pStyle w:val="Style2"/>
        <w:keepNext w:val="0"/>
        <w:keepLines w:val="0"/>
        <w:widowControl w:val="0"/>
        <w:numPr>
          <w:ilvl w:val="0"/>
          <w:numId w:val="1"/>
        </w:numPr>
        <w:shd w:val="clear" w:color="auto" w:fill="auto"/>
        <w:tabs>
          <w:tab w:pos="330" w:val="left"/>
        </w:tabs>
        <w:bidi w:val="0"/>
        <w:spacing w:before="0" w:line="240" w:lineRule="auto"/>
        <w:ind w:left="0" w:right="0" w:firstLine="0"/>
        <w:jc w:val="center"/>
      </w:pPr>
      <w:r>
        <w:rPr>
          <w:rStyle w:val="CharStyle3"/>
          <w:b/>
          <w:bCs/>
          <w:i/>
          <w:iCs/>
        </w:rPr>
        <w:t>Předmět Rámcové dohody</w:t>
      </w:r>
    </w:p>
    <w:p>
      <w:pPr>
        <w:pStyle w:val="Style2"/>
        <w:keepNext w:val="0"/>
        <w:keepLines w:val="0"/>
        <w:widowControl w:val="0"/>
        <w:numPr>
          <w:ilvl w:val="1"/>
          <w:numId w:val="1"/>
        </w:numPr>
        <w:shd w:val="clear" w:color="auto" w:fill="auto"/>
        <w:tabs>
          <w:tab w:pos="421" w:val="left"/>
        </w:tabs>
        <w:bidi w:val="0"/>
        <w:spacing w:before="0" w:line="254" w:lineRule="auto"/>
        <w:ind w:left="440" w:right="0" w:hanging="440"/>
        <w:jc w:val="both"/>
      </w:pPr>
      <w:r>
        <w:rPr>
          <w:rStyle w:val="CharStyle3"/>
        </w:rPr>
        <w:t>Předmětem této Rámcové dohody (dále též jen „Rámcová dohoda") je na straně jedné závazek společnosti 02 poskytovat Účastníkovi a Dalšímu účastníkovi definovanému v čl. 3 této Rámcové dohody</w:t>
      </w:r>
    </w:p>
    <w:p>
      <w:pPr>
        <w:pStyle w:val="Style2"/>
        <w:keepNext w:val="0"/>
        <w:keepLines w:val="0"/>
        <w:widowControl w:val="0"/>
        <w:numPr>
          <w:ilvl w:val="1"/>
          <w:numId w:val="1"/>
        </w:numPr>
        <w:shd w:val="clear" w:color="auto" w:fill="auto"/>
        <w:tabs>
          <w:tab w:pos="408" w:val="left"/>
        </w:tabs>
        <w:bidi w:val="0"/>
        <w:spacing w:before="0" w:line="240" w:lineRule="auto"/>
        <w:ind w:left="440" w:right="0" w:hanging="440"/>
        <w:jc w:val="both"/>
      </w:pPr>
      <w:r>
        <w:rPr>
          <w:rStyle w:val="CharStyle3"/>
        </w:rPr>
        <w:t>služby elektronických komunikací prostřednictvím mobilních sítí společnosti 02 (dále též jen „Služby") za zvýhodněných obchodních podmínek, a dále též</w:t>
      </w:r>
    </w:p>
    <w:p>
      <w:pPr>
        <w:pStyle w:val="Style2"/>
        <w:keepNext w:val="0"/>
        <w:keepLines w:val="0"/>
        <w:widowControl w:val="0"/>
        <w:numPr>
          <w:ilvl w:val="1"/>
          <w:numId w:val="1"/>
        </w:numPr>
        <w:shd w:val="clear" w:color="auto" w:fill="auto"/>
        <w:tabs>
          <w:tab w:pos="408" w:val="left"/>
        </w:tabs>
        <w:bidi w:val="0"/>
        <w:spacing w:before="0" w:line="240" w:lineRule="auto"/>
        <w:ind w:left="440" w:right="0" w:hanging="440"/>
        <w:jc w:val="both"/>
      </w:pPr>
      <w:r>
        <w:rPr>
          <w:rStyle w:val="CharStyle3"/>
        </w:rPr>
        <w:t>dodávky mobilních telefonů, příslušenství k mobilním telefonům a dalších produktů společnosti 02 (dále též jen „Zboží") za zvýhodněných obchodních podmínek</w:t>
      </w:r>
    </w:p>
    <w:p>
      <w:pPr>
        <w:pStyle w:val="Style2"/>
        <w:keepNext w:val="0"/>
        <w:keepLines w:val="0"/>
        <w:widowControl w:val="0"/>
        <w:shd w:val="clear" w:color="auto" w:fill="auto"/>
        <w:bidi w:val="0"/>
        <w:spacing w:before="0" w:line="254" w:lineRule="auto"/>
        <w:ind w:left="440" w:right="0" w:firstLine="0"/>
        <w:jc w:val="both"/>
      </w:pPr>
      <w:r>
        <w:rPr>
          <w:rStyle w:val="CharStyle3"/>
        </w:rPr>
        <w:t>a na straně druhé závazek Účastníka odebírat spolu s Dalšími účastníky definovanými v čl. 3 této Rámcové dohody Služby v objemu sjednaném v čl. 4.5 této Rámcové dohody a řádně a včas platit vyúčtování za Služby a Zboží poskytnuté mu dle této Rámcové dohody po celou dobu účinnosti této Rámcové dohody.</w:t>
      </w:r>
    </w:p>
    <w:p>
      <w:pPr>
        <w:pStyle w:val="Style2"/>
        <w:keepNext w:val="0"/>
        <w:keepLines w:val="0"/>
        <w:widowControl w:val="0"/>
        <w:numPr>
          <w:ilvl w:val="1"/>
          <w:numId w:val="3"/>
        </w:numPr>
        <w:shd w:val="clear" w:color="auto" w:fill="auto"/>
        <w:tabs>
          <w:tab w:pos="416" w:val="left"/>
        </w:tabs>
        <w:bidi w:val="0"/>
        <w:spacing w:before="0" w:line="240" w:lineRule="auto"/>
        <w:ind w:left="440" w:right="0" w:hanging="440"/>
        <w:jc w:val="both"/>
      </w:pPr>
      <w:r>
        <w:rPr>
          <w:rStyle w:val="CharStyle3"/>
        </w:rPr>
        <w:t>O zřízení jednotlivých Služeb je Účastníka Další účastník definovaný v čl. 3 této Rámcové dohody oprávněn požádat způsobem stanoveným Všeobecnými podmínkami poskytování služeb vydanými společností 02 Czech Republic a.s. (dále též jen „Všeobecné podmínky").</w:t>
      </w:r>
    </w:p>
    <w:p>
      <w:pPr>
        <w:pStyle w:val="Style2"/>
        <w:keepNext w:val="0"/>
        <w:keepLines w:val="0"/>
        <w:widowControl w:val="0"/>
        <w:numPr>
          <w:ilvl w:val="1"/>
          <w:numId w:val="3"/>
        </w:numPr>
        <w:shd w:val="clear" w:color="auto" w:fill="auto"/>
        <w:tabs>
          <w:tab w:pos="411" w:val="left"/>
        </w:tabs>
        <w:bidi w:val="0"/>
        <w:spacing w:before="0" w:after="200" w:line="240" w:lineRule="auto"/>
        <w:ind w:left="440" w:right="0" w:hanging="440"/>
        <w:jc w:val="both"/>
      </w:pPr>
      <w:r>
        <w:rPr>
          <w:rStyle w:val="CharStyle3"/>
        </w:rPr>
        <w:t>Zboží bude Účastníkovi a Dalšímu účastníkovi definovanému v čl. 3 této Rámcové dohody dodáváno na základě jeho dílčích objednávek.</w:t>
      </w:r>
    </w:p>
    <w:p>
      <w:pPr>
        <w:pStyle w:val="Style2"/>
        <w:keepNext w:val="0"/>
        <w:keepLines w:val="0"/>
        <w:widowControl w:val="0"/>
        <w:numPr>
          <w:ilvl w:val="0"/>
          <w:numId w:val="5"/>
        </w:numPr>
        <w:shd w:val="clear" w:color="auto" w:fill="auto"/>
        <w:tabs>
          <w:tab w:pos="4650" w:val="left"/>
        </w:tabs>
        <w:bidi w:val="0"/>
        <w:spacing w:before="0" w:line="240" w:lineRule="auto"/>
        <w:ind w:left="4320" w:right="0" w:firstLine="0"/>
        <w:jc w:val="left"/>
      </w:pPr>
      <w:r>
        <w:rPr>
          <w:rStyle w:val="CharStyle3"/>
          <w:b/>
          <w:bCs/>
          <w:i/>
          <w:iCs/>
        </w:rPr>
        <w:t>Ceny</w:t>
      </w:r>
    </w:p>
    <w:p>
      <w:pPr>
        <w:pStyle w:val="Style2"/>
        <w:keepNext w:val="0"/>
        <w:keepLines w:val="0"/>
        <w:widowControl w:val="0"/>
        <w:numPr>
          <w:ilvl w:val="1"/>
          <w:numId w:val="5"/>
        </w:numPr>
        <w:shd w:val="clear" w:color="auto" w:fill="auto"/>
        <w:tabs>
          <w:tab w:pos="426" w:val="left"/>
        </w:tabs>
        <w:bidi w:val="0"/>
        <w:spacing w:before="0" w:after="900" w:line="240" w:lineRule="auto"/>
        <w:ind w:left="440" w:right="0" w:hanging="440"/>
        <w:jc w:val="both"/>
      </w:pPr>
      <w:r>
        <w:rPr>
          <w:rStyle w:val="CharStyle3"/>
        </w:rPr>
        <w:t>02 se zavazuje účtovat Účastníkovi a Dalšímu účastníkovi definovanému včl. 3 této Rámcové dohody za Služby poskytnuté mu po dobu trvání této Rámcové dohody ceny dle Ceníku základních služeb pro firemní zákazníky, Ceníku volitelných služeb pro firemní zákazníky (dále společně též jen jako „Ceník") a Ceníku služby 02 SMS Connector Business ve znění účinném ke dni poskytnutí Služby a dle cenových ujednání uvedených v této Rámcové dohodě, nebude-li dohodnuto jinak. Účastník prohlašuje, že byl seznámen s Ceníkem ve znění účinném ke dni</w:t>
      </w:r>
    </w:p>
    <w:p>
      <w:pPr>
        <w:pStyle w:val="Style2"/>
        <w:keepNext w:val="0"/>
        <w:keepLines w:val="0"/>
        <w:widowControl w:val="0"/>
        <w:shd w:val="clear" w:color="auto" w:fill="auto"/>
        <w:bidi w:val="0"/>
        <w:spacing w:before="0" w:line="240" w:lineRule="auto"/>
        <w:ind w:left="0" w:right="0" w:firstLine="560"/>
        <w:jc w:val="left"/>
      </w:pPr>
      <w:r>
        <w:rPr>
          <w:rStyle w:val="CharStyle3"/>
          <w:color w:val="42689E"/>
        </w:rPr>
        <w:t xml:space="preserve">02 Czech Republic a.s. Za Brumlovkou 266/2 140 22 Praha 4 - Michle Czech Republic </w:t>
      </w:r>
      <w:r>
        <w:fldChar w:fldCharType="begin"/>
      </w:r>
      <w:r>
        <w:rPr/>
        <w:instrText> HYPERLINK "http://www.o2.cz" </w:instrText>
      </w:r>
      <w:r>
        <w:fldChar w:fldCharType="separate"/>
      </w:r>
      <w:r>
        <w:rPr>
          <w:rStyle w:val="CharStyle3"/>
          <w:color w:val="1266BC"/>
          <w:u w:val="single"/>
          <w:lang w:val="en-US" w:eastAsia="en-US" w:bidi="en-US"/>
        </w:rPr>
        <w:t>www.o2.cz</w:t>
      </w:r>
      <w:r>
        <w:fldChar w:fldCharType="end"/>
      </w:r>
      <w:r>
        <w:rPr>
          <w:rStyle w:val="CharStyle3"/>
          <w:color w:val="1266BC"/>
          <w:lang w:val="en-US" w:eastAsia="en-US" w:bidi="en-US"/>
        </w:rPr>
        <w:t xml:space="preserve"> </w:t>
      </w:r>
      <w:r>
        <w:rPr>
          <w:rStyle w:val="CharStyle3"/>
          <w:color w:val="42689E"/>
        </w:rPr>
        <w:t>1</w:t>
      </w:r>
    </w:p>
    <w:p>
      <w:pPr>
        <w:pStyle w:val="Style17"/>
        <w:keepNext w:val="0"/>
        <w:keepLines w:val="0"/>
        <w:widowControl w:val="0"/>
        <w:shd w:val="clear" w:color="auto" w:fill="auto"/>
        <w:bidi w:val="0"/>
        <w:spacing w:before="0" w:after="320" w:line="240" w:lineRule="auto"/>
        <w:ind w:left="1460" w:right="0" w:firstLine="0"/>
        <w:jc w:val="left"/>
      </w:pPr>
      <w:r>
        <w:rPr>
          <w:rStyle w:val="CharStyle18"/>
        </w:rPr>
        <w:t>zapsaná v obchodním rejstříku Městského soudu v Praze oddíl B vložka 2322 IČ 60193336 DIČ CZ60193336</w:t>
      </w:r>
    </w:p>
    <w:p>
      <w:pPr>
        <w:pStyle w:val="Style17"/>
        <w:keepNext w:val="0"/>
        <w:keepLines w:val="0"/>
        <w:widowControl w:val="0"/>
        <w:shd w:val="clear" w:color="auto" w:fill="auto"/>
        <w:bidi w:val="0"/>
        <w:spacing w:before="0" w:after="60" w:line="240" w:lineRule="auto"/>
        <w:ind w:left="0" w:right="0" w:firstLine="0"/>
        <w:jc w:val="left"/>
        <w:rPr>
          <w:sz w:val="18"/>
          <w:szCs w:val="18"/>
        </w:rPr>
      </w:pPr>
      <w:r>
        <w:rPr>
          <w:rStyle w:val="CharStyle18"/>
        </w:rPr>
        <w:t xml:space="preserve">Obchodní tajemství společnosti 02 Czech Republic a.s. </w:t>
      </w:r>
      <w:r>
        <w:rPr>
          <w:rStyle w:val="CharStyle3"/>
        </w:rPr>
        <w:t>uzavření této Rámcové dohody. Ceník v aktuálním znění a další aktuální dokumenty jsou Účastníkovi a Dalšímu účastníkovi definovanému v čl. 3 této Rámcové dohody k dispozici na internetových stránkách společnosti 02.</w:t>
      </w:r>
    </w:p>
    <w:p>
      <w:pPr>
        <w:pStyle w:val="Style2"/>
        <w:keepNext w:val="0"/>
        <w:keepLines w:val="0"/>
        <w:widowControl w:val="0"/>
        <w:numPr>
          <w:ilvl w:val="1"/>
          <w:numId w:val="5"/>
        </w:numPr>
        <w:shd w:val="clear" w:color="auto" w:fill="auto"/>
        <w:tabs>
          <w:tab w:pos="418" w:val="left"/>
        </w:tabs>
        <w:bidi w:val="0"/>
        <w:spacing w:before="0" w:after="500" w:line="240" w:lineRule="auto"/>
        <w:ind w:left="420" w:right="0" w:hanging="420"/>
        <w:jc w:val="both"/>
      </w:pPr>
      <w:r>
        <w:rPr>
          <w:rStyle w:val="CharStyle3"/>
        </w:rPr>
        <w:t>02 se zavazuje účtovat Účastníkovi a Dalšímu účastníkovi definovanému v čl. 3 této Rámcové dohody za Zboží objednané po dobu trvání této Rámcové dohody ceny dle aktuální nabídky společnosti 02 upravené dle cenových ujednání uvedených v této Rámcové dohodě, nebude-li dohodnuto jinak.</w:t>
      </w:r>
    </w:p>
    <w:p>
      <w:pPr>
        <w:pStyle w:val="Style2"/>
        <w:keepNext w:val="0"/>
        <w:keepLines w:val="0"/>
        <w:widowControl w:val="0"/>
        <w:numPr>
          <w:ilvl w:val="0"/>
          <w:numId w:val="5"/>
        </w:numPr>
        <w:shd w:val="clear" w:color="auto" w:fill="auto"/>
        <w:tabs>
          <w:tab w:pos="270" w:val="left"/>
        </w:tabs>
        <w:bidi w:val="0"/>
        <w:spacing w:before="0"/>
        <w:ind w:left="0" w:right="0" w:firstLine="0"/>
        <w:jc w:val="center"/>
      </w:pPr>
      <w:r>
        <w:rPr>
          <w:rStyle w:val="CharStyle3"/>
          <w:b/>
          <w:bCs/>
          <w:i/>
          <w:iCs/>
        </w:rPr>
        <w:t>Další účastníci Rámcové dohody</w:t>
      </w:r>
    </w:p>
    <w:p>
      <w:pPr>
        <w:pStyle w:val="Style2"/>
        <w:keepNext w:val="0"/>
        <w:keepLines w:val="0"/>
        <w:widowControl w:val="0"/>
        <w:numPr>
          <w:ilvl w:val="1"/>
          <w:numId w:val="5"/>
        </w:numPr>
        <w:shd w:val="clear" w:color="auto" w:fill="auto"/>
        <w:tabs>
          <w:tab w:pos="418" w:val="left"/>
        </w:tabs>
        <w:bidi w:val="0"/>
        <w:spacing w:before="0" w:after="120" w:line="240" w:lineRule="auto"/>
        <w:ind w:left="420" w:right="0" w:hanging="420"/>
        <w:jc w:val="both"/>
      </w:pPr>
      <w:r>
        <w:rPr>
          <w:rStyle w:val="CharStyle3"/>
        </w:rPr>
        <w:t>Za podmínek stanovených níže tímto článkem mohou k této Rámcové dohodě přistoupit i subjekty, které jsou ve vztahu k Účastníkovi osobami ovládanými nebo osobou ovládající, dále subjekty, které jsou ovládané stejnou ovládající osobou jako Účastník (ve smyslu ustanovení § 74 a násl. zákona č. 90/2012 Sb., o obchodních korporacích, ve znění pozdějších předpisů), nebo které jsou Účastníkem zřízeny či Účastníkovi podřízeny (dále též jen „Další účastníci").</w:t>
      </w:r>
    </w:p>
    <w:p>
      <w:pPr>
        <w:pStyle w:val="Style2"/>
        <w:keepNext w:val="0"/>
        <w:keepLines w:val="0"/>
        <w:widowControl w:val="0"/>
        <w:numPr>
          <w:ilvl w:val="1"/>
          <w:numId w:val="5"/>
        </w:numPr>
        <w:shd w:val="clear" w:color="auto" w:fill="auto"/>
        <w:tabs>
          <w:tab w:pos="418" w:val="left"/>
        </w:tabs>
        <w:bidi w:val="0"/>
        <w:spacing w:before="0"/>
        <w:ind w:left="0" w:right="0" w:firstLine="0"/>
        <w:jc w:val="left"/>
      </w:pPr>
      <w:r>
        <w:rPr>
          <w:rStyle w:val="CharStyle3"/>
        </w:rPr>
        <w:t>Předpokladem pro přistoupení Dalšího účastníka k této Rámcové dohodě je</w:t>
      </w:r>
    </w:p>
    <w:p>
      <w:pPr>
        <w:pStyle w:val="Style2"/>
        <w:keepNext w:val="0"/>
        <w:keepLines w:val="0"/>
        <w:widowControl w:val="0"/>
        <w:numPr>
          <w:ilvl w:val="0"/>
          <w:numId w:val="7"/>
        </w:numPr>
        <w:shd w:val="clear" w:color="auto" w:fill="auto"/>
        <w:tabs>
          <w:tab w:pos="418" w:val="left"/>
        </w:tabs>
        <w:bidi w:val="0"/>
        <w:spacing w:before="0" w:after="0" w:line="254" w:lineRule="auto"/>
        <w:ind w:left="420" w:right="0" w:hanging="420"/>
        <w:jc w:val="both"/>
      </w:pPr>
      <w:r>
        <w:rPr>
          <w:rStyle w:val="CharStyle3"/>
        </w:rPr>
        <w:t>písemné potvrzení Dalšího účastníka, že přistupuje k této Rámcové dohodě, že se seznámil s právy a povinnostmi touto Rámcovou dohodou založenými, bez výhrad s nimi souhlasí a zavazuje se je dodržovat,</w:t>
      </w:r>
    </w:p>
    <w:p>
      <w:pPr>
        <w:pStyle w:val="Style2"/>
        <w:keepNext w:val="0"/>
        <w:keepLines w:val="0"/>
        <w:widowControl w:val="0"/>
        <w:numPr>
          <w:ilvl w:val="0"/>
          <w:numId w:val="7"/>
        </w:numPr>
        <w:shd w:val="clear" w:color="auto" w:fill="auto"/>
        <w:tabs>
          <w:tab w:pos="418" w:val="left"/>
        </w:tabs>
        <w:bidi w:val="0"/>
        <w:spacing w:before="0" w:after="0" w:line="254" w:lineRule="auto"/>
        <w:ind w:left="0" w:right="0" w:firstLine="0"/>
        <w:jc w:val="left"/>
      </w:pPr>
      <w:r>
        <w:rPr>
          <w:rStyle w:val="CharStyle3"/>
        </w:rPr>
        <w:t>souhlas Účastníka s přistoupením Dalšího účastníka k této Rámcové dohodě, a</w:t>
      </w:r>
    </w:p>
    <w:p>
      <w:pPr>
        <w:pStyle w:val="Style2"/>
        <w:keepNext w:val="0"/>
        <w:keepLines w:val="0"/>
        <w:widowControl w:val="0"/>
        <w:numPr>
          <w:ilvl w:val="0"/>
          <w:numId w:val="7"/>
        </w:numPr>
        <w:shd w:val="clear" w:color="auto" w:fill="auto"/>
        <w:tabs>
          <w:tab w:pos="418" w:val="left"/>
        </w:tabs>
        <w:bidi w:val="0"/>
        <w:spacing w:before="0" w:after="120" w:line="254" w:lineRule="auto"/>
        <w:ind w:left="0" w:right="0" w:firstLine="0"/>
        <w:jc w:val="left"/>
      </w:pPr>
      <w:r>
        <w:rPr>
          <w:rStyle w:val="CharStyle3"/>
        </w:rPr>
        <w:t>písemný souhlas společnosti 02 s přistoupením Dalšího účastníka k této Rámcové dohodě.</w:t>
      </w:r>
    </w:p>
    <w:p>
      <w:pPr>
        <w:pStyle w:val="Style2"/>
        <w:keepNext w:val="0"/>
        <w:keepLines w:val="0"/>
        <w:widowControl w:val="0"/>
        <w:shd w:val="clear" w:color="auto" w:fill="auto"/>
        <w:bidi w:val="0"/>
        <w:spacing w:before="0"/>
        <w:ind w:left="420" w:right="0" w:firstLine="20"/>
        <w:jc w:val="both"/>
      </w:pPr>
      <w:r>
        <w:rPr>
          <w:rStyle w:val="CharStyle3"/>
        </w:rPr>
        <w:t>Splněním všech shora uvedených podmínek vzniká mezi společností 02 a Dalším účastníkem smluvní vztah, jehož obsah, tj. práva a povinnosti, je určen touto Rámcovou dohodou. Přistoupením k této Rámcové dohodě zmocňuje Další účastník Účastníka, aby jeho jménem sjednával změny či doplnění této Rámcové dohody a uzavíral k této Rámcové dohodě tomu odpovídající dodatky. Seznam Dalších účastníků a formulář pro přistoupení Dalšího účastníka je obsahem přílohy č. 3 této Rámcové dohody.</w:t>
      </w:r>
    </w:p>
    <w:p>
      <w:pPr>
        <w:pStyle w:val="Style2"/>
        <w:keepNext w:val="0"/>
        <w:keepLines w:val="0"/>
        <w:widowControl w:val="0"/>
        <w:numPr>
          <w:ilvl w:val="1"/>
          <w:numId w:val="5"/>
        </w:numPr>
        <w:shd w:val="clear" w:color="auto" w:fill="auto"/>
        <w:tabs>
          <w:tab w:pos="418" w:val="left"/>
        </w:tabs>
        <w:bidi w:val="0"/>
        <w:spacing w:before="0" w:after="400"/>
        <w:ind w:left="420" w:right="0" w:hanging="420"/>
        <w:jc w:val="both"/>
      </w:pPr>
      <w:r>
        <w:rPr>
          <w:rStyle w:val="CharStyle3"/>
        </w:rPr>
        <w:t>Přestane-li Další účastník splňovat podmínky dle čl. 3.1, je povinen o tom společnost 02 bezodkladně písemně informovat. Společnost 02 je oprávněna smluvní vztah s tímto Dalším účastníkem, založený dle čl. 3.2 této Rámcové dohody, vypovědět. Výpovědní doba činí 5 (pět) dní od doručení této výpovědi Dalšímu účastníkovi. Po ukončení účinnosti této Rámcové dohody ve vztahu k Dalšímu účastníkovi, budou takovému Dalšímu účastníkovi všechny Služby a Zboží účtovány v běžných cenách, tj. dle Ceníku bez cenových ujednání uvedených v této Rámcové dohodě a dle aktuální nabídky Zboží společnosti 02. Smluvní vztah dle této Rámcové dohody mezi společností 02 a Dalším účastníkem, resp. Dalšími účastníky, končí nejpozději ukončením této Rámcové dohody mezi společností 02 a Účastníkem.</w:t>
      </w:r>
    </w:p>
    <w:p>
      <w:pPr>
        <w:pStyle w:val="Style2"/>
        <w:keepNext w:val="0"/>
        <w:keepLines w:val="0"/>
        <w:widowControl w:val="0"/>
        <w:numPr>
          <w:ilvl w:val="0"/>
          <w:numId w:val="5"/>
        </w:numPr>
        <w:shd w:val="clear" w:color="auto" w:fill="auto"/>
        <w:tabs>
          <w:tab w:pos="265" w:val="left"/>
        </w:tabs>
        <w:bidi w:val="0"/>
        <w:spacing w:before="0"/>
        <w:ind w:left="0" w:right="0" w:firstLine="0"/>
        <w:jc w:val="center"/>
      </w:pPr>
      <w:r>
        <w:rPr>
          <w:rStyle w:val="CharStyle3"/>
          <w:b/>
          <w:bCs/>
          <w:i/>
          <w:iCs/>
        </w:rPr>
        <w:t>Práva a závazky stran dohody</w:t>
      </w:r>
    </w:p>
    <w:p>
      <w:pPr>
        <w:pStyle w:val="Style2"/>
        <w:keepNext w:val="0"/>
        <w:keepLines w:val="0"/>
        <w:widowControl w:val="0"/>
        <w:numPr>
          <w:ilvl w:val="1"/>
          <w:numId w:val="5"/>
        </w:numPr>
        <w:shd w:val="clear" w:color="auto" w:fill="auto"/>
        <w:tabs>
          <w:tab w:pos="418" w:val="left"/>
        </w:tabs>
        <w:bidi w:val="0"/>
        <w:spacing w:before="0"/>
        <w:ind w:left="420" w:right="0" w:hanging="420"/>
        <w:jc w:val="both"/>
      </w:pPr>
      <w:r>
        <w:rPr>
          <w:rStyle w:val="CharStyle3"/>
        </w:rPr>
        <w:t>Účastník a Další účastník se zavazují zmocnit kontaktní osobu - primárního správce, který bude oprávněn s 02 právně jednat a zastupovat Účastníka, resp. Dalšího účastníka, v záležitostech souvisejících s touto Rámcovou dohodou, účastnickou smlouvou, Službami a Zbožím (dále jen „Primární správce"). Primární správce bude zmocněn formulářem „Zmocnění Primárního správce". V případě zániku zmocnění Primárního správce je Účastník, resp. Další účastník, povinen bezodkladně o tom společnost 02 písemně informovat a formulářem „Zmocnění Primárního správce" zmocnit nového Primárního správce.</w:t>
      </w:r>
    </w:p>
    <w:p>
      <w:pPr>
        <w:pStyle w:val="Style2"/>
        <w:keepNext w:val="0"/>
        <w:keepLines w:val="0"/>
        <w:widowControl w:val="0"/>
        <w:numPr>
          <w:ilvl w:val="1"/>
          <w:numId w:val="5"/>
        </w:numPr>
        <w:shd w:val="clear" w:color="auto" w:fill="auto"/>
        <w:tabs>
          <w:tab w:pos="418" w:val="left"/>
        </w:tabs>
        <w:bidi w:val="0"/>
        <w:spacing w:before="0" w:line="254" w:lineRule="auto"/>
        <w:ind w:left="420" w:right="0" w:hanging="420"/>
        <w:jc w:val="both"/>
      </w:pPr>
      <w:r>
        <w:rPr>
          <w:rStyle w:val="CharStyle3"/>
        </w:rPr>
        <w:t>Společnost 02 si vyhrazuje právo aktualizovat a měnit přílohu č. 2 této Rámcové dohody. Každou aktualizaci nebo změnu je společnost 02 povinna Účastníkovi a Dalším účastníkům oznámit.</w:t>
      </w:r>
    </w:p>
    <w:p>
      <w:pPr>
        <w:pStyle w:val="Style2"/>
        <w:keepNext w:val="0"/>
        <w:keepLines w:val="0"/>
        <w:widowControl w:val="0"/>
        <w:numPr>
          <w:ilvl w:val="1"/>
          <w:numId w:val="5"/>
        </w:numPr>
        <w:shd w:val="clear" w:color="auto" w:fill="auto"/>
        <w:tabs>
          <w:tab w:pos="418" w:val="left"/>
        </w:tabs>
        <w:bidi w:val="0"/>
        <w:spacing w:before="0" w:line="240" w:lineRule="auto"/>
        <w:ind w:left="420" w:right="0" w:hanging="420"/>
        <w:jc w:val="both"/>
        <w:sectPr>
          <w:footerReference w:type="default" r:id="rId7"/>
          <w:footerReference w:type="even" r:id="rId8"/>
          <w:footerReference w:type="first" r:id="rId9"/>
          <w:footnotePr>
            <w:pos w:val="pageBottom"/>
            <w:numFmt w:val="decimal"/>
            <w:numRestart w:val="continuous"/>
          </w:footnotePr>
          <w:pgSz w:w="11900" w:h="16840"/>
          <w:pgMar w:top="135" w:right="552" w:bottom="1115" w:left="1350" w:header="0" w:footer="3" w:gutter="0"/>
          <w:pgNumType w:start="1"/>
          <w:cols w:space="720"/>
          <w:noEndnote/>
          <w:titlePg/>
          <w:rtlGutter w:val="0"/>
          <w:docGrid w:linePitch="360"/>
        </w:sectPr>
      </w:pPr>
      <w:r>
        <w:rPr>
          <w:rStyle w:val="CharStyle3"/>
        </w:rPr>
        <w:t>Účastník a Další účastník berou na vědomí, že obsah této Rámcové dohody je obchodním tajemstvím společnosti 02 a zavazují se, že tuto Rámcovou dohodu a jakékoli informace, které jsou jejím obsahem, nezpřístupní třetí osobě a ani jinak neumožní, aby se třetí osoba s touto Rámcovou dohodou či jakoukoli informací, která je jejím obsahem, seznámila. Poruší-li Účastník nebo Další účastník závazek dle předchozí věty, je společnost 02 oprávněna tuto Rámcovou dohodu ve vztahu k Účastníkovi či jednotlivým Dalším účastníkům, kteří závazek dle předchozí věty porušili, vypovědět doručením výpovědi Účastníkovi nebo Dalšímu účastníkovi. Výpovědní doba činí 5 (pět) dní od doručení této výpovědi Účastníkovi, případně Dalšímu účastníkovi. Náleží-li Účastník do okruhu subjektů uvedených v ustanovení § 2 odst. 1 zákona č. 340/2015 Sb., o zvláštních podmínkách účinnosti některých smluv,</w:t>
      </w:r>
    </w:p>
    <w:p>
      <w:pPr>
        <w:pStyle w:val="Style2"/>
        <w:keepNext w:val="0"/>
        <w:keepLines w:val="0"/>
        <w:widowControl w:val="0"/>
        <w:shd w:val="clear" w:color="auto" w:fill="auto"/>
        <w:bidi w:val="0"/>
        <w:spacing w:before="0" w:line="259" w:lineRule="auto"/>
        <w:ind w:left="480" w:right="0" w:firstLine="20"/>
        <w:jc w:val="both"/>
      </w:pPr>
      <w:r>
        <w:rPr>
          <w:rStyle w:val="CharStyle3"/>
        </w:rPr>
        <w:t>uveřejňování těchto smluv a o registru smluv, zavazuje se uveřejnit tuto Rámcovou dohodu, případně jednotlivé Účastnické smlouvy v registru smluv v souladu s tímto zákonem.</w:t>
      </w:r>
    </w:p>
    <w:p>
      <w:pPr>
        <w:pStyle w:val="Style2"/>
        <w:keepNext w:val="0"/>
        <w:keepLines w:val="0"/>
        <w:widowControl w:val="0"/>
        <w:numPr>
          <w:ilvl w:val="1"/>
          <w:numId w:val="5"/>
        </w:numPr>
        <w:shd w:val="clear" w:color="auto" w:fill="auto"/>
        <w:tabs>
          <w:tab w:pos="418" w:val="left"/>
        </w:tabs>
        <w:bidi w:val="0"/>
        <w:spacing w:before="0" w:line="257" w:lineRule="auto"/>
        <w:ind w:left="480" w:right="0" w:hanging="480"/>
        <w:jc w:val="both"/>
      </w:pPr>
      <w:r>
        <w:rPr>
          <w:rStyle w:val="CharStyle3"/>
        </w:rPr>
        <w:t>Účastník bere na vědomí, že zvýhodněné obchodní podmínky poskytované mu na základě této Rámcové dohody jsou vyváženy jeho závazkem odebírat od společnosti 02 Služby v níže stanoveném minimálním množství, a to po celou dobu trvání této Rámcové dohody, a řádně a včas hradit vyúčtování uvedených Služeb a že za porušení těchto závazků je sjednána v odstavci 4.6 níže smluvní pokuta, jejíž výši smluvní strany shodně považují za přiměřenou.</w:t>
      </w:r>
    </w:p>
    <w:p>
      <w:pPr>
        <w:pStyle w:val="Style2"/>
        <w:keepNext w:val="0"/>
        <w:keepLines w:val="0"/>
        <w:widowControl w:val="0"/>
        <w:numPr>
          <w:ilvl w:val="1"/>
          <w:numId w:val="5"/>
        </w:numPr>
        <w:shd w:val="clear" w:color="auto" w:fill="auto"/>
        <w:tabs>
          <w:tab w:pos="418" w:val="left"/>
        </w:tabs>
        <w:bidi w:val="0"/>
        <w:spacing w:before="0" w:line="240" w:lineRule="auto"/>
        <w:ind w:left="480" w:right="0" w:hanging="480"/>
        <w:jc w:val="both"/>
      </w:pPr>
      <w:r>
        <w:rPr>
          <w:rStyle w:val="CharStyle3"/>
        </w:rPr>
        <w:t>Účastník se zavazuje odebírat Služby po celou dobu trvání této Rámcové dohody v takovém minimálním objemu, aby výše jeho měsíčního vyúčtování za tyto Služby bez DPH, včetně vyúčtování za Služby odebrané Dalšími účastníky, neklesla pod minimální částku: O,- Kč (dále jen „Minimální částka").</w:t>
      </w:r>
    </w:p>
    <w:p>
      <w:pPr>
        <w:pStyle w:val="Style2"/>
        <w:keepNext w:val="0"/>
        <w:keepLines w:val="0"/>
        <w:widowControl w:val="0"/>
        <w:numPr>
          <w:ilvl w:val="1"/>
          <w:numId w:val="5"/>
        </w:numPr>
        <w:shd w:val="clear" w:color="auto" w:fill="auto"/>
        <w:tabs>
          <w:tab w:pos="418" w:val="left"/>
        </w:tabs>
        <w:bidi w:val="0"/>
        <w:spacing w:before="0"/>
        <w:ind w:left="480" w:right="0" w:hanging="480"/>
        <w:jc w:val="both"/>
      </w:pPr>
      <w:r>
        <w:rPr>
          <w:rStyle w:val="CharStyle3"/>
        </w:rPr>
        <w:t>Neodebere-li Účastník spolu s Dalšími účastníky za období tří po sobě jdoucích měsíců Služby v objemu, který ve finančním vyjádření odpovídá alespoň trojnásobku Minimální částky, zavazuje se zaplatit společnosti 02 smluvní pokutu ve výši rozdílu mezi trojnásobkem Minimální částky a skutečnou výší vyúčtování za Služby odebrané Účastníkem (spolu s Dalšími účastníky) bez DPH za předmětné tři měsíce, kdy neodebral Služby v objemu, který ve finančním vyjádření odpovídá alespoň trojnásobku Minimální částky. Účastník se zavazuje uhradit částku představující uvedenou smluvní pokutu ve lhůtě uvedené ve vyúčtování smluvní pokuty. Ocitne-li se Účastník nebo Další účastník v prodlení s úhradou vyúčtování Služeb nebo Zboží či smluvní pokuty dle tohoto odstavce, je společnost 02 oprávněna po dobu uvedeného prodlení neposkytovat Účastníkovi nebo Dalšímu účastníkovi zvýhodněné obchodní podmínky sjednané touto Rámcovou dohodou.</w:t>
      </w:r>
    </w:p>
    <w:p>
      <w:pPr>
        <w:pStyle w:val="Style2"/>
        <w:keepNext w:val="0"/>
        <w:keepLines w:val="0"/>
        <w:widowControl w:val="0"/>
        <w:numPr>
          <w:ilvl w:val="1"/>
          <w:numId w:val="5"/>
        </w:numPr>
        <w:shd w:val="clear" w:color="auto" w:fill="auto"/>
        <w:tabs>
          <w:tab w:pos="418" w:val="left"/>
        </w:tabs>
        <w:bidi w:val="0"/>
        <w:spacing w:before="0"/>
        <w:ind w:left="480" w:right="0" w:hanging="480"/>
        <w:jc w:val="both"/>
      </w:pPr>
      <w:r>
        <w:rPr>
          <w:rStyle w:val="CharStyle3"/>
        </w:rPr>
        <w:t>Ocitne-li se Účastník v prodlení s úhradou smluvní pokuty dle odst. 4.6, je společnost 02 oprávněna od této Rámcové dohody odstoupit. V takovém případě se Účastník zavazuje uhradit společnosti 02 smluvní pokutu ve výši (i) součinu Minimální měsíční částky (včetně DPH) dle odst. 4.5 a počtu měsíců zbývajících do konce doby, na kterou byla Rámcová dohoda sjednána a (ii) dotace na nákup HW/příslušenství dle ustanovení písm. b) Přílohy č. 1 této Rámcové dohody, a to ve výši jejího skutečného čerpání Účastníkem nebo Dalšími účastníky ke dni ukončení této Rámcové dohody.</w:t>
      </w:r>
    </w:p>
    <w:p>
      <w:pPr>
        <w:pStyle w:val="Style2"/>
        <w:keepNext w:val="0"/>
        <w:keepLines w:val="0"/>
        <w:widowControl w:val="0"/>
        <w:numPr>
          <w:ilvl w:val="1"/>
          <w:numId w:val="5"/>
        </w:numPr>
        <w:shd w:val="clear" w:color="auto" w:fill="auto"/>
        <w:tabs>
          <w:tab w:pos="418" w:val="left"/>
        </w:tabs>
        <w:bidi w:val="0"/>
        <w:spacing w:before="0" w:line="240" w:lineRule="auto"/>
        <w:ind w:left="480" w:right="0" w:hanging="480"/>
        <w:jc w:val="both"/>
      </w:pPr>
      <w:r>
        <w:rPr>
          <w:rStyle w:val="CharStyle3"/>
        </w:rPr>
        <w:t>Přistoupením k této Rámcové dohodě přijímají Další účastníci ručitelský závazek za povinnost Účastníka k úhradě smluvní pokuty sjednané v čl. 4.6 a 4.7 této Rámcové dohody. Další účastníci prohlašují, že pohledávky společnosti 02 za Účastníkem z titulů uvedených v předchozí větě uspokojí společně a nerozdílně, neuspokojí-li je včas a řádně Účastník.</w:t>
      </w:r>
    </w:p>
    <w:p>
      <w:pPr>
        <w:pStyle w:val="Style2"/>
        <w:keepNext w:val="0"/>
        <w:keepLines w:val="0"/>
        <w:widowControl w:val="0"/>
        <w:numPr>
          <w:ilvl w:val="1"/>
          <w:numId w:val="5"/>
        </w:numPr>
        <w:shd w:val="clear" w:color="auto" w:fill="auto"/>
        <w:tabs>
          <w:tab w:pos="418" w:val="left"/>
        </w:tabs>
        <w:bidi w:val="0"/>
        <w:spacing w:before="0" w:line="240" w:lineRule="auto"/>
        <w:ind w:left="480" w:right="0" w:hanging="480"/>
        <w:jc w:val="both"/>
      </w:pPr>
      <w:r>
        <w:rPr>
          <w:rStyle w:val="CharStyle3"/>
        </w:rPr>
        <w:t>Pro vyloučení pochybností strany shodně prohlašují, že Rámcová dohoda není a nebude za žádných okolností považována či interpretována jako smlouva o propojení či přístupu k síti či službám elektronických komunikací ve smyslu § 78 a násl. ZoEK. Účastník a Další účastník bere na vědomí, že dle čl. 4.1.bod 2 Všeobecných podmínek nesmí přenechávat Služby za úplatu nebo jiné protiplnění jiným osobám („přeprodej") ani přeprodej umožnit nebo se na něm podílet. Zakázáno je rovněž začleňování Služeb 02 do technických řešení určených pro poskytování služeb jiným osobám a vydávání služeb 02 za služby jiného subjektu. V případě porušení povinností Účastníka či Dalšího účastníka stanovených čl. 4.1.bod 2 Všeobecných podmínek přecházejí práva i povinnosti Účastníka či Dalšího účastníka na koncového uživatele služeb, pokud s tím 02 vysloví souhlas. Jediným oprávněným poskytovatelem služeb na telefonních číslech, jejichž prostřednictvím jsou služby poskytovány, zůstává i v takovém případě 02. 02 je oprávněna odstoupit od této Rámcové dohody s okamžitou účinností v případě porušení povinností dle tohoto článku Účastníkem nebo Dalším účastníkem. 02 je dále oprávněna požadovat po Účastníkovi nebo Dalším účastníkovi smluvní pokutu ve výši 70.000,- Kč za každé jednotlivé porušení povinností dle tohoto článku, čímž není dotčen nárok společnosti 02 na náhradu škody. Smluvní strany prohlašují, že výši smluvní pokuty považují za přiměřenou.</w:t>
      </w:r>
    </w:p>
    <w:p>
      <w:pPr>
        <w:pStyle w:val="Style2"/>
        <w:keepNext w:val="0"/>
        <w:keepLines w:val="0"/>
        <w:widowControl w:val="0"/>
        <w:shd w:val="clear" w:color="auto" w:fill="auto"/>
        <w:bidi w:val="0"/>
        <w:spacing w:before="0" w:line="240" w:lineRule="auto"/>
        <w:ind w:left="480" w:right="0" w:firstLine="20"/>
        <w:jc w:val="both"/>
      </w:pPr>
      <w:r>
        <w:rPr>
          <w:rStyle w:val="CharStyle3"/>
        </w:rPr>
        <w:t xml:space="preserve">Účastník je oprávněn využít účastnická čísla (SIM) se sníženou sazbou mezinárodního volání pouze pro koncové volání, účastník není oprávněn tato účastnická čísla využít v GSM branách či jiných zařízeních umožňujících propojování hovoru. Účastník není oprávněn využívat účastnická čísla pro generování hovoru na linky se zvýšenou sazbou či linky, u nichž dochází k proplácení poplatku za terminaci hovoru. Účastník bere na vědomí, že (i) užití SIM karty, případně jejího virtuálně vytvořeného klonu, v zařízení odlišném od koncového zařízení jako je mobilní telefon, (ii) propojování, směrování hovoru, tj. porušení zákonné povinnosti (zák. č. 127/2005 Sb., o elektronických komunikacích, i smluvní povinnosti, zejména povinnost neposkytovat propojení sítí elektronických komunikací ve smyslu § 78 a násl. zákona č.127/2005 Sb., o elektronických komunikacích) bez příslušné písemné dohody se </w:t>
      </w:r>
      <w:r>
        <w:rPr>
          <w:rStyle w:val="CharStyle3"/>
        </w:rPr>
        <w:t>společností 02 Czech Republic a.s. je porušením čl. 4.1 Všeobecných podmínek. Za porušení povinnosti uvedené v tomto odstavci bude účastníkovi zpoplatněna sazba mezinárodního volání dle aktuálního Ceníku společnosti 02 Czech Republic a.s.. V případě podezření na zneužití mezinárodního a roamingového volání je společnost 02 oprávněna blokovat mezinárodní a roamingový provoz Účastníka, do doby než Účastník poskytne 02 uspokojivé vysvětlení, že se jednalo o standardní využití Služby</w:t>
      </w:r>
    </w:p>
    <w:p>
      <w:pPr>
        <w:pStyle w:val="Style2"/>
        <w:keepNext w:val="0"/>
        <w:keepLines w:val="0"/>
        <w:widowControl w:val="0"/>
        <w:numPr>
          <w:ilvl w:val="1"/>
          <w:numId w:val="5"/>
        </w:numPr>
        <w:shd w:val="clear" w:color="auto" w:fill="auto"/>
        <w:tabs>
          <w:tab w:pos="471" w:val="left"/>
        </w:tabs>
        <w:bidi w:val="0"/>
        <w:spacing w:before="0" w:after="800"/>
        <w:ind w:left="440" w:right="0" w:hanging="440"/>
        <w:jc w:val="both"/>
      </w:pPr>
      <w:r>
        <w:rPr>
          <w:rStyle w:val="CharStyle3"/>
        </w:rPr>
        <w:t>Smluvní strany se dohodly na tom, že Účastník, spolu s Dalšími účastníky, je oprávněn pod zvýhodněné obchodní podmínky této Rámcové dohody zařadit maximálně 1.000 účastnických čísel (SIM). To znamená, že bude-li mít Účastník, spolu s Dalšími účastníky, aktivních více účastnických čísel (SIM), než je uvedeno v tomto článku, bude 02 Účastníkovi (popř. Dalšímu účastníkovi) účtovat za Služby odebírané prostřednictvím účastnických čísel (SIM) nad limit stanovený tímto článkem v standardních cenách stanovených příslušným ceníkem Služeb (nikoli v cenách sjednaných touto Rámcovou dohodou). Limit účastnických čísel (SIM) lze navýšit pouze na základě písemné dohody uzavřené mezi Účastníkem a společností 02.</w:t>
      </w:r>
    </w:p>
    <w:p>
      <w:pPr>
        <w:pStyle w:val="Style2"/>
        <w:keepNext w:val="0"/>
        <w:keepLines w:val="0"/>
        <w:widowControl w:val="0"/>
        <w:numPr>
          <w:ilvl w:val="0"/>
          <w:numId w:val="5"/>
        </w:numPr>
        <w:shd w:val="clear" w:color="auto" w:fill="auto"/>
        <w:tabs>
          <w:tab w:pos="265" w:val="left"/>
        </w:tabs>
        <w:bidi w:val="0"/>
        <w:spacing w:before="0"/>
        <w:ind w:left="0" w:right="0" w:firstLine="0"/>
        <w:jc w:val="center"/>
      </w:pPr>
      <w:r>
        <w:rPr>
          <w:rStyle w:val="CharStyle3"/>
          <w:b/>
          <w:bCs/>
          <w:i/>
          <w:iCs/>
        </w:rPr>
        <w:t>Závěrečná ustanovení</w:t>
      </w:r>
    </w:p>
    <w:p>
      <w:pPr>
        <w:pStyle w:val="Style2"/>
        <w:keepNext w:val="0"/>
        <w:keepLines w:val="0"/>
        <w:widowControl w:val="0"/>
        <w:numPr>
          <w:ilvl w:val="1"/>
          <w:numId w:val="5"/>
        </w:numPr>
        <w:shd w:val="clear" w:color="auto" w:fill="auto"/>
        <w:tabs>
          <w:tab w:pos="405" w:val="left"/>
        </w:tabs>
        <w:bidi w:val="0"/>
        <w:spacing w:before="0" w:line="240" w:lineRule="auto"/>
        <w:ind w:left="440" w:right="0" w:hanging="440"/>
        <w:jc w:val="both"/>
      </w:pPr>
      <w:r>
        <w:rPr>
          <w:rStyle w:val="CharStyle3"/>
        </w:rPr>
        <w:t>Tato Rámcová dohoda se uzavírá na dobu určitou 24 měsíců ode dne jejího podpisu oprávněnými zástupci obou smluvních stran. Rámcová dohoda nabývá platnosti dnem jejího uzavření a účinnosti prvním dnem zúčtovacího období následujícího po jejím uzavření, nejpozději však za třicet (30) kalendářních dní po jejím uzavření.</w:t>
      </w:r>
    </w:p>
    <w:p>
      <w:pPr>
        <w:pStyle w:val="Style2"/>
        <w:keepNext w:val="0"/>
        <w:keepLines w:val="0"/>
        <w:widowControl w:val="0"/>
        <w:numPr>
          <w:ilvl w:val="1"/>
          <w:numId w:val="5"/>
        </w:numPr>
        <w:shd w:val="clear" w:color="auto" w:fill="auto"/>
        <w:tabs>
          <w:tab w:pos="405" w:val="left"/>
        </w:tabs>
        <w:bidi w:val="0"/>
        <w:spacing w:before="0" w:line="257" w:lineRule="auto"/>
        <w:ind w:left="440" w:right="0" w:hanging="440"/>
        <w:jc w:val="both"/>
      </w:pPr>
      <w:r>
        <w:rPr>
          <w:rStyle w:val="CharStyle3"/>
        </w:rPr>
        <w:t>Po ukončení účinnosti této Rámcové dohody, budou Účastníkovi a Dalšímu účastníkovi všechny Služby a Zboží účtovány v běžných cenách, tj. dle Ceníku bez cenových ujednání uvedených v této Rámcové dohodě a dle aktuální nabídky Zboží společnosti 02.</w:t>
      </w:r>
    </w:p>
    <w:p>
      <w:pPr>
        <w:pStyle w:val="Style2"/>
        <w:keepNext w:val="0"/>
        <w:keepLines w:val="0"/>
        <w:widowControl w:val="0"/>
        <w:numPr>
          <w:ilvl w:val="1"/>
          <w:numId w:val="5"/>
        </w:numPr>
        <w:shd w:val="clear" w:color="auto" w:fill="auto"/>
        <w:tabs>
          <w:tab w:pos="405" w:val="left"/>
        </w:tabs>
        <w:bidi w:val="0"/>
        <w:spacing w:before="0" w:line="254" w:lineRule="auto"/>
        <w:ind w:left="440" w:right="0" w:hanging="440"/>
        <w:jc w:val="both"/>
      </w:pPr>
      <w:r>
        <w:rPr>
          <w:rStyle w:val="CharStyle3"/>
        </w:rPr>
        <w:t>Podmínky poskytování Služeb neupravené touto Rámcovou dohodou se řídí smlouvou o poskytování služeb elektronických komunikací, Všeobecnými podmínkami a Ceníkem, ve znění účinném ke dni poskytnutí Služby.</w:t>
      </w:r>
    </w:p>
    <w:p>
      <w:pPr>
        <w:pStyle w:val="Style2"/>
        <w:keepNext w:val="0"/>
        <w:keepLines w:val="0"/>
        <w:widowControl w:val="0"/>
        <w:numPr>
          <w:ilvl w:val="1"/>
          <w:numId w:val="5"/>
        </w:numPr>
        <w:shd w:val="clear" w:color="auto" w:fill="auto"/>
        <w:tabs>
          <w:tab w:pos="405" w:val="left"/>
        </w:tabs>
        <w:bidi w:val="0"/>
        <w:spacing w:before="0" w:line="240" w:lineRule="auto"/>
        <w:ind w:left="440" w:right="0" w:hanging="440"/>
        <w:jc w:val="both"/>
      </w:pPr>
      <w:r>
        <w:rPr>
          <w:rStyle w:val="CharStyle3"/>
        </w:rPr>
        <w:t>Tato Rámcová dohoda se řídí zákonem č. 89/2012 Sb., občanský zákoník, ve znění pozdějších předpisů a dalšími relevantními právními předpisy České republiky. K řešení sporů z této Rámcové dohody je příslušný Český telekomunikační úřad, a to včetně námitek proti vyřízení reklamace. V případě pochybností o místní příslušnosti si strany sjednaly místní příslušnost odboru Českého telekomunikačního úřadu pro oblast dle sídla společnosti 02.</w:t>
      </w:r>
    </w:p>
    <w:p>
      <w:pPr>
        <w:pStyle w:val="Style2"/>
        <w:keepNext w:val="0"/>
        <w:keepLines w:val="0"/>
        <w:widowControl w:val="0"/>
        <w:numPr>
          <w:ilvl w:val="1"/>
          <w:numId w:val="5"/>
        </w:numPr>
        <w:shd w:val="clear" w:color="auto" w:fill="auto"/>
        <w:tabs>
          <w:tab w:pos="405" w:val="left"/>
        </w:tabs>
        <w:bidi w:val="0"/>
        <w:spacing w:before="0" w:line="254" w:lineRule="auto"/>
        <w:ind w:left="440" w:right="0" w:hanging="440"/>
        <w:jc w:val="both"/>
      </w:pPr>
      <w:r>
        <w:rPr>
          <w:rStyle w:val="CharStyle3"/>
        </w:rPr>
        <w:t>Tato Rámcová dohoda může být měněna a doplňována pouze písemně. Práva vzniklá z této Rámcové dohody nesmí být postoupena bez předchozího písemného souhlasu druhé smluvní strany. Za písemnou formu nebude pro tento účel považována výměna e-mailových či jiných elektronických zpráv.</w:t>
      </w:r>
    </w:p>
    <w:p>
      <w:pPr>
        <w:pStyle w:val="Style2"/>
        <w:keepNext w:val="0"/>
        <w:keepLines w:val="0"/>
        <w:widowControl w:val="0"/>
        <w:numPr>
          <w:ilvl w:val="1"/>
          <w:numId w:val="5"/>
        </w:numPr>
        <w:shd w:val="clear" w:color="auto" w:fill="auto"/>
        <w:tabs>
          <w:tab w:pos="405" w:val="left"/>
        </w:tabs>
        <w:bidi w:val="0"/>
        <w:spacing w:before="0" w:line="240" w:lineRule="auto"/>
        <w:ind w:left="440" w:right="0" w:hanging="440"/>
        <w:jc w:val="both"/>
      </w:pPr>
      <w:r>
        <w:rPr>
          <w:rStyle w:val="CharStyle3"/>
        </w:rPr>
        <w:t>Tato Rámcová dohoda obsahuje úplné ujednání o předmětu Rámcové dohody a všech náležitostech, které smluvní strany měly a chtěly ujednat, a které považují za důležité pro závaznost této Rámcové dohody. Žádný projev stran učiněný při jednání o této Rámcové dohodě ani projev učiněný po uzavření této Rámcové dohody nesmí být vykládán v rozporu s výslovnými ustanoveními této smlouvy a nezakládá žádný závazek žádné ze stran.</w:t>
      </w:r>
    </w:p>
    <w:p>
      <w:pPr>
        <w:pStyle w:val="Style2"/>
        <w:keepNext w:val="0"/>
        <w:keepLines w:val="0"/>
        <w:widowControl w:val="0"/>
        <w:numPr>
          <w:ilvl w:val="1"/>
          <w:numId w:val="5"/>
        </w:numPr>
        <w:shd w:val="clear" w:color="auto" w:fill="auto"/>
        <w:tabs>
          <w:tab w:pos="405" w:val="left"/>
        </w:tabs>
        <w:bidi w:val="0"/>
        <w:spacing w:before="0" w:line="254" w:lineRule="auto"/>
        <w:ind w:left="440" w:right="0" w:hanging="440"/>
        <w:jc w:val="both"/>
      </w:pPr>
      <w:r>
        <w:rPr>
          <w:rStyle w:val="CharStyle3"/>
        </w:rPr>
        <w:t>Strany výslovně vylučují, aby nad rámec ustanovení této Rámcové dohody byla jakákoliv práva a povinnosti dovozovány z dosavadní či budoucí praxe zavedené mezi stranami či zvyklostí zachovávaných obecně či v odvětví týkajícím se předmětu plnění této Rámcové dohody, ledaže je ve smlouvě výslovně sjednáno jinak. Vedle shora uvedeného si strany potvrzují, že si nejsou vědomy žádných dosud mezi nimi zavedených obchodních zvyklostí či praxe.</w:t>
      </w:r>
    </w:p>
    <w:p>
      <w:pPr>
        <w:pStyle w:val="Style2"/>
        <w:keepNext w:val="0"/>
        <w:keepLines w:val="0"/>
        <w:widowControl w:val="0"/>
        <w:numPr>
          <w:ilvl w:val="1"/>
          <w:numId w:val="5"/>
        </w:numPr>
        <w:shd w:val="clear" w:color="auto" w:fill="auto"/>
        <w:tabs>
          <w:tab w:pos="405" w:val="left"/>
        </w:tabs>
        <w:bidi w:val="0"/>
        <w:spacing w:before="0"/>
        <w:ind w:left="440" w:right="0" w:hanging="440"/>
        <w:jc w:val="both"/>
      </w:pPr>
      <w:r>
        <w:rPr>
          <w:rStyle w:val="CharStyle3"/>
        </w:rPr>
        <w:t>Strany si sdělily všechny skutkové a právní okolnosti, o nichž k datu podpisu této Rámcové dohody věděly nebo vědět musely, a které jsou relevantní ve vztahu k uzavření této Rámcové dohody. Kromě ujištění, která si strany poskytly v této Rámcové dohodě, nebude mít žádná ze stran žádná další práva a povinnosti v souvislosti s jakýmikoliv skutečnostmi, které vyjdou najevo a o kterých neposkytla druhá strana informace při jednání o této Rámcové dohodě. Výjimkou budou případy, kdy daná strana úmyslně uvedla druhou stranu ve skutkový omyl ohledně předmětu této Rámcové dohody.</w:t>
      </w:r>
    </w:p>
    <w:p>
      <w:pPr>
        <w:pStyle w:val="Style2"/>
        <w:keepNext w:val="0"/>
        <w:keepLines w:val="0"/>
        <w:widowControl w:val="0"/>
        <w:numPr>
          <w:ilvl w:val="1"/>
          <w:numId w:val="5"/>
        </w:numPr>
        <w:shd w:val="clear" w:color="auto" w:fill="auto"/>
        <w:tabs>
          <w:tab w:pos="405" w:val="left"/>
        </w:tabs>
        <w:bidi w:val="0"/>
        <w:spacing w:before="0" w:line="240" w:lineRule="auto"/>
        <w:ind w:left="440" w:right="0" w:hanging="440"/>
        <w:jc w:val="both"/>
      </w:pPr>
      <w:r>
        <w:rPr>
          <w:rStyle w:val="CharStyle3"/>
        </w:rPr>
        <w:t>Strany výslovně potvrzují, že jsou podnikateli a uzavírají tuto Rámcovou dohodu v přímé souvislosti se svým podnikáním. Strany výslovně potvrzují, že podmínky této Rámcové dohody jsou výsledkem jejich jednání a každá ze stran měla příležitost o obsahu smlouvy vyjednávat a ovlivnit tak smluvní podmínky. Pro vyloučení pochybností smluvní strany vylučují aplikaci ustanovení § 1799 a § 1800 občanského zákoníku na tuto Rámcovou dohodu.</w:t>
      </w:r>
      <w:r>
        <w:br w:type="page"/>
      </w:r>
    </w:p>
    <w:p>
      <w:pPr>
        <w:pStyle w:val="Style2"/>
        <w:keepNext w:val="0"/>
        <w:keepLines w:val="0"/>
        <w:widowControl w:val="0"/>
        <w:numPr>
          <w:ilvl w:val="1"/>
          <w:numId w:val="5"/>
        </w:numPr>
        <w:shd w:val="clear" w:color="auto" w:fill="auto"/>
        <w:tabs>
          <w:tab w:pos="513" w:val="left"/>
        </w:tabs>
        <w:bidi w:val="0"/>
        <w:spacing w:before="0" w:after="80"/>
        <w:ind w:left="480" w:right="0" w:hanging="480"/>
        <w:jc w:val="both"/>
      </w:pPr>
      <w:r>
        <w:rPr>
          <w:rStyle w:val="CharStyle3"/>
        </w:rPr>
        <w:t>Tato Rámcová dohoda je vyhotovena ve dvou stejnopisech, z nichž každá ze smluvních stran obdrží po jednom. Změny, dodatky a doplnění této Rámcové dohody mohou být prováděny pouze písemnými, pořadově číslovanými dodatky, podepsanými oprávněnými zástupci obou smluvních stran; tímto není dotčeno ustanovení čl. 4.2 této Rámcové dohody. Změny Všeobecných podmínek a Ceníku se řídí Všeobecnými podmínkami. Český text této Rámcové dohody je závazný.</w:t>
      </w:r>
    </w:p>
    <w:p>
      <w:pPr>
        <w:pStyle w:val="Style2"/>
        <w:keepNext w:val="0"/>
        <w:keepLines w:val="0"/>
        <w:widowControl w:val="0"/>
        <w:numPr>
          <w:ilvl w:val="1"/>
          <w:numId w:val="5"/>
        </w:numPr>
        <w:shd w:val="clear" w:color="auto" w:fill="auto"/>
        <w:tabs>
          <w:tab w:pos="513" w:val="left"/>
        </w:tabs>
        <w:bidi w:val="0"/>
        <w:spacing w:before="0" w:after="40"/>
        <w:ind w:left="0" w:right="0" w:firstLine="0"/>
        <w:jc w:val="left"/>
      </w:pPr>
      <w:r>
        <w:rPr>
          <w:rStyle w:val="CharStyle3"/>
        </w:rPr>
        <w:t>Nepoužije se.</w:t>
      </w:r>
    </w:p>
    <w:p>
      <w:pPr>
        <w:pStyle w:val="Style2"/>
        <w:keepNext w:val="0"/>
        <w:keepLines w:val="0"/>
        <w:widowControl w:val="0"/>
        <w:numPr>
          <w:ilvl w:val="1"/>
          <w:numId w:val="5"/>
        </w:numPr>
        <w:shd w:val="clear" w:color="auto" w:fill="auto"/>
        <w:tabs>
          <w:tab w:pos="513" w:val="left"/>
        </w:tabs>
        <w:bidi w:val="0"/>
        <w:spacing w:before="0" w:after="580" w:line="259" w:lineRule="auto"/>
        <w:ind w:left="400" w:right="0" w:hanging="400"/>
        <w:jc w:val="left"/>
      </w:pPr>
      <w:r>
        <w:rPr>
          <w:rStyle w:val="CharStyle3"/>
        </w:rPr>
        <w:t>Smluvní strany prohlašují, že si tuto Rámcovou dohodu přečetly a na výraz souhlasu s jejím obsahem připojují níže svůj podpis.</w:t>
      </w:r>
    </w:p>
    <w:p>
      <w:pPr>
        <w:pStyle w:val="Style35"/>
        <w:keepNext/>
        <w:keepLines/>
        <w:widowControl w:val="0"/>
        <w:shd w:val="clear" w:color="auto" w:fill="auto"/>
        <w:bidi w:val="0"/>
        <w:spacing w:before="0" w:line="240" w:lineRule="auto"/>
        <w:ind w:left="0" w:right="0"/>
        <w:jc w:val="left"/>
      </w:pPr>
      <w:r>
        <mc:AlternateContent>
          <mc:Choice Requires="wps">
            <w:drawing>
              <wp:anchor distT="0" distB="1341120" distL="626110" distR="1516380" simplePos="0" relativeHeight="125829381" behindDoc="0" locked="0" layoutInCell="1" allowOverlap="1">
                <wp:simplePos x="0" y="0"/>
                <wp:positionH relativeFrom="page">
                  <wp:posOffset>4336415</wp:posOffset>
                </wp:positionH>
                <wp:positionV relativeFrom="paragraph">
                  <wp:posOffset>25400</wp:posOffset>
                </wp:positionV>
                <wp:extent cx="646430" cy="152400"/>
                <wp:wrapSquare wrapText="left"/>
                <wp:docPr id="9" name="Shape 9"/>
                <a:graphic xmlns:a="http://schemas.openxmlformats.org/drawingml/2006/main">
                  <a:graphicData uri="http://schemas.microsoft.com/office/word/2010/wordprocessingShape">
                    <wps:wsp>
                      <wps:cNvSpPr txBox="1"/>
                      <wps:spPr>
                        <a:xfrm>
                          <a:ext cx="646430" cy="1524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Praze, dne</w:t>
                            </w:r>
                          </w:p>
                        </w:txbxContent>
                      </wps:txbx>
                      <wps:bodyPr wrap="none" lIns="0" tIns="0" rIns="0" bIns="0">
                        <a:noAutoFit/>
                      </wps:bodyPr>
                    </wps:wsp>
                  </a:graphicData>
                </a:graphic>
              </wp:anchor>
            </w:drawing>
          </mc:Choice>
          <mc:Fallback>
            <w:pict>
              <v:shape id="_x0000_s1035" type="#_x0000_t202" style="position:absolute;margin-left:341.44999999999999pt;margin-top:2.pt;width:50.899999999999999pt;height:12.pt;z-index:-125829372;mso-wrap-distance-left:49.300000000000004pt;mso-wrap-distance-right:119.40000000000001pt;mso-wrap-distance-bottom:105.6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Praze, dne</w:t>
                      </w:r>
                    </w:p>
                  </w:txbxContent>
                </v:textbox>
                <w10:wrap type="square" side="left" anchorx="page"/>
              </v:shape>
            </w:pict>
          </mc:Fallback>
        </mc:AlternateContent>
      </w:r>
      <w:r>
        <w:drawing>
          <wp:anchor distT="588645" distB="283210" distL="114300" distR="114300" simplePos="0" relativeHeight="125829383" behindDoc="0" locked="0" layoutInCell="1" allowOverlap="1">
            <wp:simplePos x="0" y="0"/>
            <wp:positionH relativeFrom="page">
              <wp:posOffset>3824605</wp:posOffset>
            </wp:positionH>
            <wp:positionV relativeFrom="paragraph">
              <wp:posOffset>614045</wp:posOffset>
            </wp:positionV>
            <wp:extent cx="2560320" cy="621665"/>
            <wp:wrapSquare wrapText="left"/>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ext cx="2560320" cy="62166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4339590</wp:posOffset>
                </wp:positionH>
                <wp:positionV relativeFrom="paragraph">
                  <wp:posOffset>321310</wp:posOffset>
                </wp:positionV>
                <wp:extent cx="1130935" cy="152400"/>
                <wp:wrapNone/>
                <wp:docPr id="13" name="Shape 13"/>
                <a:graphic xmlns:a="http://schemas.openxmlformats.org/drawingml/2006/main">
                  <a:graphicData uri="http://schemas.microsoft.com/office/word/2010/wordprocessingShape">
                    <wps:wsp>
                      <wps:cNvSpPr txBox="1"/>
                      <wps:spPr>
                        <a:xfrm>
                          <a:ext cx="1130935" cy="15240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02 Czech Republic a.s.</w:t>
                            </w:r>
                          </w:p>
                        </w:txbxContent>
                      </wps:txbx>
                      <wps:bodyPr lIns="0" tIns="0" rIns="0" bIns="0">
                        <a:noAutoFit/>
                      </wps:bodyPr>
                    </wps:wsp>
                  </a:graphicData>
                </a:graphic>
              </wp:anchor>
            </w:drawing>
          </mc:Choice>
          <mc:Fallback>
            <w:pict>
              <v:shape id="_x0000_s1039" type="#_x0000_t202" style="position:absolute;margin-left:341.69999999999999pt;margin-top:25.300000000000001pt;width:89.049999999999997pt;height:12.pt;z-index:251657729;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02 Czech Republic a.s.</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4342765</wp:posOffset>
                </wp:positionH>
                <wp:positionV relativeFrom="paragraph">
                  <wp:posOffset>1059180</wp:posOffset>
                </wp:positionV>
                <wp:extent cx="1167130" cy="460375"/>
                <wp:wrapNone/>
                <wp:docPr id="15" name="Shape 15"/>
                <a:graphic xmlns:a="http://schemas.openxmlformats.org/drawingml/2006/main">
                  <a:graphicData uri="http://schemas.microsoft.com/office/word/2010/wordprocessingShape">
                    <wps:wsp>
                      <wps:cNvSpPr txBox="1"/>
                      <wps:spPr>
                        <a:xfrm>
                          <a:ext cx="1167130" cy="460375"/>
                        </a:xfrm>
                        <a:prstGeom prst="rect"/>
                        <a:noFill/>
                      </wps:spPr>
                      <wps:txbx>
                        <w:txbxContent>
                          <w:p>
                            <w:pPr>
                              <w:pStyle w:val="Style24"/>
                              <w:keepNext w:val="0"/>
                              <w:keepLines w:val="0"/>
                              <w:widowControl w:val="0"/>
                              <w:shd w:val="clear" w:color="auto" w:fill="auto"/>
                              <w:bidi w:val="0"/>
                              <w:spacing w:before="0" w:after="0"/>
                              <w:ind w:left="0" w:right="0" w:firstLine="0"/>
                              <w:jc w:val="left"/>
                            </w:pPr>
                            <w:r>
                              <w:rPr>
                                <w:rStyle w:val="CharStyle25"/>
                                <w:spacing w:val="6"/>
                                <w:shd w:val="clear" w:color="auto" w:fill="000000"/>
                              </w:rPr>
                              <w:t>.</w:t>
                            </w:r>
                            <w:r>
                              <w:rPr>
                                <w:rStyle w:val="CharStyle25"/>
                                <w:spacing w:val="7"/>
                                <w:shd w:val="clear" w:color="auto" w:fill="000000"/>
                              </w:rPr>
                              <w:t>.....</w:t>
                            </w:r>
                            <w:r>
                              <w:rPr>
                                <w:rStyle w:val="CharStyle25"/>
                                <w:shd w:val="clear" w:color="auto" w:fill="000000"/>
                              </w:rPr>
                              <w:t>​</w:t>
                            </w:r>
                            <w:r>
                              <w:rPr>
                                <w:rStyle w:val="CharStyle25"/>
                                <w:spacing w:val="1"/>
                                <w:shd w:val="clear" w:color="auto" w:fill="000000"/>
                              </w:rPr>
                              <w:t>.........</w:t>
                            </w:r>
                            <w:r>
                              <w:rPr>
                                <w:rStyle w:val="CharStyle25"/>
                                <w:spacing w:val="2"/>
                                <w:shd w:val="clear" w:color="auto" w:fill="000000"/>
                              </w:rPr>
                              <w:t>..</w:t>
                            </w:r>
                            <w:r>
                              <w:rPr>
                                <w:rStyle w:val="CharStyle25"/>
                                <w:shd w:val="clear" w:color="auto" w:fill="000000"/>
                              </w:rPr>
                              <w:t>​</w:t>
                            </w:r>
                            <w:r>
                              <w:rPr>
                                <w:rStyle w:val="CharStyle25"/>
                                <w:spacing w:val="1"/>
                                <w:shd w:val="clear" w:color="auto" w:fill="000000"/>
                              </w:rPr>
                              <w:t>.</w:t>
                            </w:r>
                            <w:r>
                              <w:rPr>
                                <w:rStyle w:val="CharStyle25"/>
                                <w:spacing w:val="2"/>
                                <w:shd w:val="clear" w:color="auto" w:fill="000000"/>
                              </w:rPr>
                              <w:t>..........</w:t>
                            </w:r>
                            <w:r>
                              <w:rPr>
                                <w:rStyle w:val="CharStyle25"/>
                              </w:rPr>
                              <w:t xml:space="preserve"> Ředitel, Veřejná správa Na základě pověření</w:t>
                            </w:r>
                          </w:p>
                        </w:txbxContent>
                      </wps:txbx>
                      <wps:bodyPr lIns="0" tIns="0" rIns="0" bIns="0">
                        <a:noAutoFit/>
                      </wps:bodyPr>
                    </wps:wsp>
                  </a:graphicData>
                </a:graphic>
              </wp:anchor>
            </w:drawing>
          </mc:Choice>
          <mc:Fallback>
            <w:pict>
              <v:shape id="_x0000_s1041" type="#_x0000_t202" style="position:absolute;margin-left:341.94999999999999pt;margin-top:83.400000000000006pt;width:91.900000000000006pt;height:36.25pt;z-index:251657731;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ind w:left="0" w:right="0" w:firstLine="0"/>
                        <w:jc w:val="left"/>
                      </w:pPr>
                      <w:r>
                        <w:rPr>
                          <w:rStyle w:val="CharStyle25"/>
                          <w:spacing w:val="6"/>
                          <w:shd w:val="clear" w:color="auto" w:fill="000000"/>
                        </w:rPr>
                        <w:t>.</w:t>
                      </w:r>
                      <w:r>
                        <w:rPr>
                          <w:rStyle w:val="CharStyle25"/>
                          <w:spacing w:val="7"/>
                          <w:shd w:val="clear" w:color="auto" w:fill="000000"/>
                        </w:rPr>
                        <w:t>.....</w:t>
                      </w:r>
                      <w:r>
                        <w:rPr>
                          <w:rStyle w:val="CharStyle25"/>
                          <w:shd w:val="clear" w:color="auto" w:fill="000000"/>
                        </w:rPr>
                        <w:t>​</w:t>
                      </w:r>
                      <w:r>
                        <w:rPr>
                          <w:rStyle w:val="CharStyle25"/>
                          <w:spacing w:val="1"/>
                          <w:shd w:val="clear" w:color="auto" w:fill="000000"/>
                        </w:rPr>
                        <w:t>.........</w:t>
                      </w:r>
                      <w:r>
                        <w:rPr>
                          <w:rStyle w:val="CharStyle25"/>
                          <w:spacing w:val="2"/>
                          <w:shd w:val="clear" w:color="auto" w:fill="000000"/>
                        </w:rPr>
                        <w:t>..</w:t>
                      </w:r>
                      <w:r>
                        <w:rPr>
                          <w:rStyle w:val="CharStyle25"/>
                          <w:shd w:val="clear" w:color="auto" w:fill="000000"/>
                        </w:rPr>
                        <w:t>​</w:t>
                      </w:r>
                      <w:r>
                        <w:rPr>
                          <w:rStyle w:val="CharStyle25"/>
                          <w:spacing w:val="1"/>
                          <w:shd w:val="clear" w:color="auto" w:fill="000000"/>
                        </w:rPr>
                        <w:t>.</w:t>
                      </w:r>
                      <w:r>
                        <w:rPr>
                          <w:rStyle w:val="CharStyle25"/>
                          <w:spacing w:val="2"/>
                          <w:shd w:val="clear" w:color="auto" w:fill="000000"/>
                        </w:rPr>
                        <w:t>..........</w:t>
                      </w:r>
                      <w:r>
                        <w:rPr>
                          <w:rStyle w:val="CharStyle25"/>
                        </w:rPr>
                        <w:t xml:space="preserve"> Ředitel, Veřejná správa Na základě pověření</w:t>
                      </w:r>
                    </w:p>
                  </w:txbxContent>
                </v:textbox>
                <w10:wrap anchorx="page"/>
              </v:shape>
            </w:pict>
          </mc:Fallback>
        </mc:AlternateContent>
      </w:r>
      <w:bookmarkStart w:id="8" w:name="bookmark8"/>
      <w:r>
        <w:rPr>
          <w:rStyle w:val="CharStyle36"/>
          <w:rFonts w:ascii="Calibri" w:eastAsia="Calibri" w:hAnsi="Calibri" w:cs="Calibri"/>
          <w:sz w:val="18"/>
          <w:szCs w:val="18"/>
        </w:rPr>
        <w:t xml:space="preserve">V Brně, dne </w:t>
      </w:r>
      <w:r>
        <w:rPr>
          <w:rStyle w:val="CharStyle36"/>
        </w:rPr>
        <w:t>2 9 -Q4’ 2021</w:t>
      </w:r>
      <w:bookmarkEnd w:id="8"/>
    </w:p>
    <w:p>
      <w:pPr>
        <w:pStyle w:val="Style2"/>
        <w:keepNext w:val="0"/>
        <w:keepLines w:val="0"/>
        <w:widowControl w:val="0"/>
        <w:shd w:val="clear" w:color="auto" w:fill="auto"/>
        <w:bidi w:val="0"/>
        <w:spacing w:before="0" w:after="40" w:line="240" w:lineRule="auto"/>
        <w:ind w:left="0" w:right="0" w:firstLine="400"/>
        <w:jc w:val="left"/>
      </w:pPr>
      <w:r>
        <w:rPr>
          <w:rStyle w:val="CharStyle3"/>
        </w:rPr>
        <w:t>Zdravotnická záchranná služba</w:t>
      </w:r>
    </w:p>
    <w:p>
      <w:pPr>
        <w:pStyle w:val="Style2"/>
        <w:keepNext w:val="0"/>
        <w:keepLines w:val="0"/>
        <w:widowControl w:val="0"/>
        <w:shd w:val="clear" w:color="auto" w:fill="auto"/>
        <w:bidi w:val="0"/>
        <w:spacing w:before="0" w:after="680" w:line="240" w:lineRule="auto"/>
        <w:ind w:left="0" w:right="0" w:firstLine="400"/>
        <w:jc w:val="left"/>
      </w:pPr>
      <w:r>
        <w:drawing>
          <wp:anchor distT="167640" distB="374650" distL="236220" distR="114300" simplePos="0" relativeHeight="125829384" behindDoc="0" locked="0" layoutInCell="1" allowOverlap="1">
            <wp:simplePos x="0" y="0"/>
            <wp:positionH relativeFrom="page">
              <wp:posOffset>1230630</wp:posOffset>
            </wp:positionH>
            <wp:positionV relativeFrom="paragraph">
              <wp:posOffset>751840</wp:posOffset>
            </wp:positionV>
            <wp:extent cx="1877695" cy="719455"/>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2"/>
                    <a:stretch/>
                  </pic:blipFill>
                  <pic:spPr>
                    <a:xfrm>
                      <a:ext cx="1877695" cy="71945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1108710</wp:posOffset>
                </wp:positionH>
                <wp:positionV relativeFrom="paragraph">
                  <wp:posOffset>584200</wp:posOffset>
                </wp:positionV>
                <wp:extent cx="1438910" cy="158750"/>
                <wp:wrapNone/>
                <wp:docPr id="19" name="Shape 19"/>
                <a:graphic xmlns:a="http://schemas.openxmlformats.org/drawingml/2006/main">
                  <a:graphicData uri="http://schemas.microsoft.com/office/word/2010/wordprocessingShape">
                    <wps:wsp>
                      <wps:cNvSpPr txBox="1"/>
                      <wps:spPr>
                        <a:xfrm>
                          <a:ext cx="1438910" cy="15875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MUDr. HANA ALBRECHTOVÁ</w:t>
                            </w:r>
                          </w:p>
                        </w:txbxContent>
                      </wps:txbx>
                      <wps:bodyPr lIns="0" tIns="0" rIns="0" bIns="0">
                        <a:noAutoFit/>
                      </wps:bodyPr>
                    </wps:wsp>
                  </a:graphicData>
                </a:graphic>
              </wp:anchor>
            </w:drawing>
          </mc:Choice>
          <mc:Fallback>
            <w:pict>
              <v:shape id="_x0000_s1045" type="#_x0000_t202" style="position:absolute;margin-left:87.299999999999997pt;margin-top:46.pt;width:113.3pt;height:12.5pt;z-index:251657733;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MUDr. HANA ALBRECHTOVÁ</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1273175</wp:posOffset>
                </wp:positionH>
                <wp:positionV relativeFrom="paragraph">
                  <wp:posOffset>1498600</wp:posOffset>
                </wp:positionV>
                <wp:extent cx="1234440" cy="347345"/>
                <wp:wrapNone/>
                <wp:docPr id="21" name="Shape 21"/>
                <a:graphic xmlns:a="http://schemas.openxmlformats.org/drawingml/2006/main">
                  <a:graphicData uri="http://schemas.microsoft.com/office/word/2010/wordprocessingShape">
                    <wps:wsp>
                      <wps:cNvSpPr txBox="1"/>
                      <wps:spPr>
                        <a:xfrm>
                          <a:ext cx="1234440" cy="347345"/>
                        </a:xfrm>
                        <a:prstGeom prst="rect"/>
                        <a:noFill/>
                      </wps:spPr>
                      <wps:txbx>
                        <w:txbxContent>
                          <w:p>
                            <w:pPr>
                              <w:pStyle w:val="Style24"/>
                              <w:keepNext w:val="0"/>
                              <w:keepLines w:val="0"/>
                              <w:widowControl w:val="0"/>
                              <w:shd w:val="clear" w:color="auto" w:fill="auto"/>
                              <w:bidi w:val="0"/>
                              <w:spacing w:before="0" w:after="0" w:line="310" w:lineRule="auto"/>
                              <w:ind w:left="0" w:right="0" w:firstLine="0"/>
                              <w:jc w:val="center"/>
                              <w:rPr>
                                <w:sz w:val="13"/>
                                <w:szCs w:val="13"/>
                              </w:rPr>
                            </w:pPr>
                            <w:r>
                              <w:rPr>
                                <w:rStyle w:val="CharStyle25"/>
                                <w:rFonts w:ascii="Arial" w:eastAsia="Arial" w:hAnsi="Arial" w:cs="Arial"/>
                                <w:sz w:val="13"/>
                                <w:szCs w:val="13"/>
                              </w:rPr>
                              <w:t>Zdravotnická záchranná služba Jihomoravského kraje, p.o. Kameníce 798/1 d.625 00 Brno</w:t>
                            </w:r>
                          </w:p>
                        </w:txbxContent>
                      </wps:txbx>
                      <wps:bodyPr lIns="0" tIns="0" rIns="0" bIns="0">
                        <a:noAutoFit/>
                      </wps:bodyPr>
                    </wps:wsp>
                  </a:graphicData>
                </a:graphic>
              </wp:anchor>
            </w:drawing>
          </mc:Choice>
          <mc:Fallback>
            <w:pict>
              <v:shape id="_x0000_s1047" type="#_x0000_t202" style="position:absolute;margin-left:100.25pt;margin-top:118.pt;width:97.200000000000003pt;height:27.350000000000001pt;z-index:251657735;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310" w:lineRule="auto"/>
                        <w:ind w:left="0" w:right="0" w:firstLine="0"/>
                        <w:jc w:val="center"/>
                        <w:rPr>
                          <w:sz w:val="13"/>
                          <w:szCs w:val="13"/>
                        </w:rPr>
                      </w:pPr>
                      <w:r>
                        <w:rPr>
                          <w:rStyle w:val="CharStyle25"/>
                          <w:rFonts w:ascii="Arial" w:eastAsia="Arial" w:hAnsi="Arial" w:cs="Arial"/>
                          <w:sz w:val="13"/>
                          <w:szCs w:val="13"/>
                        </w:rPr>
                        <w:t>Zdravotnická záchranná služba Jihomoravského kraje, p.o. Kameníce 798/1 d.625 00 Brno</w:t>
                      </w:r>
                    </w:p>
                  </w:txbxContent>
                </v:textbox>
                <w10:wrap anchorx="page"/>
              </v:shape>
            </w:pict>
          </mc:Fallback>
        </mc:AlternateContent>
      </w:r>
      <w:r>
        <w:rPr>
          <w:rStyle w:val="CharStyle3"/>
        </w:rPr>
        <w:t>Jihomoravského kraje, příspěvková organizace</w:t>
      </w:r>
    </w:p>
    <w:p>
      <w:pPr>
        <w:pStyle w:val="Style38"/>
        <w:keepNext w:val="0"/>
        <w:keepLines w:val="0"/>
        <w:widowControl w:val="0"/>
        <w:shd w:val="clear" w:color="auto" w:fill="auto"/>
        <w:bidi w:val="0"/>
        <w:ind w:right="0" w:firstLine="0"/>
        <w:jc w:val="left"/>
      </w:pPr>
      <w:r>
        <w:rPr>
          <w:rStyle w:val="CharStyle39"/>
        </w:rPr>
        <w:t>24</w:t>
      </w:r>
    </w:p>
    <w:p>
      <w:pPr>
        <w:pStyle w:val="Style2"/>
        <w:keepNext w:val="0"/>
        <w:keepLines w:val="0"/>
        <w:widowControl w:val="0"/>
        <w:shd w:val="clear" w:color="auto" w:fill="auto"/>
        <w:bidi w:val="0"/>
        <w:spacing w:before="0" w:after="80" w:line="240" w:lineRule="auto"/>
        <w:ind w:left="0" w:right="0" w:firstLine="0"/>
        <w:jc w:val="left"/>
      </w:pPr>
      <w:r>
        <w:rPr>
          <w:rStyle w:val="CharStyle3"/>
          <w:b/>
          <w:bCs/>
          <w:i/>
          <w:iCs/>
        </w:rPr>
        <w:t>Přílohy:</w:t>
      </w:r>
    </w:p>
    <w:p>
      <w:pPr>
        <w:pStyle w:val="Style2"/>
        <w:keepNext w:val="0"/>
        <w:keepLines w:val="0"/>
        <w:widowControl w:val="0"/>
        <w:shd w:val="clear" w:color="auto" w:fill="auto"/>
        <w:bidi w:val="0"/>
        <w:spacing w:before="0" w:after="40" w:line="240" w:lineRule="auto"/>
        <w:ind w:left="0" w:right="0" w:firstLine="0"/>
        <w:jc w:val="left"/>
      </w:pPr>
      <w:r>
        <w:rPr>
          <w:rStyle w:val="CharStyle3"/>
        </w:rPr>
        <w:t>č. 1 - Zvláštní ujednání</w:t>
      </w:r>
    </w:p>
    <w:p>
      <w:pPr>
        <w:pStyle w:val="Style2"/>
        <w:keepNext w:val="0"/>
        <w:keepLines w:val="0"/>
        <w:widowControl w:val="0"/>
        <w:shd w:val="clear" w:color="auto" w:fill="auto"/>
        <w:bidi w:val="0"/>
        <w:spacing w:before="0" w:after="40" w:line="240" w:lineRule="auto"/>
        <w:ind w:left="0" w:right="0" w:firstLine="0"/>
        <w:jc w:val="left"/>
      </w:pPr>
      <w:r>
        <w:rPr>
          <w:rStyle w:val="CharStyle3"/>
        </w:rPr>
        <w:t>č. 2 - Kontaktní informace</w:t>
      </w:r>
    </w:p>
    <w:p>
      <w:pPr>
        <w:pStyle w:val="Style2"/>
        <w:keepNext w:val="0"/>
        <w:keepLines w:val="0"/>
        <w:widowControl w:val="0"/>
        <w:shd w:val="clear" w:color="auto" w:fill="auto"/>
        <w:bidi w:val="0"/>
        <w:spacing w:before="0" w:after="80" w:line="240" w:lineRule="auto"/>
        <w:ind w:left="0" w:right="0" w:firstLine="0"/>
        <w:jc w:val="left"/>
        <w:sectPr>
          <w:headerReference w:type="default" r:id="rId14"/>
          <w:footerReference w:type="default" r:id="rId15"/>
          <w:headerReference w:type="even" r:id="rId16"/>
          <w:footerReference w:type="even" r:id="rId17"/>
          <w:footnotePr>
            <w:pos w:val="pageBottom"/>
            <w:numFmt w:val="decimal"/>
            <w:numRestart w:val="continuous"/>
          </w:footnotePr>
          <w:pgSz w:w="11900" w:h="16840"/>
          <w:pgMar w:top="1794" w:right="573" w:bottom="2576" w:left="1329" w:header="0" w:footer="3" w:gutter="0"/>
          <w:cols w:space="720"/>
          <w:noEndnote/>
          <w:rtlGutter w:val="0"/>
          <w:docGrid w:linePitch="360"/>
        </w:sectPr>
      </w:pPr>
      <w:r>
        <w:rPr>
          <w:rStyle w:val="CharStyle3"/>
        </w:rPr>
        <w:t>č. 3 - Seznam Dalších účastníků</w:t>
      </w:r>
    </w:p>
    <w:p>
      <w:pPr>
        <w:pStyle w:val="Style2"/>
        <w:keepNext w:val="0"/>
        <w:keepLines w:val="0"/>
        <w:widowControl w:val="0"/>
        <w:shd w:val="clear" w:color="auto" w:fill="auto"/>
        <w:bidi w:val="0"/>
        <w:spacing w:before="0" w:after="460" w:line="240" w:lineRule="auto"/>
        <w:ind w:left="0" w:right="0" w:firstLine="0"/>
        <w:jc w:val="left"/>
      </w:pPr>
      <w:r>
        <w:rPr>
          <w:rStyle w:val="CharStyle3"/>
        </w:rPr>
        <w:t>Příloha č.l</w:t>
      </w:r>
    </w:p>
    <w:p>
      <w:pPr>
        <w:pStyle w:val="Style11"/>
        <w:keepNext/>
        <w:keepLines/>
        <w:widowControl w:val="0"/>
        <w:shd w:val="clear" w:color="auto" w:fill="auto"/>
        <w:bidi w:val="0"/>
        <w:spacing w:before="0" w:after="460" w:line="240" w:lineRule="auto"/>
        <w:ind w:left="0" w:right="0" w:firstLine="0"/>
        <w:jc w:val="center"/>
      </w:pPr>
      <w:bookmarkStart w:id="10" w:name="bookmark10"/>
      <w:r>
        <w:rPr>
          <w:rStyle w:val="CharStyle12"/>
          <w:b/>
          <w:bCs/>
        </w:rPr>
        <w:t>Zvláštní ujednání</w:t>
      </w:r>
      <w:bookmarkEnd w:id="10"/>
    </w:p>
    <w:p>
      <w:pPr>
        <w:pStyle w:val="Style11"/>
        <w:keepNext/>
        <w:keepLines/>
        <w:widowControl w:val="0"/>
        <w:numPr>
          <w:ilvl w:val="0"/>
          <w:numId w:val="9"/>
        </w:numPr>
        <w:shd w:val="clear" w:color="auto" w:fill="auto"/>
        <w:tabs>
          <w:tab w:pos="334" w:val="left"/>
        </w:tabs>
        <w:bidi w:val="0"/>
        <w:spacing w:before="0" w:line="240" w:lineRule="auto"/>
        <w:ind w:left="0" w:right="0" w:firstLine="0"/>
        <w:jc w:val="left"/>
      </w:pPr>
      <w:bookmarkStart w:id="12" w:name="bookmark12"/>
      <w:r>
        <w:rPr>
          <w:rStyle w:val="CharStyle12"/>
          <w:b/>
          <w:bCs/>
        </w:rPr>
        <w:t>Individuální nabídka</w:t>
      </w:r>
      <w:bookmarkEnd w:id="12"/>
    </w:p>
    <w:p>
      <w:pPr>
        <w:pStyle w:val="Style2"/>
        <w:keepNext w:val="0"/>
        <w:keepLines w:val="0"/>
        <w:widowControl w:val="0"/>
        <w:shd w:val="clear" w:color="auto" w:fill="auto"/>
        <w:bidi w:val="0"/>
        <w:spacing w:before="0" w:after="600" w:line="336" w:lineRule="auto"/>
        <w:ind w:left="0" w:right="0" w:firstLine="0"/>
        <w:jc w:val="left"/>
      </w:pPr>
      <w:r>
        <w:rPr>
          <w:rStyle w:val="CharStyle3"/>
        </w:rPr>
        <w:t xml:space="preserve">Individuální nabídka pro: </w:t>
      </w:r>
      <w:r>
        <w:rPr>
          <w:rStyle w:val="CharStyle3"/>
          <w:b/>
          <w:bCs/>
        </w:rPr>
        <w:t xml:space="preserve">Zdravotnická záchranná služba Jihomoravského kraje, příspěvková organizace </w:t>
      </w:r>
      <w:r>
        <w:rPr>
          <w:rStyle w:val="CharStyle3"/>
        </w:rPr>
        <w:t>02 poskytne Účastníkovi následující individuální podmínky:</w:t>
      </w:r>
    </w:p>
    <w:p>
      <w:pPr>
        <w:pStyle w:val="Style2"/>
        <w:keepNext w:val="0"/>
        <w:keepLines w:val="0"/>
        <w:widowControl w:val="0"/>
        <w:shd w:val="clear" w:color="auto" w:fill="auto"/>
        <w:bidi w:val="0"/>
        <w:spacing w:before="0" w:line="240" w:lineRule="auto"/>
        <w:ind w:left="0" w:right="0" w:firstLine="0"/>
        <w:jc w:val="left"/>
      </w:pPr>
      <w:r>
        <w:rPr>
          <w:rStyle w:val="CharStyle3"/>
        </w:rPr>
        <w:t>Volání</w:t>
      </w:r>
    </w:p>
    <w:tbl>
      <w:tblPr>
        <w:tblOverlap w:val="never"/>
        <w:jc w:val="left"/>
        <w:tblLayout w:type="fixed"/>
      </w:tblPr>
      <w:tblGrid>
        <w:gridCol w:w="1574"/>
        <w:gridCol w:w="816"/>
        <w:gridCol w:w="950"/>
        <w:gridCol w:w="1090"/>
        <w:gridCol w:w="946"/>
        <w:gridCol w:w="946"/>
        <w:gridCol w:w="898"/>
      </w:tblGrid>
      <w:tr>
        <w:trPr>
          <w:trHeight w:val="2045" w:hRule="exact"/>
        </w:trPr>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600"/>
              <w:jc w:val="left"/>
            </w:pPr>
            <w:r>
              <w:rPr>
                <w:rStyle w:val="CharStyle41"/>
              </w:rPr>
              <w:t>Tarif</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54" w:lineRule="auto"/>
              <w:ind w:left="0" w:right="0" w:firstLine="0"/>
              <w:jc w:val="center"/>
            </w:pPr>
            <w:r>
              <w:rPr>
                <w:rStyle w:val="CharStyle41"/>
              </w:rPr>
              <w:t>Měsíční paušál</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Volání/ videovolá ní 02 mobil ČR</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Vnitrostátní volání/ videovolání v rámci služby Volání ve firmě</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Volání pevné sítě ČR</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Volání/ videovolá ní ČR ostatní mobilní sítě</w:t>
            </w:r>
          </w:p>
        </w:tc>
        <w:tc>
          <w:tcPr>
            <w:tcBorders>
              <w:top w:val="single" w:sz="4"/>
              <w:left w:val="single" w:sz="4"/>
              <w:righ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Hlasová schránka</w:t>
            </w:r>
          </w:p>
        </w:tc>
      </w:tr>
      <w:tr>
        <w:trPr>
          <w:trHeight w:val="307"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Profil 1</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1,00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0,50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0,00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0,50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0,50</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0,00</w:t>
            </w:r>
          </w:p>
        </w:tc>
      </w:tr>
      <w:tr>
        <w:trPr>
          <w:trHeight w:val="336"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Profil Neomezený</w:t>
            </w:r>
          </w:p>
        </w:tc>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198,00</w:t>
            </w:r>
          </w:p>
        </w:tc>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0,00</w:t>
            </w:r>
          </w:p>
        </w:tc>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0,00</w:t>
            </w:r>
          </w:p>
        </w:tc>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0,00</w:t>
            </w:r>
          </w:p>
        </w:tc>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0,00</w:t>
            </w:r>
          </w:p>
        </w:tc>
        <w:tc>
          <w:tcPr>
            <w:tcBorders>
              <w:top w:val="single" w:sz="4"/>
              <w:left w:val="single" w:sz="4"/>
              <w:bottom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0,00</w:t>
            </w:r>
          </w:p>
        </w:tc>
      </w:tr>
    </w:tbl>
    <w:p>
      <w:pPr>
        <w:pStyle w:val="Style2"/>
        <w:keepNext w:val="0"/>
        <w:keepLines w:val="0"/>
        <w:widowControl w:val="0"/>
        <w:shd w:val="clear" w:color="auto" w:fill="auto"/>
        <w:bidi w:val="0"/>
        <w:spacing w:before="0" w:after="0" w:line="259" w:lineRule="auto"/>
        <w:ind w:left="0" w:right="0" w:firstLine="0"/>
        <w:jc w:val="left"/>
      </w:pPr>
      <w:r>
        <w:rPr>
          <w:rStyle w:val="CharStyle3"/>
        </w:rPr>
        <w:t>Ceny jsou uvedeny bez aktuální sazby DPH. Ceny za sazby jsou v Kč za minutu.</w:t>
      </w:r>
    </w:p>
    <w:p>
      <w:pPr>
        <w:pStyle w:val="Style2"/>
        <w:keepNext w:val="0"/>
        <w:keepLines w:val="0"/>
        <w:widowControl w:val="0"/>
        <w:shd w:val="clear" w:color="auto" w:fill="auto"/>
        <w:bidi w:val="0"/>
        <w:spacing w:before="0" w:after="300" w:line="259" w:lineRule="auto"/>
        <w:ind w:left="0" w:right="0" w:firstLine="0"/>
        <w:jc w:val="left"/>
      </w:pPr>
      <w:r>
        <w:rPr>
          <w:rStyle w:val="CharStyle3"/>
        </w:rPr>
        <w:t>Účtovací interval (tarifikace) pro národní volání a videovolání: První minuta celá a dále pak po sekundách. Součástí všech tarifů je služba Volání ve firmě, jejíž poplatek je zahrnut do měsíčního paušálu tarifu.</w:t>
      </w:r>
    </w:p>
    <w:p>
      <w:pPr>
        <w:pStyle w:val="Style42"/>
        <w:keepNext w:val="0"/>
        <w:keepLines w:val="0"/>
        <w:widowControl w:val="0"/>
        <w:shd w:val="clear" w:color="auto" w:fill="auto"/>
        <w:bidi w:val="0"/>
        <w:spacing w:before="0" w:after="0" w:line="240" w:lineRule="auto"/>
        <w:ind w:left="0" w:right="0" w:firstLine="0"/>
        <w:jc w:val="left"/>
      </w:pPr>
      <w:r>
        <w:rPr>
          <w:rStyle w:val="CharStyle43"/>
        </w:rPr>
        <w:t>SMS a ostatní</w:t>
      </w:r>
    </w:p>
    <w:tbl>
      <w:tblPr>
        <w:tblOverlap w:val="never"/>
        <w:jc w:val="left"/>
        <w:tblLayout w:type="fixed"/>
      </w:tblPr>
      <w:tblGrid>
        <w:gridCol w:w="1570"/>
        <w:gridCol w:w="1090"/>
        <w:gridCol w:w="1090"/>
        <w:gridCol w:w="1229"/>
      </w:tblGrid>
      <w:tr>
        <w:trPr>
          <w:trHeight w:val="1253" w:hRule="exact"/>
        </w:trPr>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580"/>
              <w:jc w:val="left"/>
            </w:pPr>
            <w:r>
              <w:rPr>
                <w:rStyle w:val="CharStyle41"/>
              </w:rPr>
              <w:t>Profil</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SMS mobilní 02 a pevné sítě ČR</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SMS do ostatních mobilních sítí ČR</w:t>
            </w:r>
          </w:p>
        </w:tc>
        <w:tc>
          <w:tcPr>
            <w:tcBorders>
              <w:top w:val="single" w:sz="4"/>
              <w:left w:val="single" w:sz="4"/>
              <w:righ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MMS (mobilní sítě ČR a zahraničí)</w:t>
            </w:r>
          </w:p>
        </w:tc>
      </w:tr>
      <w:tr>
        <w:trPr>
          <w:trHeight w:val="307"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Profil 1</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0,50</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0,50</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3,50</w:t>
            </w:r>
          </w:p>
        </w:tc>
      </w:tr>
      <w:tr>
        <w:trPr>
          <w:trHeight w:val="326"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Profil Neomezený</w:t>
            </w:r>
          </w:p>
        </w:tc>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0,00</w:t>
            </w:r>
          </w:p>
        </w:tc>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0,00</w:t>
            </w:r>
          </w:p>
        </w:tc>
        <w:tc>
          <w:tcPr>
            <w:tcBorders>
              <w:top w:val="single" w:sz="4"/>
              <w:left w:val="single" w:sz="4"/>
              <w:bottom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3,50</w:t>
            </w:r>
          </w:p>
        </w:tc>
      </w:tr>
    </w:tbl>
    <w:p>
      <w:pPr>
        <w:pStyle w:val="Style42"/>
        <w:keepNext w:val="0"/>
        <w:keepLines w:val="0"/>
        <w:widowControl w:val="0"/>
        <w:shd w:val="clear" w:color="auto" w:fill="auto"/>
        <w:bidi w:val="0"/>
        <w:spacing w:before="0" w:after="0" w:line="240" w:lineRule="auto"/>
        <w:ind w:left="0" w:right="0" w:firstLine="0"/>
        <w:jc w:val="left"/>
      </w:pPr>
      <w:r>
        <w:rPr>
          <w:rStyle w:val="CharStyle43"/>
        </w:rPr>
        <w:t>Ceny jsou uvedeny bez aktuální sazby DPH. Ceny za sazby jsou v Kč za SMS/MMS.</w:t>
      </w:r>
    </w:p>
    <w:p>
      <w:pPr>
        <w:widowControl w:val="0"/>
        <w:spacing w:line="1" w:lineRule="exact"/>
      </w:pPr>
      <w:r>
        <w:br w:type="page"/>
      </w:r>
    </w:p>
    <w:p>
      <w:pPr>
        <w:pStyle w:val="Style42"/>
        <w:keepNext w:val="0"/>
        <w:keepLines w:val="0"/>
        <w:widowControl w:val="0"/>
        <w:shd w:val="clear" w:color="auto" w:fill="auto"/>
        <w:bidi w:val="0"/>
        <w:spacing w:before="0" w:after="0" w:line="240" w:lineRule="auto"/>
        <w:ind w:left="0" w:right="0" w:firstLine="0"/>
        <w:jc w:val="left"/>
      </w:pPr>
      <w:r>
        <w:rPr>
          <w:rStyle w:val="CharStyle43"/>
        </w:rPr>
        <w:t>Provoz v zóně EU</w:t>
      </w:r>
    </w:p>
    <w:tbl>
      <w:tblPr>
        <w:tblOverlap w:val="never"/>
        <w:jc w:val="left"/>
        <w:tblLayout w:type="fixed"/>
      </w:tblPr>
      <w:tblGrid>
        <w:gridCol w:w="1853"/>
        <w:gridCol w:w="2587"/>
        <w:gridCol w:w="2875"/>
      </w:tblGrid>
      <w:tr>
        <w:trPr>
          <w:trHeight w:val="1858" w:hRule="exact"/>
        </w:trPr>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Tarif</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54" w:lineRule="auto"/>
              <w:ind w:left="0" w:right="0" w:firstLine="0"/>
              <w:jc w:val="center"/>
            </w:pPr>
            <w:r>
              <w:rPr>
                <w:rStyle w:val="CharStyle41"/>
              </w:rPr>
              <w:t>Volání odchozí v zóně EU</w:t>
            </w:r>
          </w:p>
        </w:tc>
        <w:tc>
          <w:tcPr>
            <w:tcBorders>
              <w:top w:val="single" w:sz="4"/>
              <w:left w:val="single" w:sz="4"/>
              <w:righ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SMS v zóně EU</w:t>
            </w:r>
          </w:p>
        </w:tc>
      </w:tr>
      <w:tr>
        <w:trPr>
          <w:trHeight w:val="312"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Profil 1</w:t>
            </w:r>
          </w:p>
        </w:tc>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0,50</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0,50</w:t>
            </w:r>
          </w:p>
        </w:tc>
      </w:tr>
      <w:tr>
        <w:trPr>
          <w:trHeight w:val="336"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Profil Neomezený</w:t>
            </w:r>
          </w:p>
        </w:tc>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0,00</w:t>
            </w:r>
          </w:p>
        </w:tc>
        <w:tc>
          <w:tcPr>
            <w:tcBorders>
              <w:top w:val="single" w:sz="4"/>
              <w:left w:val="single" w:sz="4"/>
              <w:bottom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0,00</w:t>
            </w:r>
          </w:p>
        </w:tc>
      </w:tr>
    </w:tbl>
    <w:p>
      <w:pPr>
        <w:pStyle w:val="Style42"/>
        <w:keepNext w:val="0"/>
        <w:keepLines w:val="0"/>
        <w:widowControl w:val="0"/>
        <w:shd w:val="clear" w:color="auto" w:fill="auto"/>
        <w:bidi w:val="0"/>
        <w:spacing w:before="0" w:after="0" w:line="240" w:lineRule="auto"/>
        <w:ind w:left="0" w:right="0" w:firstLine="0"/>
        <w:jc w:val="left"/>
      </w:pPr>
      <w:r>
        <w:rPr>
          <w:rStyle w:val="CharStyle43"/>
        </w:rPr>
        <w:t>Ceny jsou uvedeny bez aktuální sazby DPH. Ceny jsou v Kč za minutu/SMS.</w:t>
      </w:r>
    </w:p>
    <w:p>
      <w:pPr>
        <w:widowControl w:val="0"/>
        <w:spacing w:after="299" w:line="1" w:lineRule="exact"/>
      </w:pPr>
    </w:p>
    <w:p>
      <w:pPr>
        <w:widowControl w:val="0"/>
        <w:spacing w:line="1" w:lineRule="exact"/>
      </w:pPr>
    </w:p>
    <w:p>
      <w:pPr>
        <w:pStyle w:val="Style42"/>
        <w:keepNext w:val="0"/>
        <w:keepLines w:val="0"/>
        <w:widowControl w:val="0"/>
        <w:shd w:val="clear" w:color="auto" w:fill="auto"/>
        <w:bidi w:val="0"/>
        <w:spacing w:before="0" w:after="0" w:line="240" w:lineRule="auto"/>
        <w:ind w:left="0" w:right="0" w:firstLine="0"/>
        <w:jc w:val="left"/>
      </w:pPr>
      <w:r>
        <w:rPr>
          <w:rStyle w:val="CharStyle43"/>
        </w:rPr>
        <w:t>Mezinárodní volání a videovolání</w:t>
      </w:r>
    </w:p>
    <w:tbl>
      <w:tblPr>
        <w:tblOverlap w:val="never"/>
        <w:jc w:val="left"/>
        <w:tblLayout w:type="fixed"/>
      </w:tblPr>
      <w:tblGrid>
        <w:gridCol w:w="6197"/>
        <w:gridCol w:w="2194"/>
      </w:tblGrid>
      <w:tr>
        <w:trPr>
          <w:trHeight w:val="518" w:hRule="exact"/>
        </w:trPr>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left"/>
            </w:pPr>
            <w:r>
              <w:rPr>
                <w:rStyle w:val="CharStyle41"/>
              </w:rPr>
              <w:t>Zóna/země</w:t>
            </w:r>
          </w:p>
        </w:tc>
        <w:tc>
          <w:tcPr>
            <w:tcBorders>
              <w:top w:val="single" w:sz="4"/>
              <w:left w:val="single" w:sz="4"/>
              <w:righ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Volání a videovolání</w:t>
            </w:r>
          </w:p>
        </w:tc>
      </w:tr>
      <w:tr>
        <w:trPr>
          <w:trHeight w:val="317" w:hRule="exact"/>
        </w:trPr>
        <w:tc>
          <w:tcPr>
            <w:tcBorders>
              <w:top w:val="single" w:sz="4"/>
              <w:lef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left"/>
            </w:pPr>
            <w:r>
              <w:rPr>
                <w:rStyle w:val="CharStyle41"/>
              </w:rPr>
              <w:t>1.</w:t>
            </w:r>
          </w:p>
        </w:tc>
        <w:tc>
          <w:tcPr>
            <w:tcBorders>
              <w:top w:val="single" w:sz="4"/>
              <w:left w:val="single" w:sz="4"/>
              <w:right w:val="single" w:sz="4"/>
            </w:tcBorders>
            <w:shd w:val="clear" w:color="auto" w:fill="auto"/>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0,60</w:t>
            </w:r>
          </w:p>
        </w:tc>
      </w:tr>
      <w:tr>
        <w:trPr>
          <w:trHeight w:val="307"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2.</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1,00</w:t>
            </w:r>
          </w:p>
        </w:tc>
      </w:tr>
      <w:tr>
        <w:trPr>
          <w:trHeight w:val="312"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3.</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5,00</w:t>
            </w:r>
          </w:p>
        </w:tc>
      </w:tr>
      <w:tr>
        <w:trPr>
          <w:trHeight w:val="312" w:hRule="exact"/>
        </w:trPr>
        <w:tc>
          <w:tcPr>
            <w:tcBorders>
              <w:top w:val="single" w:sz="4"/>
              <w:lef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4.</w:t>
            </w:r>
          </w:p>
        </w:tc>
        <w:tc>
          <w:tcPr>
            <w:tcBorders>
              <w:top w:val="single" w:sz="4"/>
              <w:left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5,00</w:t>
            </w:r>
          </w:p>
        </w:tc>
      </w:tr>
      <w:tr>
        <w:trPr>
          <w:trHeight w:val="326"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6.</w:t>
            </w:r>
          </w:p>
        </w:tc>
        <w:tc>
          <w:tcPr>
            <w:tcBorders>
              <w:top w:val="single" w:sz="4"/>
              <w:left w:val="single" w:sz="4"/>
              <w:bottom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10,00</w:t>
            </w:r>
          </w:p>
        </w:tc>
      </w:tr>
    </w:tbl>
    <w:p>
      <w:pPr>
        <w:pStyle w:val="Style42"/>
        <w:keepNext w:val="0"/>
        <w:keepLines w:val="0"/>
        <w:widowControl w:val="0"/>
        <w:shd w:val="clear" w:color="auto" w:fill="auto"/>
        <w:bidi w:val="0"/>
        <w:spacing w:before="0" w:after="0" w:line="240" w:lineRule="auto"/>
        <w:ind w:left="0" w:right="0" w:firstLine="0"/>
        <w:jc w:val="left"/>
      </w:pPr>
      <w:r>
        <w:rPr>
          <w:rStyle w:val="CharStyle43"/>
        </w:rPr>
        <w:t>Ceny jsou uvedeny bez aktuální sazby DPH. Ceny za sazby jsou v Kč za minutu.</w:t>
      </w:r>
    </w:p>
    <w:p>
      <w:pPr>
        <w:pStyle w:val="Style42"/>
        <w:keepNext w:val="0"/>
        <w:keepLines w:val="0"/>
        <w:widowControl w:val="0"/>
        <w:shd w:val="clear" w:color="auto" w:fill="auto"/>
        <w:bidi w:val="0"/>
        <w:spacing w:before="0" w:after="0" w:line="240" w:lineRule="auto"/>
        <w:ind w:left="0" w:right="0" w:firstLine="0"/>
        <w:jc w:val="left"/>
      </w:pPr>
      <w:r>
        <w:rPr>
          <w:rStyle w:val="CharStyle43"/>
        </w:rPr>
        <w:t>Účtovací interval (tarifikace) pro mezinárodní volání a videovolání: Účtuje se každá započatá minuta.</w:t>
      </w:r>
    </w:p>
    <w:p>
      <w:pPr>
        <w:pStyle w:val="Style42"/>
        <w:keepNext w:val="0"/>
        <w:keepLines w:val="0"/>
        <w:widowControl w:val="0"/>
        <w:shd w:val="clear" w:color="auto" w:fill="auto"/>
        <w:bidi w:val="0"/>
        <w:spacing w:before="0" w:after="0" w:line="240" w:lineRule="auto"/>
        <w:ind w:left="0" w:right="0" w:firstLine="0"/>
        <w:jc w:val="left"/>
      </w:pPr>
      <w:r>
        <w:rPr>
          <w:rStyle w:val="CharStyle43"/>
        </w:rPr>
        <w:t>Seznam zemí s rozdělením do jednotlivých zón je uvedený v Ceníku volitelných služeb.</w:t>
      </w:r>
    </w:p>
    <w:p>
      <w:pPr>
        <w:pStyle w:val="Style42"/>
        <w:keepNext w:val="0"/>
        <w:keepLines w:val="0"/>
        <w:widowControl w:val="0"/>
        <w:shd w:val="clear" w:color="auto" w:fill="auto"/>
        <w:bidi w:val="0"/>
        <w:spacing w:before="0" w:after="0" w:line="240" w:lineRule="auto"/>
        <w:ind w:left="0" w:right="0" w:firstLine="0"/>
        <w:jc w:val="left"/>
      </w:pPr>
      <w:r>
        <w:rPr>
          <w:rStyle w:val="CharStyle43"/>
        </w:rPr>
        <w:t>Mezinárodním voláním se rozumí hlasový provoz na účastnických číslech.</w:t>
      </w:r>
    </w:p>
    <w:p>
      <w:pPr>
        <w:widowControl w:val="0"/>
        <w:spacing w:after="359" w:line="1" w:lineRule="exact"/>
      </w:pPr>
    </w:p>
    <w:p>
      <w:pPr>
        <w:pStyle w:val="Style2"/>
        <w:keepNext w:val="0"/>
        <w:keepLines w:val="0"/>
        <w:widowControl w:val="0"/>
        <w:shd w:val="clear" w:color="auto" w:fill="auto"/>
        <w:bidi w:val="0"/>
        <w:spacing w:before="0" w:after="300" w:line="240" w:lineRule="auto"/>
        <w:ind w:left="0" w:right="0" w:firstLine="0"/>
        <w:jc w:val="left"/>
      </w:pPr>
      <w:r>
        <w:rPr>
          <w:rStyle w:val="CharStyle3"/>
        </w:rPr>
        <w:t>Výše uvedené sazby (ceny) za mezinárodní volání/videovolání a SMS na zahraniční čísla se uplatní pouze v kombinaci s některým z tarifů uvedených v této příloze shora v tabulce Volání.</w:t>
      </w:r>
    </w:p>
    <w:p>
      <w:pPr>
        <w:pStyle w:val="Style2"/>
        <w:keepNext w:val="0"/>
        <w:keepLines w:val="0"/>
        <w:widowControl w:val="0"/>
        <w:shd w:val="clear" w:color="auto" w:fill="auto"/>
        <w:bidi w:val="0"/>
        <w:spacing w:before="0" w:after="80" w:line="240" w:lineRule="auto"/>
        <w:ind w:left="0" w:right="0" w:firstLine="0"/>
        <w:jc w:val="left"/>
      </w:pPr>
      <w:r>
        <w:rPr>
          <w:rStyle w:val="CharStyle3"/>
        </w:rPr>
        <w:t>Svět Basic</w:t>
      </w:r>
    </w:p>
    <w:p>
      <w:pPr>
        <w:pStyle w:val="Style42"/>
        <w:keepNext w:val="0"/>
        <w:keepLines w:val="0"/>
        <w:widowControl w:val="0"/>
        <w:shd w:val="clear" w:color="auto" w:fill="auto"/>
        <w:tabs>
          <w:tab w:leader="underscore" w:pos="6221" w:val="left"/>
        </w:tabs>
        <w:bidi w:val="0"/>
        <w:spacing w:before="0" w:after="0" w:line="254" w:lineRule="auto"/>
        <w:ind w:left="0" w:right="0" w:firstLine="0"/>
        <w:jc w:val="left"/>
      </w:pPr>
      <w:r>
        <w:rPr>
          <w:rStyle w:val="CharStyle43"/>
        </w:rPr>
        <w:t xml:space="preserve">02 se zavazuje účastníkovi po dobu trvání této dohody účtovat za odchozí/příchozí roaming v zemích uvedených v níže </w:t>
      </w:r>
      <w:r>
        <w:rPr>
          <w:rStyle w:val="CharStyle43"/>
          <w:u w:val="single"/>
        </w:rPr>
        <w:t>připojené tabulce cenu podle níže uvedené tabulky:</w:t>
      </w:r>
      <w:r>
        <w:rPr>
          <w:rStyle w:val="CharStyle43"/>
        </w:rPr>
        <w:tab/>
      </w:r>
    </w:p>
    <w:tbl>
      <w:tblPr>
        <w:tblOverlap w:val="never"/>
        <w:jc w:val="center"/>
        <w:tblLayout w:type="fixed"/>
      </w:tblPr>
      <w:tblGrid>
        <w:gridCol w:w="1339"/>
        <w:gridCol w:w="1632"/>
        <w:gridCol w:w="1627"/>
        <w:gridCol w:w="1642"/>
      </w:tblGrid>
      <w:tr>
        <w:trPr>
          <w:trHeight w:val="629" w:hRule="exact"/>
        </w:trPr>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220"/>
              <w:jc w:val="left"/>
            </w:pPr>
            <w:r>
              <w:rPr>
                <w:rStyle w:val="CharStyle41"/>
              </w:rPr>
              <w:t>Zóna/země</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Volání v rámci zóny a do ČR</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Příchozí hovory</w:t>
            </w:r>
          </w:p>
        </w:tc>
        <w:tc>
          <w:tcPr>
            <w:tcBorders>
              <w:top w:val="single" w:sz="4"/>
              <w:left w:val="single" w:sz="4"/>
              <w:righ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SMS</w:t>
            </w:r>
          </w:p>
        </w:tc>
      </w:tr>
      <w:tr>
        <w:trPr>
          <w:trHeight w:val="322"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Zbytek Evropy</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12,00</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5,00</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5,00</w:t>
            </w:r>
          </w:p>
        </w:tc>
      </w:tr>
      <w:tr>
        <w:trPr>
          <w:trHeight w:val="331" w:hRule="exact"/>
        </w:trPr>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Ostatní</w:t>
            </w:r>
          </w:p>
        </w:tc>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22,00</w:t>
            </w:r>
          </w:p>
        </w:tc>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18,00</w:t>
            </w:r>
          </w:p>
        </w:tc>
        <w:tc>
          <w:tcPr>
            <w:tcBorders>
              <w:top w:val="single" w:sz="4"/>
              <w:left w:val="single" w:sz="4"/>
              <w:bottom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8,00</w:t>
            </w:r>
          </w:p>
        </w:tc>
      </w:tr>
    </w:tbl>
    <w:p>
      <w:pPr>
        <w:pStyle w:val="Style2"/>
        <w:keepNext w:val="0"/>
        <w:keepLines w:val="0"/>
        <w:widowControl w:val="0"/>
        <w:shd w:val="clear" w:color="auto" w:fill="auto"/>
        <w:bidi w:val="0"/>
        <w:spacing w:before="0" w:after="300" w:line="240" w:lineRule="auto"/>
        <w:ind w:left="0" w:right="0" w:firstLine="0"/>
        <w:jc w:val="left"/>
      </w:pPr>
      <w:r>
        <w:rPr>
          <w:rStyle w:val="CharStyle3"/>
        </w:rPr>
        <w:t>Ceny jsou v Kč za 1 min. bez DPH, 1 odchozí SMS/MMS/MB. Ceny za odchozí/příchozí roaming v zemích v tabulce neuvedených se řídí platným ceníkem společnosti 02. Výše uvedené rozdělení zón a sazby (ceny) za odchozí/příchozí roaming se uplatní pouze v kombinaci s některým z tarifů uvedených v této příloze shora v tabulce Volání.</w:t>
      </w:r>
      <w:r>
        <w:br w:type="page"/>
      </w:r>
    </w:p>
    <w:p>
      <w:pPr>
        <w:pStyle w:val="Style42"/>
        <w:keepNext w:val="0"/>
        <w:keepLines w:val="0"/>
        <w:widowControl w:val="0"/>
        <w:shd w:val="clear" w:color="auto" w:fill="auto"/>
        <w:bidi w:val="0"/>
        <w:spacing w:before="0" w:after="0" w:line="240" w:lineRule="auto"/>
        <w:ind w:left="5" w:right="0" w:firstLine="0"/>
        <w:jc w:val="left"/>
      </w:pPr>
      <w:r>
        <w:rPr>
          <w:rStyle w:val="CharStyle43"/>
        </w:rPr>
        <w:t>Internet v mobilu</w:t>
      </w:r>
    </w:p>
    <w:tbl>
      <w:tblPr>
        <w:tblOverlap w:val="never"/>
        <w:jc w:val="left"/>
        <w:tblLayout w:type="fixed"/>
      </w:tblPr>
      <w:tblGrid>
        <w:gridCol w:w="4022"/>
        <w:gridCol w:w="2045"/>
      </w:tblGrid>
      <w:tr>
        <w:trPr>
          <w:trHeight w:val="523" w:hRule="exact"/>
        </w:trPr>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left"/>
            </w:pPr>
            <w:r>
              <w:rPr>
                <w:rStyle w:val="CharStyle41"/>
              </w:rPr>
              <w:t>Služba</w:t>
            </w:r>
          </w:p>
        </w:tc>
        <w:tc>
          <w:tcPr>
            <w:tcBorders>
              <w:top w:val="single" w:sz="4"/>
              <w:left w:val="single" w:sz="4"/>
              <w:righ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Měsíční paušál</w:t>
            </w:r>
          </w:p>
        </w:tc>
      </w:tr>
      <w:tr>
        <w:trPr>
          <w:trHeight w:val="317"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Internet v mobilu M</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85,00</w:t>
            </w:r>
          </w:p>
        </w:tc>
      </w:tr>
      <w:tr>
        <w:trPr>
          <w:trHeight w:val="317"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Internet v mobilu L</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118,00</w:t>
            </w:r>
          </w:p>
        </w:tc>
      </w:tr>
      <w:tr>
        <w:trPr>
          <w:trHeight w:val="326"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Internet v mobilu XL</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179,00</w:t>
            </w:r>
          </w:p>
        </w:tc>
      </w:tr>
      <w:tr>
        <w:trPr>
          <w:trHeight w:val="331" w:hRule="exact"/>
        </w:trPr>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Internet v mobilu XXL</w:t>
            </w:r>
          </w:p>
        </w:tc>
        <w:tc>
          <w:tcPr>
            <w:tcBorders>
              <w:top w:val="single" w:sz="4"/>
              <w:left w:val="single" w:sz="4"/>
              <w:bottom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290,00</w:t>
            </w:r>
          </w:p>
        </w:tc>
      </w:tr>
    </w:tbl>
    <w:p>
      <w:pPr>
        <w:pStyle w:val="Style42"/>
        <w:keepNext w:val="0"/>
        <w:keepLines w:val="0"/>
        <w:widowControl w:val="0"/>
        <w:shd w:val="clear" w:color="auto" w:fill="auto"/>
        <w:bidi w:val="0"/>
        <w:spacing w:before="0" w:after="0" w:line="240" w:lineRule="auto"/>
        <w:ind w:left="0" w:right="0" w:firstLine="0"/>
        <w:jc w:val="left"/>
      </w:pPr>
      <w:r>
        <w:rPr>
          <w:rStyle w:val="CharStyle43"/>
        </w:rPr>
        <w:t>Ceny jsou uvedeny v Kč bez aktuální sazby DPH.</w:t>
      </w:r>
    </w:p>
    <w:p>
      <w:pPr>
        <w:widowControl w:val="0"/>
        <w:spacing w:after="359" w:line="1" w:lineRule="exact"/>
      </w:pPr>
    </w:p>
    <w:p>
      <w:pPr>
        <w:widowControl w:val="0"/>
        <w:spacing w:line="1" w:lineRule="exact"/>
      </w:pPr>
    </w:p>
    <w:p>
      <w:pPr>
        <w:pStyle w:val="Style42"/>
        <w:keepNext w:val="0"/>
        <w:keepLines w:val="0"/>
        <w:widowControl w:val="0"/>
        <w:shd w:val="clear" w:color="auto" w:fill="auto"/>
        <w:bidi w:val="0"/>
        <w:spacing w:before="0" w:after="0" w:line="240" w:lineRule="auto"/>
        <w:ind w:left="0" w:right="0" w:firstLine="0"/>
        <w:jc w:val="left"/>
      </w:pPr>
      <w:r>
        <w:rPr>
          <w:rStyle w:val="CharStyle43"/>
        </w:rPr>
        <w:t>Individuální mobilní internet</w:t>
      </w:r>
    </w:p>
    <w:tbl>
      <w:tblPr>
        <w:tblOverlap w:val="never"/>
        <w:jc w:val="center"/>
        <w:tblLayout w:type="fixed"/>
      </w:tblPr>
      <w:tblGrid>
        <w:gridCol w:w="2630"/>
        <w:gridCol w:w="1411"/>
        <w:gridCol w:w="1162"/>
        <w:gridCol w:w="1166"/>
        <w:gridCol w:w="1363"/>
        <w:gridCol w:w="1646"/>
      </w:tblGrid>
      <w:tr>
        <w:trPr>
          <w:trHeight w:val="1258" w:hRule="exact"/>
        </w:trPr>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Tarif</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Měsíční paušál</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Data v ČR a EU</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Obnovení objemu dat v ČR a EU zóně</w:t>
            </w:r>
          </w:p>
        </w:tc>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Velikost obnovení objemu dat</w:t>
            </w:r>
          </w:p>
        </w:tc>
        <w:tc>
          <w:tcPr>
            <w:tcBorders>
              <w:top w:val="single" w:sz="4"/>
              <w:left w:val="single" w:sz="4"/>
              <w:right w:val="single" w:sz="4"/>
            </w:tcBorders>
            <w:shd w:val="clear" w:color="auto" w:fill="BBC2D2"/>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Rychlost (download/upload) po vyčerpání datového objemu (kb/s)</w:t>
            </w:r>
          </w:p>
        </w:tc>
      </w:tr>
      <w:tr>
        <w:trPr>
          <w:trHeight w:val="317"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Mobilní internet BUSINESS L</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420"/>
              <w:jc w:val="left"/>
            </w:pPr>
            <w:r>
              <w:rPr>
                <w:rStyle w:val="CharStyle41"/>
              </w:rPr>
              <w:t>118,00</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240"/>
              <w:jc w:val="left"/>
            </w:pPr>
            <w:r>
              <w:rPr>
                <w:rStyle w:val="CharStyle41"/>
              </w:rPr>
              <w:t>3 GB</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300"/>
              <w:jc w:val="left"/>
            </w:pPr>
            <w:r>
              <w:rPr>
                <w:rStyle w:val="CharStyle41"/>
              </w:rPr>
              <w:t>164,46</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300"/>
              <w:jc w:val="left"/>
            </w:pPr>
            <w:r>
              <w:rPr>
                <w:rStyle w:val="CharStyle41"/>
              </w:rPr>
              <w:t>3 GB</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64/32</w:t>
            </w:r>
          </w:p>
        </w:tc>
      </w:tr>
      <w:tr>
        <w:trPr>
          <w:trHeight w:val="317"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Mobilní internet BUSINESS M</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85,00</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240"/>
              <w:jc w:val="left"/>
            </w:pPr>
            <w:r>
              <w:rPr>
                <w:rStyle w:val="CharStyle41"/>
              </w:rPr>
              <w:t>1,5 GB</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300"/>
              <w:jc w:val="left"/>
            </w:pPr>
            <w:r>
              <w:rPr>
                <w:rStyle w:val="CharStyle41"/>
              </w:rPr>
              <w:t>123,14</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300"/>
              <w:jc w:val="left"/>
            </w:pPr>
            <w:r>
              <w:rPr>
                <w:rStyle w:val="CharStyle41"/>
              </w:rPr>
              <w:t>1,5 GB</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64/32</w:t>
            </w:r>
          </w:p>
        </w:tc>
      </w:tr>
      <w:tr>
        <w:trPr>
          <w:trHeight w:val="322"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Mobilní internet BUSINESS XL</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420"/>
              <w:jc w:val="left"/>
            </w:pPr>
            <w:r>
              <w:rPr>
                <w:rStyle w:val="CharStyle41"/>
              </w:rPr>
              <w:t>179,00</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240"/>
              <w:jc w:val="left"/>
            </w:pPr>
            <w:r>
              <w:rPr>
                <w:rStyle w:val="CharStyle41"/>
              </w:rPr>
              <w:t>10 GB</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300"/>
              <w:jc w:val="left"/>
            </w:pPr>
            <w:r>
              <w:rPr>
                <w:rStyle w:val="CharStyle41"/>
              </w:rPr>
              <w:t>247,11</w:t>
            </w:r>
          </w:p>
        </w:tc>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300"/>
              <w:jc w:val="left"/>
            </w:pPr>
            <w:r>
              <w:rPr>
                <w:rStyle w:val="CharStyle41"/>
              </w:rPr>
              <w:t>10 GB</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64/32</w:t>
            </w:r>
          </w:p>
        </w:tc>
      </w:tr>
      <w:tr>
        <w:trPr>
          <w:trHeight w:val="336" w:hRule="exact"/>
        </w:trPr>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Mobilní internet BUSINESS XXL</w:t>
            </w:r>
          </w:p>
        </w:tc>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290,00</w:t>
            </w:r>
          </w:p>
        </w:tc>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240"/>
              <w:jc w:val="left"/>
            </w:pPr>
            <w:r>
              <w:rPr>
                <w:rStyle w:val="CharStyle41"/>
              </w:rPr>
              <w:t>20 GB</w:t>
            </w:r>
          </w:p>
        </w:tc>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300"/>
              <w:jc w:val="left"/>
            </w:pPr>
            <w:r>
              <w:rPr>
                <w:rStyle w:val="CharStyle41"/>
              </w:rPr>
              <w:t>412,40</w:t>
            </w:r>
          </w:p>
        </w:tc>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300"/>
              <w:jc w:val="left"/>
            </w:pPr>
            <w:r>
              <w:rPr>
                <w:rStyle w:val="CharStyle41"/>
              </w:rPr>
              <w:t>20 GB</w:t>
            </w:r>
          </w:p>
        </w:tc>
        <w:tc>
          <w:tcPr>
            <w:tcBorders>
              <w:top w:val="single" w:sz="4"/>
              <w:left w:val="single" w:sz="4"/>
              <w:bottom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64/32</w:t>
            </w:r>
          </w:p>
        </w:tc>
      </w:tr>
    </w:tbl>
    <w:p>
      <w:pPr>
        <w:pStyle w:val="Style42"/>
        <w:keepNext w:val="0"/>
        <w:keepLines w:val="0"/>
        <w:widowControl w:val="0"/>
        <w:shd w:val="clear" w:color="auto" w:fill="auto"/>
        <w:bidi w:val="0"/>
        <w:spacing w:before="0" w:after="0" w:line="240" w:lineRule="auto"/>
        <w:ind w:left="0" w:right="0" w:firstLine="0"/>
        <w:jc w:val="left"/>
      </w:pPr>
      <w:r>
        <w:rPr>
          <w:rStyle w:val="CharStyle43"/>
        </w:rPr>
        <w:t>Ceny jsou uvedeny v Kč bez aktuální sazby DPH.</w:t>
      </w:r>
    </w:p>
    <w:p>
      <w:pPr>
        <w:widowControl w:val="0"/>
        <w:spacing w:after="279" w:line="1" w:lineRule="exact"/>
      </w:pPr>
    </w:p>
    <w:p>
      <w:pPr>
        <w:widowControl w:val="0"/>
        <w:spacing w:line="1" w:lineRule="exact"/>
      </w:pPr>
    </w:p>
    <w:p>
      <w:pPr>
        <w:pStyle w:val="Style42"/>
        <w:keepNext w:val="0"/>
        <w:keepLines w:val="0"/>
        <w:widowControl w:val="0"/>
        <w:shd w:val="clear" w:color="auto" w:fill="auto"/>
        <w:bidi w:val="0"/>
        <w:spacing w:before="0" w:after="0" w:line="240" w:lineRule="auto"/>
        <w:ind w:left="0" w:right="0" w:firstLine="0"/>
        <w:jc w:val="left"/>
      </w:pPr>
      <w:r>
        <w:rPr>
          <w:rStyle w:val="CharStyle43"/>
        </w:rPr>
        <w:t>Car Control</w:t>
      </w:r>
    </w:p>
    <w:tbl>
      <w:tblPr>
        <w:tblOverlap w:val="never"/>
        <w:jc w:val="left"/>
        <w:tblLayout w:type="fixed"/>
      </w:tblPr>
      <w:tblGrid>
        <w:gridCol w:w="4018"/>
        <w:gridCol w:w="2050"/>
      </w:tblGrid>
      <w:tr>
        <w:trPr>
          <w:trHeight w:val="518" w:hRule="exact"/>
        </w:trPr>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left"/>
            </w:pPr>
            <w:r>
              <w:rPr>
                <w:rStyle w:val="CharStyle41"/>
              </w:rPr>
              <w:t>Služba</w:t>
            </w:r>
          </w:p>
        </w:tc>
        <w:tc>
          <w:tcPr>
            <w:tcBorders>
              <w:top w:val="single" w:sz="4"/>
              <w:left w:val="single" w:sz="4"/>
              <w:righ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Měsíční paušál</w:t>
            </w:r>
          </w:p>
        </w:tc>
      </w:tr>
      <w:tr>
        <w:trPr>
          <w:trHeight w:val="326"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02 Car Control Basic</w:t>
            </w:r>
          </w:p>
        </w:tc>
        <w:tc>
          <w:tcPr>
            <w:tcBorders>
              <w:top w:val="single" w:sz="4"/>
              <w:left w:val="single" w:sz="4"/>
              <w:bottom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119,00</w:t>
            </w:r>
          </w:p>
        </w:tc>
      </w:tr>
    </w:tbl>
    <w:p>
      <w:pPr>
        <w:pStyle w:val="Style42"/>
        <w:keepNext w:val="0"/>
        <w:keepLines w:val="0"/>
        <w:widowControl w:val="0"/>
        <w:shd w:val="clear" w:color="auto" w:fill="auto"/>
        <w:bidi w:val="0"/>
        <w:spacing w:before="0" w:after="0" w:line="240" w:lineRule="auto"/>
        <w:ind w:left="0" w:right="0" w:firstLine="0"/>
        <w:jc w:val="left"/>
      </w:pPr>
      <w:r>
        <w:rPr>
          <w:rStyle w:val="CharStyle43"/>
        </w:rPr>
        <w:t>Ceny jsou uvedeny v Kč bez aktuální sazby DPH.</w:t>
      </w:r>
    </w:p>
    <w:p>
      <w:pPr>
        <w:widowControl w:val="0"/>
        <w:spacing w:after="359" w:line="1" w:lineRule="exact"/>
      </w:pPr>
    </w:p>
    <w:p>
      <w:pPr>
        <w:widowControl w:val="0"/>
        <w:spacing w:line="1" w:lineRule="exact"/>
      </w:pPr>
    </w:p>
    <w:p>
      <w:pPr>
        <w:pStyle w:val="Style42"/>
        <w:keepNext w:val="0"/>
        <w:keepLines w:val="0"/>
        <w:widowControl w:val="0"/>
        <w:shd w:val="clear" w:color="auto" w:fill="auto"/>
        <w:bidi w:val="0"/>
        <w:spacing w:before="0" w:after="0" w:line="240" w:lineRule="auto"/>
        <w:ind w:left="5" w:right="0" w:firstLine="0"/>
        <w:jc w:val="left"/>
      </w:pPr>
      <w:r>
        <w:rPr>
          <w:rStyle w:val="CharStyle43"/>
        </w:rPr>
        <w:t>Měsíční poplatky</w:t>
      </w:r>
    </w:p>
    <w:tbl>
      <w:tblPr>
        <w:tblOverlap w:val="never"/>
        <w:jc w:val="left"/>
        <w:tblLayout w:type="fixed"/>
      </w:tblPr>
      <w:tblGrid>
        <w:gridCol w:w="4022"/>
        <w:gridCol w:w="2045"/>
      </w:tblGrid>
      <w:tr>
        <w:trPr>
          <w:trHeight w:val="518" w:hRule="exact"/>
        </w:trPr>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left"/>
            </w:pPr>
            <w:r>
              <w:rPr>
                <w:rStyle w:val="CharStyle41"/>
              </w:rPr>
              <w:t>Služba</w:t>
            </w:r>
          </w:p>
        </w:tc>
        <w:tc>
          <w:tcPr>
            <w:tcBorders>
              <w:top w:val="single" w:sz="4"/>
              <w:left w:val="single" w:sz="4"/>
              <w:righ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Měsíční paušál</w:t>
            </w:r>
          </w:p>
        </w:tc>
      </w:tr>
      <w:tr>
        <w:trPr>
          <w:trHeight w:val="331" w:hRule="exact"/>
        </w:trPr>
        <w:tc>
          <w:tcPr>
            <w:tcBorders>
              <w:top w:val="single" w:sz="4"/>
              <w:left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rStyle w:val="CharStyle41"/>
              </w:rPr>
              <w:t>Statická IP adresa</w:t>
            </w:r>
          </w:p>
        </w:tc>
        <w:tc>
          <w:tcPr>
            <w:tcBorders>
              <w:top w:val="single" w:sz="4"/>
              <w:left w:val="single" w:sz="4"/>
              <w:bottom w:val="single" w:sz="4"/>
              <w:right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center"/>
            </w:pPr>
            <w:r>
              <w:rPr>
                <w:rStyle w:val="CharStyle41"/>
              </w:rPr>
              <w:t>1,00</w:t>
            </w:r>
          </w:p>
        </w:tc>
      </w:tr>
    </w:tbl>
    <w:p>
      <w:pPr>
        <w:pStyle w:val="Style42"/>
        <w:keepNext w:val="0"/>
        <w:keepLines w:val="0"/>
        <w:widowControl w:val="0"/>
        <w:shd w:val="clear" w:color="auto" w:fill="auto"/>
        <w:bidi w:val="0"/>
        <w:spacing w:before="0" w:after="0" w:line="240" w:lineRule="auto"/>
        <w:ind w:left="0" w:right="0" w:firstLine="0"/>
        <w:jc w:val="left"/>
      </w:pPr>
      <w:r>
        <w:rPr>
          <w:rStyle w:val="CharStyle43"/>
        </w:rPr>
        <w:t>Ceny jsou uvedeny v Kč bez aktuální sazby DPH.</w:t>
      </w:r>
    </w:p>
    <w:p>
      <w:pPr>
        <w:widowControl w:val="0"/>
        <w:spacing w:after="359" w:line="1" w:lineRule="exact"/>
      </w:pPr>
    </w:p>
    <w:p>
      <w:pPr>
        <w:pStyle w:val="Style2"/>
        <w:keepNext w:val="0"/>
        <w:keepLines w:val="0"/>
        <w:widowControl w:val="0"/>
        <w:shd w:val="clear" w:color="auto" w:fill="auto"/>
        <w:bidi w:val="0"/>
        <w:spacing w:before="0" w:after="360"/>
        <w:ind w:left="0" w:right="0" w:firstLine="0"/>
        <w:jc w:val="left"/>
      </w:pPr>
      <w:r>
        <w:rPr>
          <w:rStyle w:val="CharStyle3"/>
        </w:rPr>
        <w:t>Není-li výslovně stanoveno jinak, nejpozději s ukončením účinnosti této Rámcové dohody budou Účastníkovi a Dalšímu účastníkovi všechny Služby účtovány v běžných cenách, tj. dle Ceníku bez cenových ujednání uvedených v této Rámcové dohodě. Z tohoto důvodu bude Účastníkovi s ukončením účinnosti této Rámcové dohody nastaven na účastnických číslech (SIM) příslušný výchozí tarif, a to dle tabulky níže. Podmínky výchozího tarifu jsou stanoveny Ceníkem.</w:t>
      </w:r>
    </w:p>
    <w:tbl>
      <w:tblPr>
        <w:tblOverlap w:val="never"/>
        <w:jc w:val="left"/>
        <w:tblLayout w:type="fixed"/>
      </w:tblPr>
      <w:tblGrid>
        <w:gridCol w:w="5578"/>
        <w:gridCol w:w="3672"/>
      </w:tblGrid>
      <w:tr>
        <w:trPr>
          <w:trHeight w:val="533" w:hRule="exact"/>
        </w:trPr>
        <w:tc>
          <w:tcPr>
            <w:tcBorders>
              <w:top w:val="single" w:sz="4"/>
              <w:lef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left"/>
            </w:pPr>
            <w:r>
              <w:rPr>
                <w:rStyle w:val="CharStyle41"/>
              </w:rPr>
              <w:t>Tarif (aktivní v den ukončení účinnosti Rámcové dohody)</w:t>
            </w:r>
          </w:p>
        </w:tc>
        <w:tc>
          <w:tcPr>
            <w:tcBorders>
              <w:top w:val="single" w:sz="4"/>
              <w:left w:val="single" w:sz="4"/>
              <w:right w:val="single" w:sz="4"/>
            </w:tcBorders>
            <w:shd w:val="clear" w:color="auto" w:fill="BBC2D2"/>
            <w:vAlign w:val="center"/>
          </w:tcPr>
          <w:p>
            <w:pPr>
              <w:pStyle w:val="Style40"/>
              <w:keepNext w:val="0"/>
              <w:keepLines w:val="0"/>
              <w:widowControl w:val="0"/>
              <w:shd w:val="clear" w:color="auto" w:fill="auto"/>
              <w:bidi w:val="0"/>
              <w:spacing w:before="0" w:after="0" w:line="240" w:lineRule="auto"/>
              <w:ind w:left="0" w:right="0" w:firstLine="0"/>
              <w:jc w:val="center"/>
            </w:pPr>
            <w:r>
              <w:rPr>
                <w:rStyle w:val="CharStyle41"/>
              </w:rPr>
              <w:t>Výchozí tarif</w:t>
            </w:r>
          </w:p>
        </w:tc>
      </w:tr>
      <w:tr>
        <w:trPr>
          <w:trHeight w:val="317"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Profil 1</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Profil</w:t>
            </w:r>
          </w:p>
        </w:tc>
      </w:tr>
      <w:tr>
        <w:trPr>
          <w:trHeight w:val="326"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Profil Neomezený</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Profil</w:t>
            </w:r>
          </w:p>
        </w:tc>
      </w:tr>
      <w:tr>
        <w:trPr>
          <w:trHeight w:val="317"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Mobilní internet BUSINESS L</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Mobilní internet</w:t>
            </w:r>
          </w:p>
        </w:tc>
      </w:tr>
      <w:tr>
        <w:trPr>
          <w:trHeight w:val="322"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Mobilní internet BUSINESS M</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Mobilní internet</w:t>
            </w:r>
          </w:p>
        </w:tc>
      </w:tr>
      <w:tr>
        <w:trPr>
          <w:trHeight w:val="317" w:hRule="exact"/>
        </w:trPr>
        <w:tc>
          <w:tcPr>
            <w:tcBorders>
              <w:top w:val="single" w:sz="4"/>
              <w:lef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Mobilní internet BUSINESS XL</w:t>
            </w:r>
          </w:p>
        </w:tc>
        <w:tc>
          <w:tcPr>
            <w:tcBorders>
              <w:top w:val="single" w:sz="4"/>
              <w:left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Mobilní internet</w:t>
            </w:r>
          </w:p>
        </w:tc>
      </w:tr>
      <w:tr>
        <w:trPr>
          <w:trHeight w:val="331" w:hRule="exact"/>
        </w:trPr>
        <w:tc>
          <w:tcPr>
            <w:tcBorders>
              <w:top w:val="single" w:sz="4"/>
              <w:left w:val="single" w:sz="4"/>
              <w:bottom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rStyle w:val="CharStyle41"/>
              </w:rPr>
              <w:t>Mobilní internet BUSINESS XXL</w:t>
            </w:r>
          </w:p>
        </w:tc>
        <w:tc>
          <w:tcPr>
            <w:tcBorders>
              <w:top w:val="single" w:sz="4"/>
              <w:left w:val="single" w:sz="4"/>
              <w:bottom w:val="single" w:sz="4"/>
              <w:right w:val="single" w:sz="4"/>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center"/>
            </w:pPr>
            <w:r>
              <w:rPr>
                <w:rStyle w:val="CharStyle41"/>
              </w:rPr>
              <w:t>Mobilní internet</w:t>
            </w:r>
          </w:p>
        </w:tc>
      </w:tr>
    </w:tbl>
    <w:p>
      <w:pPr>
        <w:widowControl w:val="0"/>
        <w:spacing w:after="299" w:line="1" w:lineRule="exact"/>
      </w:pPr>
    </w:p>
    <w:p>
      <w:pPr>
        <w:pStyle w:val="Style2"/>
        <w:keepNext w:val="0"/>
        <w:keepLines w:val="0"/>
        <w:widowControl w:val="0"/>
        <w:shd w:val="clear" w:color="auto" w:fill="auto"/>
        <w:bidi w:val="0"/>
        <w:spacing w:before="0" w:after="380" w:line="240" w:lineRule="auto"/>
        <w:ind w:left="0" w:right="0" w:firstLine="0"/>
        <w:jc w:val="both"/>
      </w:pPr>
      <w:r>
        <w:rPr>
          <w:rStyle w:val="CharStyle3"/>
        </w:rPr>
        <w:t>Účastník a Další účastníci berou na vědomí, že shora uvedené zvýhodněné obchodní podmínky (slevy) není možné kombinovat s jinými slevami či krátkodobými marketingovými akcemi (KMA) poskytovanými ze strany 02. Služby a Zboží objednané Účastníkem či Dalším účastníkem za trvání této Rámcové dohody budou (po dobu jejího trvání) bez dalšího účtovány dle shora uvedených cenových podmínek (nikoli dle cenových podmínek jiných slev či krátkodobých marketingových akcí).</w:t>
      </w:r>
    </w:p>
    <w:p>
      <w:pPr>
        <w:pStyle w:val="Style2"/>
        <w:keepNext w:val="0"/>
        <w:keepLines w:val="0"/>
        <w:widowControl w:val="0"/>
        <w:numPr>
          <w:ilvl w:val="0"/>
          <w:numId w:val="9"/>
        </w:numPr>
        <w:shd w:val="clear" w:color="auto" w:fill="auto"/>
        <w:tabs>
          <w:tab w:pos="279" w:val="left"/>
        </w:tabs>
        <w:bidi w:val="0"/>
        <w:spacing w:before="0" w:after="600" w:line="240" w:lineRule="auto"/>
        <w:ind w:left="0" w:right="0" w:firstLine="0"/>
        <w:jc w:val="both"/>
      </w:pPr>
      <w:r>
        <w:rPr>
          <w:rStyle w:val="CharStyle3"/>
          <w:b/>
          <w:bCs/>
        </w:rPr>
        <w:t>Nepoužije se</w:t>
      </w:r>
    </w:p>
    <w:p>
      <w:pPr>
        <w:pStyle w:val="Style11"/>
        <w:keepNext/>
        <w:keepLines/>
        <w:widowControl w:val="0"/>
        <w:numPr>
          <w:ilvl w:val="0"/>
          <w:numId w:val="9"/>
        </w:numPr>
        <w:shd w:val="clear" w:color="auto" w:fill="auto"/>
        <w:tabs>
          <w:tab w:pos="274" w:val="left"/>
        </w:tabs>
        <w:bidi w:val="0"/>
        <w:spacing w:before="0" w:after="80" w:line="240" w:lineRule="auto"/>
        <w:ind w:left="0" w:right="0" w:firstLine="0"/>
        <w:jc w:val="both"/>
      </w:pPr>
      <w:bookmarkStart w:id="14" w:name="bookmark14"/>
      <w:r>
        <w:rPr>
          <w:rStyle w:val="CharStyle12"/>
          <w:b/>
          <w:bCs/>
        </w:rPr>
        <w:t>Prodloužení splatnosti vyúčtování Služeb</w:t>
      </w:r>
      <w:bookmarkEnd w:id="14"/>
    </w:p>
    <w:p>
      <w:pPr>
        <w:pStyle w:val="Style2"/>
        <w:keepNext w:val="0"/>
        <w:keepLines w:val="0"/>
        <w:widowControl w:val="0"/>
        <w:shd w:val="clear" w:color="auto" w:fill="auto"/>
        <w:bidi w:val="0"/>
        <w:spacing w:before="0" w:after="80" w:line="240" w:lineRule="auto"/>
        <w:ind w:left="0" w:right="0" w:firstLine="0"/>
        <w:jc w:val="left"/>
      </w:pPr>
      <w:r>
        <w:rPr>
          <w:rStyle w:val="CharStyle3"/>
        </w:rPr>
        <w:t>Splatnost vyúčtování Služeb se prodlužuje z 22 na 30 dnů.</w:t>
      </w:r>
    </w:p>
    <w:p>
      <w:pPr>
        <w:pStyle w:val="Style2"/>
        <w:keepNext w:val="0"/>
        <w:keepLines w:val="0"/>
        <w:widowControl w:val="0"/>
        <w:shd w:val="clear" w:color="auto" w:fill="auto"/>
        <w:bidi w:val="0"/>
        <w:spacing w:before="0" w:after="80" w:line="254" w:lineRule="auto"/>
        <w:ind w:left="0" w:right="0" w:firstLine="0"/>
        <w:jc w:val="left"/>
      </w:pPr>
      <w:r>
        <w:rPr>
          <w:rStyle w:val="CharStyle3"/>
        </w:rPr>
        <w:t>Prodloužení splatnosti vyúčtování Služeb nabývá účinnosti druhým zúčtovacím obdobím následujícím po uzavření této Rámcové dohody.</w:t>
      </w:r>
    </w:p>
    <w:p>
      <w:pPr>
        <w:pStyle w:val="Style2"/>
        <w:keepNext w:val="0"/>
        <w:keepLines w:val="0"/>
        <w:widowControl w:val="0"/>
        <w:shd w:val="clear" w:color="auto" w:fill="auto"/>
        <w:bidi w:val="0"/>
        <w:spacing w:before="0" w:after="600" w:line="240" w:lineRule="auto"/>
        <w:ind w:left="0" w:right="0" w:firstLine="0"/>
        <w:jc w:val="left"/>
      </w:pPr>
      <w:r>
        <w:rPr>
          <w:rStyle w:val="CharStyle3"/>
        </w:rPr>
        <w:t>V případě, že účastník neuhradí vyúčtování Služeb v prodloužené lhůtě splatnosti, je 02 oprávněna jednostranně oznámit Účastníkovi, že pro všechna další vyúčtování Služeb následujících po porušení povinnosti uhradit vyúčtování Služeb řádně a včas se prodloužená lhůta splatnosti bez dalšího zrušuje, přičemž v takovém případě se nadále bude uplatňovat lhůta splatnosti vyúčtování Služeb 22 dní.</w:t>
      </w:r>
    </w:p>
    <w:p>
      <w:pPr>
        <w:pStyle w:val="Style2"/>
        <w:keepNext w:val="0"/>
        <w:keepLines w:val="0"/>
        <w:widowControl w:val="0"/>
        <w:numPr>
          <w:ilvl w:val="0"/>
          <w:numId w:val="9"/>
        </w:numPr>
        <w:shd w:val="clear" w:color="auto" w:fill="auto"/>
        <w:tabs>
          <w:tab w:pos="284" w:val="left"/>
        </w:tabs>
        <w:bidi w:val="0"/>
        <w:spacing w:before="0" w:after="340" w:line="240" w:lineRule="auto"/>
        <w:ind w:left="0" w:right="0" w:firstLine="0"/>
        <w:jc w:val="left"/>
        <w:sectPr>
          <w:headerReference w:type="default" r:id="rId18"/>
          <w:footerReference w:type="default" r:id="rId19"/>
          <w:headerReference w:type="even" r:id="rId20"/>
          <w:footerReference w:type="even" r:id="rId21"/>
          <w:footnotePr>
            <w:pos w:val="pageBottom"/>
            <w:numFmt w:val="decimal"/>
            <w:numRestart w:val="continuous"/>
          </w:footnotePr>
          <w:pgSz w:w="11900" w:h="16840"/>
          <w:pgMar w:top="1794" w:right="573" w:bottom="2576" w:left="1329" w:header="1366" w:footer="3" w:gutter="0"/>
          <w:cols w:space="720"/>
          <w:noEndnote/>
          <w:rtlGutter w:val="0"/>
          <w:docGrid w:linePitch="360"/>
        </w:sectPr>
      </w:pPr>
      <w:r>
        <w:rPr>
          <w:rStyle w:val="CharStyle3"/>
          <w:b/>
          <w:bCs/>
        </w:rPr>
        <w:t>Nepoužije se</w:t>
      </w:r>
    </w:p>
    <w:p>
      <w:pPr>
        <w:pStyle w:val="Style2"/>
        <w:keepNext w:val="0"/>
        <w:keepLines w:val="0"/>
        <w:widowControl w:val="0"/>
        <w:shd w:val="clear" w:color="auto" w:fill="auto"/>
        <w:bidi w:val="0"/>
        <w:spacing w:before="0" w:after="440" w:line="254" w:lineRule="auto"/>
        <w:ind w:left="0" w:right="0" w:firstLine="0"/>
        <w:jc w:val="center"/>
      </w:pPr>
      <w:r>
        <w:rPr>
          <w:rStyle w:val="CharStyle3"/>
          <w:b/>
          <w:bCs/>
        </w:rPr>
        <w:t>Kontaktní informace</w:t>
      </w:r>
    </w:p>
    <w:p>
      <w:pPr>
        <w:pStyle w:val="Style11"/>
        <w:keepNext/>
        <w:keepLines/>
        <w:widowControl w:val="0"/>
        <w:shd w:val="clear" w:color="auto" w:fill="auto"/>
        <w:bidi w:val="0"/>
        <w:spacing w:before="0" w:line="254" w:lineRule="auto"/>
        <w:ind w:left="0" w:right="0" w:firstLine="0"/>
        <w:jc w:val="left"/>
      </w:pPr>
      <w:bookmarkStart w:id="16" w:name="bookmark16"/>
      <w:r>
        <w:rPr>
          <w:rStyle w:val="CharStyle12"/>
          <w:b/>
          <w:bCs/>
        </w:rPr>
        <w:t>Centrum péče o korporátní zákazníky společnosti 02</w:t>
      </w:r>
      <w:bookmarkEnd w:id="16"/>
    </w:p>
    <w:p>
      <w:pPr>
        <w:pStyle w:val="Style2"/>
        <w:keepNext w:val="0"/>
        <w:keepLines w:val="0"/>
        <w:widowControl w:val="0"/>
        <w:shd w:val="clear" w:color="auto" w:fill="auto"/>
        <w:bidi w:val="0"/>
        <w:spacing w:before="0" w:after="600" w:line="254" w:lineRule="auto"/>
        <w:ind w:left="0" w:right="0" w:firstLine="0"/>
        <w:jc w:val="left"/>
      </w:pPr>
      <w:r>
        <w:rPr>
          <w:rStyle w:val="CharStyle3"/>
        </w:rPr>
        <w:t>Pro zefektivnění komunikace mezi Vámi a spol. 02 v oblasti telefonního kontaktu a administrativních úkonů je Vám v rámci nadstandardní péče k dispozici specialista Centra péče o korporátní zákazníky.</w:t>
      </w:r>
    </w:p>
    <w:p>
      <w:pPr>
        <w:pStyle w:val="Style11"/>
        <w:keepNext/>
        <w:keepLines/>
        <w:widowControl w:val="0"/>
        <w:shd w:val="clear" w:color="auto" w:fill="auto"/>
        <w:bidi w:val="0"/>
        <w:spacing w:before="0" w:line="254" w:lineRule="auto"/>
        <w:ind w:left="0" w:right="0" w:firstLine="0"/>
        <w:jc w:val="left"/>
      </w:pPr>
      <w:bookmarkStart w:id="18" w:name="bookmark18"/>
      <w:r>
        <w:rPr>
          <w:rStyle w:val="CharStyle12"/>
          <w:b/>
          <w:bCs/>
        </w:rPr>
        <w:t>Základní údaje o Centru péče o korporátní zákazníky pro účastníka Rámcové dohody:</w:t>
      </w:r>
      <w:bookmarkEnd w:id="18"/>
    </w:p>
    <w:p>
      <w:pPr>
        <w:pStyle w:val="Style2"/>
        <w:keepNext w:val="0"/>
        <w:keepLines w:val="0"/>
        <w:widowControl w:val="0"/>
        <w:shd w:val="clear" w:color="auto" w:fill="auto"/>
        <w:bidi w:val="0"/>
        <w:spacing w:before="0" w:after="380" w:line="254" w:lineRule="auto"/>
        <w:ind w:left="0" w:right="0" w:firstLine="0"/>
        <w:jc w:val="left"/>
      </w:pPr>
      <w:r>
        <w:rPr>
          <w:rStyle w:val="CharStyle3"/>
        </w:rPr>
        <w:t>Centrum je určeno pouze pro Kontaktní osoby (viz formulář Zmocnění primárního správce)</w:t>
      </w:r>
    </w:p>
    <w:p>
      <w:pPr>
        <w:pStyle w:val="Style2"/>
        <w:keepNext w:val="0"/>
        <w:keepLines w:val="0"/>
        <w:widowControl w:val="0"/>
        <w:shd w:val="clear" w:color="auto" w:fill="auto"/>
        <w:bidi w:val="0"/>
        <w:spacing w:before="0" w:line="254" w:lineRule="auto"/>
        <w:ind w:left="0" w:right="0" w:firstLine="0"/>
        <w:jc w:val="left"/>
      </w:pPr>
      <w:r>
        <w:rPr>
          <w:rStyle w:val="CharStyle3"/>
        </w:rPr>
        <w:t>• telefonní čísla pro přístup na Centrum péče o korporátní zákazníky:</w:t>
      </w:r>
    </w:p>
    <w:p>
      <w:pPr>
        <w:pStyle w:val="Style2"/>
        <w:keepNext w:val="0"/>
        <w:keepLines w:val="0"/>
        <w:widowControl w:val="0"/>
        <w:shd w:val="clear" w:color="auto" w:fill="auto"/>
        <w:tabs>
          <w:tab w:pos="3114" w:val="left"/>
        </w:tabs>
        <w:bidi w:val="0"/>
        <w:spacing w:before="0" w:line="254" w:lineRule="auto"/>
        <w:ind w:left="0" w:right="0" w:firstLine="640"/>
        <w:jc w:val="left"/>
      </w:pPr>
      <w:r>
        <w:rPr>
          <w:rStyle w:val="CharStyle3"/>
        </w:rPr>
        <w:t>*77</w:t>
        <w:tab/>
        <w:t>použijte pro volání z mobilního telefonu na území ČR</w:t>
      </w:r>
    </w:p>
    <w:p>
      <w:pPr>
        <w:pStyle w:val="Style2"/>
        <w:keepNext w:val="0"/>
        <w:keepLines w:val="0"/>
        <w:widowControl w:val="0"/>
        <w:shd w:val="clear" w:color="auto" w:fill="auto"/>
        <w:tabs>
          <w:tab w:pos="3114" w:val="left"/>
        </w:tabs>
        <w:bidi w:val="0"/>
        <w:spacing w:before="0" w:line="254" w:lineRule="auto"/>
        <w:ind w:left="0" w:right="0" w:firstLine="640"/>
        <w:jc w:val="left"/>
      </w:pPr>
      <w:r>
        <w:rPr>
          <w:rStyle w:val="CharStyle3"/>
        </w:rPr>
        <w:t>800 111 777</w:t>
        <w:tab/>
        <w:t>použijte pro volání z pevné sítě na území ČR</w:t>
      </w:r>
    </w:p>
    <w:p>
      <w:pPr>
        <w:pStyle w:val="Style2"/>
        <w:keepNext w:val="0"/>
        <w:keepLines w:val="0"/>
        <w:widowControl w:val="0"/>
        <w:shd w:val="clear" w:color="auto" w:fill="auto"/>
        <w:tabs>
          <w:tab w:pos="3125" w:val="left"/>
        </w:tabs>
        <w:bidi w:val="0"/>
        <w:spacing w:before="0" w:after="380" w:line="254" w:lineRule="auto"/>
        <w:ind w:left="0" w:right="0" w:firstLine="840"/>
        <w:jc w:val="left"/>
      </w:pPr>
      <w:r>
        <w:rPr>
          <w:rStyle w:val="CharStyle3"/>
        </w:rPr>
        <w:t>+ 420 720 720 777</w:t>
        <w:tab/>
        <w:t xml:space="preserve">použijte pro volání mimo území ČR </w:t>
      </w:r>
      <w:r>
        <w:rPr>
          <w:rStyle w:val="CharStyle3"/>
          <w:i/>
          <w:iCs/>
        </w:rPr>
        <w:t>(účtované volání)</w:t>
      </w:r>
    </w:p>
    <w:p>
      <w:pPr>
        <w:pStyle w:val="Style2"/>
        <w:keepNext w:val="0"/>
        <w:keepLines w:val="0"/>
        <w:widowControl w:val="0"/>
        <w:numPr>
          <w:ilvl w:val="0"/>
          <w:numId w:val="11"/>
        </w:numPr>
        <w:shd w:val="clear" w:color="auto" w:fill="auto"/>
        <w:tabs>
          <w:tab w:pos="336" w:val="left"/>
        </w:tabs>
        <w:bidi w:val="0"/>
        <w:spacing w:before="0" w:line="254" w:lineRule="auto"/>
        <w:ind w:left="0" w:right="0" w:firstLine="0"/>
        <w:jc w:val="left"/>
      </w:pPr>
      <w:r>
        <w:rPr>
          <w:rStyle w:val="CharStyle3"/>
        </w:rPr>
        <w:t>faxové číslo pro zasílání písemných materiálů: +420 271461 750</w:t>
      </w:r>
    </w:p>
    <w:p>
      <w:pPr>
        <w:pStyle w:val="Style2"/>
        <w:keepNext w:val="0"/>
        <w:keepLines w:val="0"/>
        <w:widowControl w:val="0"/>
        <w:numPr>
          <w:ilvl w:val="0"/>
          <w:numId w:val="11"/>
        </w:numPr>
        <w:shd w:val="clear" w:color="auto" w:fill="auto"/>
        <w:tabs>
          <w:tab w:pos="336" w:val="left"/>
        </w:tabs>
        <w:bidi w:val="0"/>
        <w:spacing w:before="0" w:line="254" w:lineRule="auto"/>
        <w:ind w:left="0" w:right="0" w:firstLine="0"/>
        <w:jc w:val="left"/>
      </w:pPr>
      <w:r>
        <w:rPr>
          <w:rStyle w:val="CharStyle3"/>
        </w:rPr>
        <w:t xml:space="preserve">e-mail: </w:t>
      </w:r>
      <w:r>
        <w:rPr>
          <w:rStyle w:val="CharStyle3"/>
          <w:color w:val="42689E"/>
          <w:u w:val="single"/>
        </w:rPr>
        <w:t>korporace(a&gt;o2.cz</w:t>
      </w:r>
    </w:p>
    <w:p>
      <w:pPr>
        <w:pStyle w:val="Style2"/>
        <w:keepNext w:val="0"/>
        <w:keepLines w:val="0"/>
        <w:widowControl w:val="0"/>
        <w:numPr>
          <w:ilvl w:val="0"/>
          <w:numId w:val="11"/>
        </w:numPr>
        <w:shd w:val="clear" w:color="auto" w:fill="auto"/>
        <w:tabs>
          <w:tab w:pos="336" w:val="left"/>
        </w:tabs>
        <w:bidi w:val="0"/>
        <w:spacing w:before="0" w:line="254" w:lineRule="auto"/>
        <w:ind w:left="0" w:right="0" w:firstLine="0"/>
        <w:jc w:val="left"/>
      </w:pPr>
      <w:r>
        <w:rPr>
          <w:rStyle w:val="CharStyle3"/>
        </w:rPr>
        <w:t xml:space="preserve">firemní stránky: </w:t>
      </w:r>
      <w:r>
        <w:fldChar w:fldCharType="begin"/>
      </w:r>
      <w:r>
        <w:rPr/>
        <w:instrText> HYPERLINK "http://www.o2.cz" </w:instrText>
      </w:r>
      <w:r>
        <w:fldChar w:fldCharType="separate"/>
      </w:r>
      <w:r>
        <w:rPr>
          <w:rStyle w:val="CharStyle3"/>
          <w:lang w:val="en-US" w:eastAsia="en-US" w:bidi="en-US"/>
        </w:rPr>
        <w:t>www.o2.cz</w:t>
      </w:r>
      <w:r>
        <w:fldChar w:fldCharType="end"/>
      </w:r>
    </w:p>
    <w:p>
      <w:pPr>
        <w:pStyle w:val="Style2"/>
        <w:keepNext w:val="0"/>
        <w:keepLines w:val="0"/>
        <w:widowControl w:val="0"/>
        <w:numPr>
          <w:ilvl w:val="0"/>
          <w:numId w:val="11"/>
        </w:numPr>
        <w:shd w:val="clear" w:color="auto" w:fill="auto"/>
        <w:tabs>
          <w:tab w:pos="336" w:val="left"/>
        </w:tabs>
        <w:bidi w:val="0"/>
        <w:spacing w:before="0" w:line="254" w:lineRule="auto"/>
        <w:ind w:left="0" w:right="0" w:firstLine="0"/>
        <w:jc w:val="left"/>
      </w:pPr>
      <w:r>
        <w:rPr>
          <w:rStyle w:val="CharStyle3"/>
        </w:rPr>
        <w:t>případné autorizované dealery Vám sdělí na lince *77</w:t>
      </w:r>
    </w:p>
    <w:p>
      <w:pPr>
        <w:pStyle w:val="Style2"/>
        <w:keepNext w:val="0"/>
        <w:keepLines w:val="0"/>
        <w:widowControl w:val="0"/>
        <w:shd w:val="clear" w:color="auto" w:fill="auto"/>
        <w:bidi w:val="0"/>
        <w:spacing w:before="0" w:after="700" w:line="240" w:lineRule="auto"/>
        <w:ind w:left="0" w:right="0" w:firstLine="0"/>
        <w:jc w:val="center"/>
      </w:pPr>
      <w:r>
        <w:rPr>
          <w:rStyle w:val="CharStyle3"/>
          <w:b/>
          <w:bCs/>
        </w:rPr>
        <w:t>Seznam Dalších účastníků</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Nepoužije se</w:t>
      </w:r>
    </w:p>
    <w:sectPr>
      <w:headerReference w:type="default" r:id="rId22"/>
      <w:footerReference w:type="default" r:id="rId23"/>
      <w:headerReference w:type="even" r:id="rId24"/>
      <w:footerReference w:type="even" r:id="rId25"/>
      <w:footnotePr>
        <w:pos w:val="pageBottom"/>
        <w:numFmt w:val="decimal"/>
        <w:numRestart w:val="continuous"/>
      </w:footnotePr>
      <w:type w:val="continuous"/>
      <w:pgSz w:w="11900" w:h="16840"/>
      <w:pgMar w:top="1794" w:right="573" w:bottom="2576" w:left="132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1225550</wp:posOffset>
              </wp:positionH>
              <wp:positionV relativeFrom="page">
                <wp:posOffset>10048240</wp:posOffset>
              </wp:positionV>
              <wp:extent cx="5285105" cy="554990"/>
              <wp:wrapNone/>
              <wp:docPr id="5" name="Shape 5"/>
              <a:graphic xmlns:a="http://schemas.openxmlformats.org/drawingml/2006/main">
                <a:graphicData uri="http://schemas.microsoft.com/office/word/2010/wordprocessingShape">
                  <wps:wsp>
                    <wps:cNvSpPr txBox="1"/>
                    <wps:spPr>
                      <a:xfrm>
                        <a:ext cx="5285105" cy="55499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wps:txbx>
                    <wps:bodyPr wrap="none" lIns="0" tIns="0" rIns="0" bIns="0">
                      <a:spAutoFit/>
                    </wps:bodyPr>
                  </wps:wsp>
                </a:graphicData>
              </a:graphic>
            </wp:anchor>
          </w:drawing>
        </mc:Choice>
        <mc:Fallback>
          <w:pict>
            <v:shape id="_x0000_s1031" type="#_x0000_t202" style="position:absolute;margin-left:96.5pt;margin-top:791.20000000000005pt;width:416.15000000000003pt;height:43.700000000000003pt;z-index:-18874406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1225550</wp:posOffset>
              </wp:positionH>
              <wp:positionV relativeFrom="page">
                <wp:posOffset>10048240</wp:posOffset>
              </wp:positionV>
              <wp:extent cx="5285105" cy="554990"/>
              <wp:wrapNone/>
              <wp:docPr id="7" name="Shape 7"/>
              <a:graphic xmlns:a="http://schemas.openxmlformats.org/drawingml/2006/main">
                <a:graphicData uri="http://schemas.microsoft.com/office/word/2010/wordprocessingShape">
                  <wps:wsp>
                    <wps:cNvSpPr txBox="1"/>
                    <wps:spPr>
                      <a:xfrm>
                        <a:ext cx="5285105" cy="55499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wps:txbx>
                    <wps:bodyPr wrap="none" lIns="0" tIns="0" rIns="0" bIns="0">
                      <a:spAutoFit/>
                    </wps:bodyPr>
                  </wps:wsp>
                </a:graphicData>
              </a:graphic>
            </wp:anchor>
          </w:drawing>
        </mc:Choice>
        <mc:Fallback>
          <w:pict>
            <v:shape id="_x0000_s1033" type="#_x0000_t202" style="position:absolute;margin-left:96.5pt;margin-top:791.20000000000005pt;width:416.15000000000003pt;height:43.700000000000003pt;z-index:-18874406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1258570</wp:posOffset>
              </wp:positionH>
              <wp:positionV relativeFrom="page">
                <wp:posOffset>9493250</wp:posOffset>
              </wp:positionV>
              <wp:extent cx="5303520" cy="560705"/>
              <wp:wrapNone/>
              <wp:docPr id="25" name="Shape 25"/>
              <a:graphic xmlns:a="http://schemas.openxmlformats.org/drawingml/2006/main">
                <a:graphicData uri="http://schemas.microsoft.com/office/word/2010/wordprocessingShape">
                  <wps:wsp>
                    <wps:cNvSpPr txBox="1"/>
                    <wps:spPr>
                      <a:xfrm>
                        <a:ext cx="5303520" cy="56070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1266BC"/>
                              <w:sz w:val="18"/>
                              <w:szCs w:val="18"/>
                              <w:u w:val="single"/>
                              <w:lang w:val="en-US" w:eastAsia="en-US" w:bidi="en-US"/>
                            </w:rPr>
                            <w:t>www.o2.cz</w:t>
                          </w:r>
                          <w:r>
                            <w:rPr>
                              <w:rStyle w:val="CharStyle20"/>
                              <w:rFonts w:ascii="Calibri" w:eastAsia="Calibri" w:hAnsi="Calibri" w:cs="Calibri"/>
                              <w:color w:val="1266BC"/>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wps:txbx>
                    <wps:bodyPr wrap="none" lIns="0" tIns="0" rIns="0" bIns="0">
                      <a:spAutoFit/>
                    </wps:bodyPr>
                  </wps:wsp>
                </a:graphicData>
              </a:graphic>
            </wp:anchor>
          </w:drawing>
        </mc:Choice>
        <mc:Fallback>
          <w:pict>
            <v:shape id="_x0000_s1051" type="#_x0000_t202" style="position:absolute;margin-left:99.100000000000009pt;margin-top:747.5pt;width:417.60000000000002pt;height:44.149999999999999pt;z-index:-18874405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1266BC"/>
                        <w:sz w:val="18"/>
                        <w:szCs w:val="18"/>
                        <w:u w:val="single"/>
                        <w:lang w:val="en-US" w:eastAsia="en-US" w:bidi="en-US"/>
                      </w:rPr>
                      <w:t>www.o2.cz</w:t>
                    </w:r>
                    <w:r>
                      <w:rPr>
                        <w:rStyle w:val="CharStyle20"/>
                        <w:rFonts w:ascii="Calibri" w:eastAsia="Calibri" w:hAnsi="Calibri" w:cs="Calibri"/>
                        <w:color w:val="1266BC"/>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1258570</wp:posOffset>
              </wp:positionH>
              <wp:positionV relativeFrom="page">
                <wp:posOffset>9493250</wp:posOffset>
              </wp:positionV>
              <wp:extent cx="5303520" cy="560705"/>
              <wp:wrapNone/>
              <wp:docPr id="29" name="Shape 29"/>
              <a:graphic xmlns:a="http://schemas.openxmlformats.org/drawingml/2006/main">
                <a:graphicData uri="http://schemas.microsoft.com/office/word/2010/wordprocessingShape">
                  <wps:wsp>
                    <wps:cNvSpPr txBox="1"/>
                    <wps:spPr>
                      <a:xfrm>
                        <a:ext cx="5303520" cy="56070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1266BC"/>
                              <w:sz w:val="18"/>
                              <w:szCs w:val="18"/>
                              <w:u w:val="single"/>
                              <w:lang w:val="en-US" w:eastAsia="en-US" w:bidi="en-US"/>
                            </w:rPr>
                            <w:t>www.o2.cz</w:t>
                          </w:r>
                          <w:r>
                            <w:rPr>
                              <w:rStyle w:val="CharStyle20"/>
                              <w:rFonts w:ascii="Calibri" w:eastAsia="Calibri" w:hAnsi="Calibri" w:cs="Calibri"/>
                              <w:color w:val="1266BC"/>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wps:txbx>
                    <wps:bodyPr wrap="none" lIns="0" tIns="0" rIns="0" bIns="0">
                      <a:spAutoFit/>
                    </wps:bodyPr>
                  </wps:wsp>
                </a:graphicData>
              </a:graphic>
            </wp:anchor>
          </w:drawing>
        </mc:Choice>
        <mc:Fallback>
          <w:pict>
            <v:shape id="_x0000_s1055" type="#_x0000_t202" style="position:absolute;margin-left:99.100000000000009pt;margin-top:747.5pt;width:417.60000000000002pt;height:44.149999999999999pt;z-index:-18874405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1266BC"/>
                        <w:sz w:val="18"/>
                        <w:szCs w:val="18"/>
                        <w:u w:val="single"/>
                        <w:lang w:val="en-US" w:eastAsia="en-US" w:bidi="en-US"/>
                      </w:rPr>
                      <w:t>www.o2.cz</w:t>
                    </w:r>
                    <w:r>
                      <w:rPr>
                        <w:rStyle w:val="CharStyle20"/>
                        <w:rFonts w:ascii="Calibri" w:eastAsia="Calibri" w:hAnsi="Calibri" w:cs="Calibri"/>
                        <w:color w:val="1266BC"/>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1225550</wp:posOffset>
              </wp:positionH>
              <wp:positionV relativeFrom="page">
                <wp:posOffset>10048240</wp:posOffset>
              </wp:positionV>
              <wp:extent cx="5285105" cy="554990"/>
              <wp:wrapNone/>
              <wp:docPr id="31" name="Shape 31"/>
              <a:graphic xmlns:a="http://schemas.openxmlformats.org/drawingml/2006/main">
                <a:graphicData uri="http://schemas.microsoft.com/office/word/2010/wordprocessingShape">
                  <wps:wsp>
                    <wps:cNvSpPr txBox="1"/>
                    <wps:spPr>
                      <a:xfrm>
                        <a:ext cx="5285105" cy="55499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wps:txbx>
                    <wps:bodyPr wrap="none" lIns="0" tIns="0" rIns="0" bIns="0">
                      <a:spAutoFit/>
                    </wps:bodyPr>
                  </wps:wsp>
                </a:graphicData>
              </a:graphic>
            </wp:anchor>
          </w:drawing>
        </mc:Choice>
        <mc:Fallback>
          <w:pict>
            <v:shape id="_x0000_s1057" type="#_x0000_t202" style="position:absolute;margin-left:96.5pt;margin-top:791.20000000000005pt;width:416.15000000000003pt;height:43.700000000000003pt;z-index:-18874405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1225550</wp:posOffset>
              </wp:positionH>
              <wp:positionV relativeFrom="page">
                <wp:posOffset>10048240</wp:posOffset>
              </wp:positionV>
              <wp:extent cx="5285105" cy="554990"/>
              <wp:wrapNone/>
              <wp:docPr id="33" name="Shape 33"/>
              <a:graphic xmlns:a="http://schemas.openxmlformats.org/drawingml/2006/main">
                <a:graphicData uri="http://schemas.microsoft.com/office/word/2010/wordprocessingShape">
                  <wps:wsp>
                    <wps:cNvSpPr txBox="1"/>
                    <wps:spPr>
                      <a:xfrm>
                        <a:ext cx="5285105" cy="55499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wps:txbx>
                    <wps:bodyPr wrap="none" lIns="0" tIns="0" rIns="0" bIns="0">
                      <a:spAutoFit/>
                    </wps:bodyPr>
                  </wps:wsp>
                </a:graphicData>
              </a:graphic>
            </wp:anchor>
          </w:drawing>
        </mc:Choice>
        <mc:Fallback>
          <w:pict>
            <v:shape id="_x0000_s1059" type="#_x0000_t202" style="position:absolute;margin-left:96.5pt;margin-top:791.20000000000005pt;width:416.15000000000003pt;height:43.700000000000003pt;z-index:-18874404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1294765</wp:posOffset>
              </wp:positionH>
              <wp:positionV relativeFrom="page">
                <wp:posOffset>9307830</wp:posOffset>
              </wp:positionV>
              <wp:extent cx="5434330" cy="557530"/>
              <wp:wrapNone/>
              <wp:docPr id="37" name="Shape 37"/>
              <a:graphic xmlns:a="http://schemas.openxmlformats.org/drawingml/2006/main">
                <a:graphicData uri="http://schemas.microsoft.com/office/word/2010/wordprocessingShape">
                  <wps:wsp>
                    <wps:cNvSpPr txBox="1"/>
                    <wps:spPr>
                      <a:xfrm>
                        <a:ext cx="5434330" cy="5575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wps:txbx>
                    <wps:bodyPr wrap="none" lIns="0" tIns="0" rIns="0" bIns="0">
                      <a:spAutoFit/>
                    </wps:bodyPr>
                  </wps:wsp>
                </a:graphicData>
              </a:graphic>
            </wp:anchor>
          </w:drawing>
        </mc:Choice>
        <mc:Fallback>
          <w:pict>
            <v:shape id="_x0000_s1063" type="#_x0000_t202" style="position:absolute;margin-left:101.95pt;margin-top:732.89999999999998pt;width:427.90000000000003pt;height:43.899999999999999pt;z-index:-188744045;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1301115</wp:posOffset>
              </wp:positionH>
              <wp:positionV relativeFrom="page">
                <wp:posOffset>9302115</wp:posOffset>
              </wp:positionV>
              <wp:extent cx="5425440" cy="554990"/>
              <wp:wrapNone/>
              <wp:docPr id="43" name="Shape 43"/>
              <a:graphic xmlns:a="http://schemas.openxmlformats.org/drawingml/2006/main">
                <a:graphicData uri="http://schemas.microsoft.com/office/word/2010/wordprocessingShape">
                  <wps:wsp>
                    <wps:cNvSpPr txBox="1"/>
                    <wps:spPr>
                      <a:xfrm>
                        <a:ext cx="5425440" cy="55499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wps:txbx>
                    <wps:bodyPr wrap="none" lIns="0" tIns="0" rIns="0" bIns="0">
                      <a:spAutoFit/>
                    </wps:bodyPr>
                  </wps:wsp>
                </a:graphicData>
              </a:graphic>
            </wp:anchor>
          </w:drawing>
        </mc:Choice>
        <mc:Fallback>
          <w:pict>
            <v:shape id="_x0000_s1069" type="#_x0000_t202" style="position:absolute;margin-left:102.45pt;margin-top:732.45000000000005pt;width:427.19999999999999pt;height:43.700000000000003pt;z-index:-18874403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color w:val="42689E"/>
                        <w:sz w:val="18"/>
                        <w:szCs w:val="18"/>
                      </w:rPr>
                      <w:t xml:space="preserve">02 Czech Republic a.s. Za Brumlovkou 266/2 140 22 Praha 4 - Michle Czech Republic </w:t>
                    </w:r>
                    <w:r>
                      <w:rPr>
                        <w:rStyle w:val="CharStyle20"/>
                        <w:rFonts w:ascii="Calibri" w:eastAsia="Calibri" w:hAnsi="Calibri" w:cs="Calibri"/>
                        <w:color w:val="42689E"/>
                        <w:sz w:val="18"/>
                        <w:szCs w:val="18"/>
                        <w:u w:val="single"/>
                        <w:lang w:val="en-US" w:eastAsia="en-US" w:bidi="en-US"/>
                      </w:rPr>
                      <w:t>www.o2.cz</w:t>
                    </w:r>
                    <w:r>
                      <w:rPr>
                        <w:rStyle w:val="CharStyle20"/>
                        <w:rFonts w:ascii="Calibri" w:eastAsia="Calibri" w:hAnsi="Calibri" w:cs="Calibri"/>
                        <w:color w:val="42689E"/>
                        <w:sz w:val="18"/>
                        <w:szCs w:val="18"/>
                        <w:lang w:val="en-US" w:eastAsia="en-US" w:bidi="en-US"/>
                      </w:rPr>
                      <w:t xml:space="preserve"> </w:t>
                    </w:r>
                    <w:fldSimple w:instr=" PAGE \* MERGEFORMAT ">
                      <w:r>
                        <w:rPr>
                          <w:rStyle w:val="CharStyle20"/>
                          <w:rFonts w:ascii="Calibri" w:eastAsia="Calibri" w:hAnsi="Calibri" w:cs="Calibri"/>
                          <w:color w:val="42689E"/>
                          <w:sz w:val="18"/>
                          <w:szCs w:val="18"/>
                        </w:rPr>
                        <w:t>#</w:t>
                      </w:r>
                    </w:fldSimple>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zapsaná v obchodním rejstříku Městského soudu v Praze oddíl B vložka 2322 IČ 60193336 DIČ CZ60193336</w:t>
                    </w:r>
                  </w:p>
                  <w:p>
                    <w:pPr>
                      <w:pStyle w:val="Style19"/>
                      <w:keepNext w:val="0"/>
                      <w:keepLines w:val="0"/>
                      <w:widowControl w:val="0"/>
                      <w:shd w:val="clear" w:color="auto" w:fill="auto"/>
                      <w:bidi w:val="0"/>
                      <w:spacing w:before="0" w:after="0" w:line="240" w:lineRule="auto"/>
                      <w:ind w:left="0" w:right="0" w:firstLine="0"/>
                      <w:jc w:val="left"/>
                      <w:rPr>
                        <w:sz w:val="13"/>
                        <w:szCs w:val="13"/>
                      </w:rPr>
                    </w:pPr>
                    <w:r>
                      <w:rPr>
                        <w:rStyle w:val="CharStyle20"/>
                        <w:rFonts w:ascii="Calibri" w:eastAsia="Calibri" w:hAnsi="Calibri" w:cs="Calibri"/>
                        <w:color w:val="42689E"/>
                        <w:sz w:val="13"/>
                        <w:szCs w:val="13"/>
                      </w:rPr>
                      <w:t>Obchodní tajemství společnosti 02 Czech Republic a.s.</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3956050</wp:posOffset>
              </wp:positionH>
              <wp:positionV relativeFrom="page">
                <wp:posOffset>758190</wp:posOffset>
              </wp:positionV>
              <wp:extent cx="115570" cy="173990"/>
              <wp:wrapNone/>
              <wp:docPr id="23" name="Shape 23"/>
              <a:graphic xmlns:a="http://schemas.openxmlformats.org/drawingml/2006/main">
                <a:graphicData uri="http://schemas.microsoft.com/office/word/2010/wordprocessingShape">
                  <wps:wsp>
                    <wps:cNvSpPr txBox="1"/>
                    <wps:spPr>
                      <a:xfrm>
                        <a:ext cx="115570" cy="17399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38"/>
                              <w:szCs w:val="38"/>
                            </w:rPr>
                          </w:pPr>
                          <w:r>
                            <w:rPr>
                              <w:rStyle w:val="CharStyle20"/>
                              <w:rFonts w:ascii="Arial" w:eastAsia="Arial" w:hAnsi="Arial" w:cs="Arial"/>
                              <w:color w:val="1266BC"/>
                              <w:sz w:val="38"/>
                              <w:szCs w:val="38"/>
                            </w:rPr>
                            <w:t>2</w:t>
                          </w:r>
                        </w:p>
                      </w:txbxContent>
                    </wps:txbx>
                    <wps:bodyPr wrap="none" lIns="0" tIns="0" rIns="0" bIns="0">
                      <a:spAutoFit/>
                    </wps:bodyPr>
                  </wps:wsp>
                </a:graphicData>
              </a:graphic>
            </wp:anchor>
          </w:drawing>
        </mc:Choice>
        <mc:Fallback>
          <w:pict>
            <v:shape id="_x0000_s1049" type="#_x0000_t202" style="position:absolute;margin-left:311.5pt;margin-top:59.700000000000003pt;width:9.0999999999999996pt;height:13.700000000000001pt;z-index:-18874405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38"/>
                        <w:szCs w:val="38"/>
                      </w:rPr>
                    </w:pPr>
                    <w:r>
                      <w:rPr>
                        <w:rStyle w:val="CharStyle20"/>
                        <w:rFonts w:ascii="Arial" w:eastAsia="Arial" w:hAnsi="Arial" w:cs="Arial"/>
                        <w:color w:val="1266BC"/>
                        <w:sz w:val="38"/>
                        <w:szCs w:val="38"/>
                      </w:rPr>
                      <w:t>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3956050</wp:posOffset>
              </wp:positionH>
              <wp:positionV relativeFrom="page">
                <wp:posOffset>758190</wp:posOffset>
              </wp:positionV>
              <wp:extent cx="115570" cy="173990"/>
              <wp:wrapNone/>
              <wp:docPr id="27" name="Shape 27"/>
              <a:graphic xmlns:a="http://schemas.openxmlformats.org/drawingml/2006/main">
                <a:graphicData uri="http://schemas.microsoft.com/office/word/2010/wordprocessingShape">
                  <wps:wsp>
                    <wps:cNvSpPr txBox="1"/>
                    <wps:spPr>
                      <a:xfrm>
                        <a:ext cx="115570" cy="17399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38"/>
                              <w:szCs w:val="38"/>
                            </w:rPr>
                          </w:pPr>
                          <w:r>
                            <w:rPr>
                              <w:rStyle w:val="CharStyle20"/>
                              <w:rFonts w:ascii="Arial" w:eastAsia="Arial" w:hAnsi="Arial" w:cs="Arial"/>
                              <w:color w:val="1266BC"/>
                              <w:sz w:val="38"/>
                              <w:szCs w:val="38"/>
                            </w:rPr>
                            <w:t>2</w:t>
                          </w:r>
                        </w:p>
                      </w:txbxContent>
                    </wps:txbx>
                    <wps:bodyPr wrap="none" lIns="0" tIns="0" rIns="0" bIns="0">
                      <a:spAutoFit/>
                    </wps:bodyPr>
                  </wps:wsp>
                </a:graphicData>
              </a:graphic>
            </wp:anchor>
          </w:drawing>
        </mc:Choice>
        <mc:Fallback>
          <w:pict>
            <v:shape id="_x0000_s1053" type="#_x0000_t202" style="position:absolute;margin-left:311.5pt;margin-top:59.700000000000003pt;width:9.0999999999999996pt;height:13.700000000000001pt;z-index:-188744055;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38"/>
                        <w:szCs w:val="38"/>
                      </w:rPr>
                    </w:pPr>
                    <w:r>
                      <w:rPr>
                        <w:rStyle w:val="CharStyle20"/>
                        <w:rFonts w:ascii="Arial" w:eastAsia="Arial" w:hAnsi="Arial" w:cs="Arial"/>
                        <w:color w:val="1266BC"/>
                        <w:sz w:val="38"/>
                        <w:szCs w:val="38"/>
                      </w:rPr>
                      <w:t>2</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868045</wp:posOffset>
              </wp:positionH>
              <wp:positionV relativeFrom="page">
                <wp:posOffset>989965</wp:posOffset>
              </wp:positionV>
              <wp:extent cx="533400" cy="85090"/>
              <wp:wrapNone/>
              <wp:docPr id="35" name="Shape 35"/>
              <a:graphic xmlns:a="http://schemas.openxmlformats.org/drawingml/2006/main">
                <a:graphicData uri="http://schemas.microsoft.com/office/word/2010/wordprocessingShape">
                  <wps:wsp>
                    <wps:cNvSpPr txBox="1"/>
                    <wps:spPr>
                      <a:xfrm>
                        <a:ext cx="533400" cy="8509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sz w:val="18"/>
                              <w:szCs w:val="18"/>
                            </w:rPr>
                            <w:t>Příloha č. 3</w:t>
                          </w:r>
                        </w:p>
                      </w:txbxContent>
                    </wps:txbx>
                    <wps:bodyPr wrap="none" lIns="0" tIns="0" rIns="0" bIns="0">
                      <a:spAutoFit/>
                    </wps:bodyPr>
                  </wps:wsp>
                </a:graphicData>
              </a:graphic>
            </wp:anchor>
          </w:drawing>
        </mc:Choice>
        <mc:Fallback>
          <w:pict>
            <v:shape id="_x0000_s1061" type="#_x0000_t202" style="position:absolute;margin-left:68.350000000000009pt;margin-top:77.950000000000003pt;width:42.pt;height:6.7000000000000002pt;z-index:-18874404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sz w:val="18"/>
                        <w:szCs w:val="18"/>
                      </w:rPr>
                      <w:t>Příloha č. 3</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3943350</wp:posOffset>
              </wp:positionH>
              <wp:positionV relativeFrom="page">
                <wp:posOffset>588010</wp:posOffset>
              </wp:positionV>
              <wp:extent cx="113030" cy="170815"/>
              <wp:wrapNone/>
              <wp:docPr id="39" name="Shape 39"/>
              <a:graphic xmlns:a="http://schemas.openxmlformats.org/drawingml/2006/main">
                <a:graphicData uri="http://schemas.microsoft.com/office/word/2010/wordprocessingShape">
                  <wps:wsp>
                    <wps:cNvSpPr txBox="1"/>
                    <wps:spPr>
                      <a:xfrm>
                        <a:ext cx="113030" cy="17081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38"/>
                              <w:szCs w:val="38"/>
                            </w:rPr>
                          </w:pPr>
                          <w:r>
                            <w:rPr>
                              <w:rStyle w:val="CharStyle20"/>
                              <w:rFonts w:ascii="Arial" w:eastAsia="Arial" w:hAnsi="Arial" w:cs="Arial"/>
                              <w:color w:val="1266BC"/>
                              <w:sz w:val="38"/>
                              <w:szCs w:val="38"/>
                            </w:rPr>
                            <w:t>2</w:t>
                          </w:r>
                        </w:p>
                      </w:txbxContent>
                    </wps:txbx>
                    <wps:bodyPr wrap="none" lIns="0" tIns="0" rIns="0" bIns="0">
                      <a:spAutoFit/>
                    </wps:bodyPr>
                  </wps:wsp>
                </a:graphicData>
              </a:graphic>
            </wp:anchor>
          </w:drawing>
        </mc:Choice>
        <mc:Fallback>
          <w:pict>
            <v:shape id="_x0000_s1065" type="#_x0000_t202" style="position:absolute;margin-left:310.5pt;margin-top:46.300000000000004pt;width:8.9000000000000004pt;height:13.450000000000001pt;z-index:-18874404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38"/>
                        <w:szCs w:val="38"/>
                      </w:rPr>
                    </w:pPr>
                    <w:r>
                      <w:rPr>
                        <w:rStyle w:val="CharStyle20"/>
                        <w:rFonts w:ascii="Arial" w:eastAsia="Arial" w:hAnsi="Arial" w:cs="Arial"/>
                        <w:color w:val="1266BC"/>
                        <w:sz w:val="38"/>
                        <w:szCs w:val="38"/>
                      </w:rPr>
                      <w:t>2</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892810</wp:posOffset>
              </wp:positionH>
              <wp:positionV relativeFrom="page">
                <wp:posOffset>986790</wp:posOffset>
              </wp:positionV>
              <wp:extent cx="530225" cy="88265"/>
              <wp:wrapNone/>
              <wp:docPr id="41" name="Shape 41"/>
              <a:graphic xmlns:a="http://schemas.openxmlformats.org/drawingml/2006/main">
                <a:graphicData uri="http://schemas.microsoft.com/office/word/2010/wordprocessingShape">
                  <wps:wsp>
                    <wps:cNvSpPr txBox="1"/>
                    <wps:spPr>
                      <a:xfrm>
                        <a:ext cx="530225" cy="8826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sz w:val="18"/>
                              <w:szCs w:val="18"/>
                            </w:rPr>
                            <w:t>Příloha č. 2</w:t>
                          </w:r>
                        </w:p>
                      </w:txbxContent>
                    </wps:txbx>
                    <wps:bodyPr wrap="none" lIns="0" tIns="0" rIns="0" bIns="0">
                      <a:spAutoFit/>
                    </wps:bodyPr>
                  </wps:wsp>
                </a:graphicData>
              </a:graphic>
            </wp:anchor>
          </w:drawing>
        </mc:Choice>
        <mc:Fallback>
          <w:pict>
            <v:shape id="_x0000_s1067" type="#_x0000_t202" style="position:absolute;margin-left:70.299999999999997pt;margin-top:77.700000000000003pt;width:41.75pt;height:6.9500000000000002pt;z-index:-18874404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8"/>
                        <w:szCs w:val="18"/>
                      </w:rPr>
                    </w:pPr>
                    <w:r>
                      <w:rPr>
                        <w:rStyle w:val="CharStyle20"/>
                        <w:rFonts w:ascii="Calibri" w:eastAsia="Calibri" w:hAnsi="Calibri" w:cs="Calibri"/>
                        <w:sz w:val="18"/>
                        <w:szCs w:val="18"/>
                      </w:rPr>
                      <w:t>Příloha č. 2</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iCs/>
        <w:smallCaps w:val="0"/>
        <w:strike w:val="0"/>
        <w:color w:val="000000"/>
        <w:spacing w:val="0"/>
        <w:w w:val="100"/>
        <w:position w:val="0"/>
        <w:sz w:val="18"/>
        <w:szCs w:val="18"/>
        <w:u w:val="none"/>
        <w:shd w:val="clear" w:color="auto" w:fill="auto"/>
        <w:lang w:val="cs-CZ" w:eastAsia="cs-CZ" w:bidi="cs-CZ"/>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decimal"/>
      <w:lvlText w:val="%1."/>
    </w:lvl>
    <w:lvl w:ilvl="1">
      <w:start w:val="2"/>
      <w:numFmt w:val="decimal"/>
      <w:lvlText w:val="%1.%2"/>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2"/>
      <w:numFmt w:val="decimal"/>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lowerRoman"/>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1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18"/>
      <w:szCs w:val="18"/>
      <w:u w:val="none"/>
    </w:rPr>
  </w:style>
  <w:style w:type="character" w:customStyle="1" w:styleId="CharStyle6">
    <w:name w:val="Nadpis #1_"/>
    <w:basedOn w:val="DefaultParagraphFont"/>
    <w:link w:val="Style5"/>
    <w:rPr>
      <w:rFonts w:ascii="Arial" w:eastAsia="Arial" w:hAnsi="Arial" w:cs="Arial"/>
      <w:b w:val="0"/>
      <w:bCs w:val="0"/>
      <w:i w:val="0"/>
      <w:iCs w:val="0"/>
      <w:smallCaps w:val="0"/>
      <w:strike w:val="0"/>
      <w:sz w:val="64"/>
      <w:szCs w:val="64"/>
      <w:u w:val="none"/>
    </w:rPr>
  </w:style>
  <w:style w:type="character" w:customStyle="1" w:styleId="CharStyle8">
    <w:name w:val="Základní text (3)_"/>
    <w:basedOn w:val="DefaultParagraphFont"/>
    <w:link w:val="Style7"/>
    <w:rPr>
      <w:rFonts w:ascii="Arial" w:eastAsia="Arial" w:hAnsi="Arial" w:cs="Arial"/>
      <w:b w:val="0"/>
      <w:bCs w:val="0"/>
      <w:i w:val="0"/>
      <w:iCs w:val="0"/>
      <w:smallCaps w:val="0"/>
      <w:strike w:val="0"/>
      <w:sz w:val="16"/>
      <w:szCs w:val="16"/>
      <w:u w:val="none"/>
    </w:rPr>
  </w:style>
  <w:style w:type="character" w:customStyle="1" w:styleId="CharStyle10">
    <w:name w:val="Nadpis #2_"/>
    <w:basedOn w:val="DefaultParagraphFont"/>
    <w:link w:val="Style9"/>
    <w:rPr>
      <w:rFonts w:ascii="Calibri" w:eastAsia="Calibri" w:hAnsi="Calibri" w:cs="Calibri"/>
      <w:b/>
      <w:bCs/>
      <w:i w:val="0"/>
      <w:iCs w:val="0"/>
      <w:smallCaps w:val="0"/>
      <w:strike w:val="0"/>
      <w:sz w:val="30"/>
      <w:szCs w:val="30"/>
      <w:u w:val="none"/>
    </w:rPr>
  </w:style>
  <w:style w:type="character" w:customStyle="1" w:styleId="CharStyle12">
    <w:name w:val="Nadpis #4_"/>
    <w:basedOn w:val="DefaultParagraphFont"/>
    <w:link w:val="Style11"/>
    <w:rPr>
      <w:rFonts w:ascii="Calibri" w:eastAsia="Calibri" w:hAnsi="Calibri" w:cs="Calibri"/>
      <w:b/>
      <w:bCs/>
      <w:i w:val="0"/>
      <w:iCs w:val="0"/>
      <w:smallCaps w:val="0"/>
      <w:strike w:val="0"/>
      <w:sz w:val="18"/>
      <w:szCs w:val="18"/>
      <w:u w:val="none"/>
    </w:rPr>
  </w:style>
  <w:style w:type="character" w:customStyle="1" w:styleId="CharStyle18">
    <w:name w:val="Základní text (2)_"/>
    <w:basedOn w:val="DefaultParagraphFont"/>
    <w:link w:val="Style17"/>
    <w:rPr>
      <w:rFonts w:ascii="Calibri" w:eastAsia="Calibri" w:hAnsi="Calibri" w:cs="Calibri"/>
      <w:b w:val="0"/>
      <w:bCs w:val="0"/>
      <w:i w:val="0"/>
      <w:iCs w:val="0"/>
      <w:smallCaps w:val="0"/>
      <w:strike w:val="0"/>
      <w:color w:val="42689E"/>
      <w:sz w:val="13"/>
      <w:szCs w:val="13"/>
      <w:u w:val="none"/>
    </w:rPr>
  </w:style>
  <w:style w:type="character" w:customStyle="1" w:styleId="CharStyle20">
    <w:name w:val="Záhlaví nebo zápatí (2)_"/>
    <w:basedOn w:val="DefaultParagraphFont"/>
    <w:link w:val="Style19"/>
    <w:rPr>
      <w:rFonts w:ascii="Times New Roman" w:eastAsia="Times New Roman" w:hAnsi="Times New Roman" w:cs="Times New Roman"/>
      <w:b w:val="0"/>
      <w:bCs w:val="0"/>
      <w:i w:val="0"/>
      <w:iCs w:val="0"/>
      <w:smallCaps w:val="0"/>
      <w:strike w:val="0"/>
      <w:sz w:val="20"/>
      <w:szCs w:val="20"/>
      <w:u w:val="none"/>
    </w:rPr>
  </w:style>
  <w:style w:type="character" w:customStyle="1" w:styleId="CharStyle25">
    <w:name w:val="Titulek obrázku_"/>
    <w:basedOn w:val="DefaultParagraphFont"/>
    <w:link w:val="Style24"/>
    <w:rPr>
      <w:rFonts w:ascii="Calibri" w:eastAsia="Calibri" w:hAnsi="Calibri" w:cs="Calibri"/>
      <w:b w:val="0"/>
      <w:bCs w:val="0"/>
      <w:i w:val="0"/>
      <w:iCs w:val="0"/>
      <w:smallCaps w:val="0"/>
      <w:strike w:val="0"/>
      <w:sz w:val="18"/>
      <w:szCs w:val="18"/>
      <w:u w:val="none"/>
    </w:rPr>
  </w:style>
  <w:style w:type="character" w:customStyle="1" w:styleId="CharStyle36">
    <w:name w:val="Nadpis #3_"/>
    <w:basedOn w:val="DefaultParagraphFont"/>
    <w:link w:val="Style35"/>
    <w:rPr>
      <w:rFonts w:ascii="Arial" w:eastAsia="Arial" w:hAnsi="Arial" w:cs="Arial"/>
      <w:b w:val="0"/>
      <w:bCs w:val="0"/>
      <w:i w:val="0"/>
      <w:iCs w:val="0"/>
      <w:smallCaps w:val="0"/>
      <w:strike w:val="0"/>
      <w:sz w:val="24"/>
      <w:szCs w:val="24"/>
      <w:u w:val="none"/>
    </w:rPr>
  </w:style>
  <w:style w:type="character" w:customStyle="1" w:styleId="CharStyle39">
    <w:name w:val="Základní text (4)_"/>
    <w:basedOn w:val="DefaultParagraphFont"/>
    <w:link w:val="Style38"/>
    <w:rPr>
      <w:rFonts w:ascii="Arial" w:eastAsia="Arial" w:hAnsi="Arial" w:cs="Arial"/>
      <w:b w:val="0"/>
      <w:bCs w:val="0"/>
      <w:i w:val="0"/>
      <w:iCs w:val="0"/>
      <w:smallCaps w:val="0"/>
      <w:strike w:val="0"/>
      <w:sz w:val="13"/>
      <w:szCs w:val="13"/>
      <w:u w:val="none"/>
    </w:rPr>
  </w:style>
  <w:style w:type="character" w:customStyle="1" w:styleId="CharStyle41">
    <w:name w:val="Jiné_"/>
    <w:basedOn w:val="DefaultParagraphFont"/>
    <w:link w:val="Style40"/>
    <w:rPr>
      <w:rFonts w:ascii="Calibri" w:eastAsia="Calibri" w:hAnsi="Calibri" w:cs="Calibri"/>
      <w:b w:val="0"/>
      <w:bCs w:val="0"/>
      <w:i w:val="0"/>
      <w:iCs w:val="0"/>
      <w:smallCaps w:val="0"/>
      <w:strike w:val="0"/>
      <w:sz w:val="18"/>
      <w:szCs w:val="18"/>
      <w:u w:val="none"/>
    </w:rPr>
  </w:style>
  <w:style w:type="character" w:customStyle="1" w:styleId="CharStyle43">
    <w:name w:val="Titulek tabulky_"/>
    <w:basedOn w:val="DefaultParagraphFont"/>
    <w:link w:val="Style42"/>
    <w:rPr>
      <w:rFonts w:ascii="Calibri" w:eastAsia="Calibri" w:hAnsi="Calibri" w:cs="Calibri"/>
      <w:b w:val="0"/>
      <w:bCs w:val="0"/>
      <w:i w:val="0"/>
      <w:iCs w:val="0"/>
      <w:smallCaps w:val="0"/>
      <w:strike w:val="0"/>
      <w:sz w:val="18"/>
      <w:szCs w:val="18"/>
      <w:u w:val="none"/>
    </w:rPr>
  </w:style>
  <w:style w:type="paragraph" w:customStyle="1" w:styleId="Style2">
    <w:name w:val="Základní text"/>
    <w:basedOn w:val="Normal"/>
    <w:link w:val="CharStyle3"/>
    <w:pPr>
      <w:widowControl w:val="0"/>
      <w:shd w:val="clear" w:color="auto" w:fill="auto"/>
      <w:spacing w:after="60" w:line="252" w:lineRule="auto"/>
    </w:pPr>
    <w:rPr>
      <w:rFonts w:ascii="Calibri" w:eastAsia="Calibri" w:hAnsi="Calibri" w:cs="Calibri"/>
      <w:b w:val="0"/>
      <w:bCs w:val="0"/>
      <w:i w:val="0"/>
      <w:iCs w:val="0"/>
      <w:smallCaps w:val="0"/>
      <w:strike w:val="0"/>
      <w:sz w:val="18"/>
      <w:szCs w:val="18"/>
      <w:u w:val="none"/>
    </w:rPr>
  </w:style>
  <w:style w:type="paragraph" w:customStyle="1" w:styleId="Style5">
    <w:name w:val="Nadpis #1"/>
    <w:basedOn w:val="Normal"/>
    <w:link w:val="CharStyle6"/>
    <w:pPr>
      <w:widowControl w:val="0"/>
      <w:shd w:val="clear" w:color="auto" w:fill="auto"/>
      <w:spacing w:after="60"/>
      <w:ind w:right="1180"/>
      <w:jc w:val="right"/>
      <w:outlineLvl w:val="0"/>
    </w:pPr>
    <w:rPr>
      <w:rFonts w:ascii="Arial" w:eastAsia="Arial" w:hAnsi="Arial" w:cs="Arial"/>
      <w:b w:val="0"/>
      <w:bCs w:val="0"/>
      <w:i w:val="0"/>
      <w:iCs w:val="0"/>
      <w:smallCaps w:val="0"/>
      <w:strike w:val="0"/>
      <w:sz w:val="64"/>
      <w:szCs w:val="64"/>
      <w:u w:val="none"/>
    </w:rPr>
  </w:style>
  <w:style w:type="paragraph" w:customStyle="1" w:styleId="Style7">
    <w:name w:val="Základní text (3)"/>
    <w:basedOn w:val="Normal"/>
    <w:link w:val="CharStyle8"/>
    <w:pPr>
      <w:widowControl w:val="0"/>
      <w:shd w:val="clear" w:color="auto" w:fill="auto"/>
      <w:spacing w:after="360"/>
      <w:ind w:right="1180"/>
      <w:jc w:val="right"/>
    </w:pPr>
    <w:rPr>
      <w:rFonts w:ascii="Arial" w:eastAsia="Arial" w:hAnsi="Arial" w:cs="Arial"/>
      <w:b w:val="0"/>
      <w:bCs w:val="0"/>
      <w:i w:val="0"/>
      <w:iCs w:val="0"/>
      <w:smallCaps w:val="0"/>
      <w:strike w:val="0"/>
      <w:sz w:val="16"/>
      <w:szCs w:val="16"/>
      <w:u w:val="none"/>
    </w:rPr>
  </w:style>
  <w:style w:type="paragraph" w:customStyle="1" w:styleId="Style9">
    <w:name w:val="Nadpis #2"/>
    <w:basedOn w:val="Normal"/>
    <w:link w:val="CharStyle10"/>
    <w:pPr>
      <w:widowControl w:val="0"/>
      <w:shd w:val="clear" w:color="auto" w:fill="auto"/>
      <w:spacing w:after="60"/>
      <w:jc w:val="center"/>
      <w:outlineLvl w:val="1"/>
    </w:pPr>
    <w:rPr>
      <w:rFonts w:ascii="Calibri" w:eastAsia="Calibri" w:hAnsi="Calibri" w:cs="Calibri"/>
      <w:b/>
      <w:bCs/>
      <w:i w:val="0"/>
      <w:iCs w:val="0"/>
      <w:smallCaps w:val="0"/>
      <w:strike w:val="0"/>
      <w:sz w:val="30"/>
      <w:szCs w:val="30"/>
      <w:u w:val="none"/>
    </w:rPr>
  </w:style>
  <w:style w:type="paragraph" w:customStyle="1" w:styleId="Style11">
    <w:name w:val="Nadpis #4"/>
    <w:basedOn w:val="Normal"/>
    <w:link w:val="CharStyle12"/>
    <w:pPr>
      <w:widowControl w:val="0"/>
      <w:shd w:val="clear" w:color="auto" w:fill="auto"/>
      <w:spacing w:after="60" w:line="247" w:lineRule="auto"/>
      <w:outlineLvl w:val="3"/>
    </w:pPr>
    <w:rPr>
      <w:rFonts w:ascii="Calibri" w:eastAsia="Calibri" w:hAnsi="Calibri" w:cs="Calibri"/>
      <w:b/>
      <w:bCs/>
      <w:i w:val="0"/>
      <w:iCs w:val="0"/>
      <w:smallCaps w:val="0"/>
      <w:strike w:val="0"/>
      <w:sz w:val="18"/>
      <w:szCs w:val="18"/>
      <w:u w:val="none"/>
    </w:rPr>
  </w:style>
  <w:style w:type="paragraph" w:customStyle="1" w:styleId="Style17">
    <w:name w:val="Základní text (2)"/>
    <w:basedOn w:val="Normal"/>
    <w:link w:val="CharStyle18"/>
    <w:pPr>
      <w:widowControl w:val="0"/>
      <w:shd w:val="clear" w:color="auto" w:fill="auto"/>
      <w:spacing w:after="230"/>
      <w:ind w:left="730"/>
    </w:pPr>
    <w:rPr>
      <w:rFonts w:ascii="Calibri" w:eastAsia="Calibri" w:hAnsi="Calibri" w:cs="Calibri"/>
      <w:b w:val="0"/>
      <w:bCs w:val="0"/>
      <w:i w:val="0"/>
      <w:iCs w:val="0"/>
      <w:smallCaps w:val="0"/>
      <w:strike w:val="0"/>
      <w:color w:val="42689E"/>
      <w:sz w:val="13"/>
      <w:szCs w:val="13"/>
      <w:u w:val="none"/>
    </w:rPr>
  </w:style>
  <w:style w:type="paragraph" w:customStyle="1" w:styleId="Style19">
    <w:name w:val="Záhlaví nebo zápatí (2)"/>
    <w:basedOn w:val="Normal"/>
    <w:link w:val="CharStyle2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4">
    <w:name w:val="Titulek obrázku"/>
    <w:basedOn w:val="Normal"/>
    <w:link w:val="CharStyle25"/>
    <w:pPr>
      <w:widowControl w:val="0"/>
      <w:shd w:val="clear" w:color="auto" w:fill="auto"/>
      <w:spacing w:line="254" w:lineRule="auto"/>
    </w:pPr>
    <w:rPr>
      <w:rFonts w:ascii="Calibri" w:eastAsia="Calibri" w:hAnsi="Calibri" w:cs="Calibri"/>
      <w:b w:val="0"/>
      <w:bCs w:val="0"/>
      <w:i w:val="0"/>
      <w:iCs w:val="0"/>
      <w:smallCaps w:val="0"/>
      <w:strike w:val="0"/>
      <w:sz w:val="18"/>
      <w:szCs w:val="18"/>
      <w:u w:val="none"/>
    </w:rPr>
  </w:style>
  <w:style w:type="paragraph" w:customStyle="1" w:styleId="Style35">
    <w:name w:val="Nadpis #3"/>
    <w:basedOn w:val="Normal"/>
    <w:link w:val="CharStyle36"/>
    <w:pPr>
      <w:widowControl w:val="0"/>
      <w:shd w:val="clear" w:color="auto" w:fill="auto"/>
      <w:spacing w:after="200"/>
      <w:ind w:firstLine="400"/>
      <w:outlineLvl w:val="2"/>
    </w:pPr>
    <w:rPr>
      <w:rFonts w:ascii="Arial" w:eastAsia="Arial" w:hAnsi="Arial" w:cs="Arial"/>
      <w:b w:val="0"/>
      <w:bCs w:val="0"/>
      <w:i w:val="0"/>
      <w:iCs w:val="0"/>
      <w:smallCaps w:val="0"/>
      <w:strike w:val="0"/>
      <w:sz w:val="24"/>
      <w:szCs w:val="24"/>
      <w:u w:val="none"/>
    </w:rPr>
  </w:style>
  <w:style w:type="paragraph" w:customStyle="1" w:styleId="Style38">
    <w:name w:val="Základní text (4)"/>
    <w:basedOn w:val="Normal"/>
    <w:link w:val="CharStyle39"/>
    <w:pPr>
      <w:widowControl w:val="0"/>
      <w:shd w:val="clear" w:color="auto" w:fill="auto"/>
      <w:spacing w:before="80" w:after="160" w:line="310" w:lineRule="auto"/>
      <w:ind w:left="1580"/>
    </w:pPr>
    <w:rPr>
      <w:rFonts w:ascii="Arial" w:eastAsia="Arial" w:hAnsi="Arial" w:cs="Arial"/>
      <w:b w:val="0"/>
      <w:bCs w:val="0"/>
      <w:i w:val="0"/>
      <w:iCs w:val="0"/>
      <w:smallCaps w:val="0"/>
      <w:strike w:val="0"/>
      <w:sz w:val="13"/>
      <w:szCs w:val="13"/>
      <w:u w:val="none"/>
    </w:rPr>
  </w:style>
  <w:style w:type="paragraph" w:customStyle="1" w:styleId="Style40">
    <w:name w:val="Jiné"/>
    <w:basedOn w:val="Normal"/>
    <w:link w:val="CharStyle41"/>
    <w:pPr>
      <w:widowControl w:val="0"/>
      <w:shd w:val="clear" w:color="auto" w:fill="auto"/>
      <w:spacing w:after="60" w:line="252" w:lineRule="auto"/>
    </w:pPr>
    <w:rPr>
      <w:rFonts w:ascii="Calibri" w:eastAsia="Calibri" w:hAnsi="Calibri" w:cs="Calibri"/>
      <w:b w:val="0"/>
      <w:bCs w:val="0"/>
      <w:i w:val="0"/>
      <w:iCs w:val="0"/>
      <w:smallCaps w:val="0"/>
      <w:strike w:val="0"/>
      <w:sz w:val="18"/>
      <w:szCs w:val="18"/>
      <w:u w:val="none"/>
    </w:rPr>
  </w:style>
  <w:style w:type="paragraph" w:customStyle="1" w:styleId="Style42">
    <w:name w:val="Titulek tabulky"/>
    <w:basedOn w:val="Normal"/>
    <w:link w:val="CharStyle43"/>
    <w:pPr>
      <w:widowControl w:val="0"/>
      <w:shd w:val="clear" w:color="auto" w:fill="auto"/>
    </w:pPr>
    <w:rPr>
      <w:rFonts w:ascii="Calibri" w:eastAsia="Calibri" w:hAnsi="Calibri" w:cs="Calibri"/>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header" Target="header1.xml"/><Relationship Id="rId15" Type="http://schemas.openxmlformats.org/officeDocument/2006/relationships/footer" Target="footer4.xml"/><Relationship Id="rId16" Type="http://schemas.openxmlformats.org/officeDocument/2006/relationships/header" Target="header2.xml"/><Relationship Id="rId17" Type="http://schemas.openxmlformats.org/officeDocument/2006/relationships/footer" Target="footer5.xml"/><Relationship Id="rId18" Type="http://schemas.openxmlformats.org/officeDocument/2006/relationships/header" Target="header3.xml"/><Relationship Id="rId19" Type="http://schemas.openxmlformats.org/officeDocument/2006/relationships/footer" Target="footer6.xml"/><Relationship Id="rId20" Type="http://schemas.openxmlformats.org/officeDocument/2006/relationships/header" Target="header4.xml"/><Relationship Id="rId21" Type="http://schemas.openxmlformats.org/officeDocument/2006/relationships/footer" Target="footer7.xml"/><Relationship Id="rId22" Type="http://schemas.openxmlformats.org/officeDocument/2006/relationships/header" Target="header5.xml"/><Relationship Id="rId23" Type="http://schemas.openxmlformats.org/officeDocument/2006/relationships/footer" Target="footer8.xml"/><Relationship Id="rId24" Type="http://schemas.openxmlformats.org/officeDocument/2006/relationships/header" Target="header6.xml"/><Relationship Id="rId25" Type="http://schemas.openxmlformats.org/officeDocument/2006/relationships/footer" Target="footer9.xml"/></Relationships>
</file>