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EFCC" w14:textId="77777777" w:rsidR="00A419A0" w:rsidRDefault="00A419A0" w:rsidP="00473F57">
      <w:pPr>
        <w:widowControl w:val="0"/>
        <w:spacing w:line="288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3AA6F413" w14:textId="63675915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CB08E6">
        <w:rPr>
          <w:rFonts w:ascii="TimesNewRomanPS-BoldMT" w:hAnsi="TimesNewRomanPS-BoldMT" w:cs="TimesNewRomanPS-BoldMT"/>
          <w:b/>
          <w:bCs/>
          <w:sz w:val="36"/>
          <w:szCs w:val="36"/>
        </w:rPr>
        <w:t>3</w:t>
      </w:r>
      <w:r w:rsidR="001D15BB">
        <w:rPr>
          <w:rFonts w:ascii="TimesNewRomanPS-BoldMT" w:hAnsi="TimesNewRomanPS-BoldMT" w:cs="TimesNewRomanPS-BoldMT"/>
          <w:b/>
          <w:bCs/>
          <w:sz w:val="36"/>
          <w:szCs w:val="36"/>
        </w:rPr>
        <w:t>3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138B58B7" w:rsidR="009C61F2" w:rsidRPr="00F32269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F32269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90560" w:rsidRPr="00F32269">
        <w:rPr>
          <w:rFonts w:ascii="TimesNewRomanPS-BoldMT" w:hAnsi="TimesNewRomanPS-BoldMT" w:cs="TimesNewRomanPS-BoldMT"/>
          <w:b/>
          <w:bCs/>
        </w:rPr>
        <w:t>5</w:t>
      </w:r>
      <w:r w:rsidRPr="00F32269">
        <w:rPr>
          <w:rFonts w:ascii="TimesNewRomanPS-BoldMT" w:hAnsi="TimesNewRomanPS-BoldMT" w:cs="TimesNewRomanPS-BoldMT"/>
          <w:b/>
          <w:bCs/>
        </w:rPr>
        <w:t>-</w:t>
      </w:r>
      <w:r w:rsidR="00F32A3A">
        <w:rPr>
          <w:rFonts w:ascii="TimesNewRomanPS-BoldMT" w:hAnsi="TimesNewRomanPS-BoldMT" w:cs="TimesNewRomanPS-BoldMT"/>
          <w:b/>
          <w:bCs/>
        </w:rPr>
        <w:t>008870</w:t>
      </w:r>
      <w:r w:rsidRPr="00F32269">
        <w:rPr>
          <w:rFonts w:ascii="TimesNewRomanPS-BoldMT" w:hAnsi="TimesNewRomanPS-BoldMT" w:cs="TimesNewRomanPS-BoldMT"/>
          <w:b/>
          <w:bCs/>
        </w:rPr>
        <w:t xml:space="preserve"> </w:t>
      </w:r>
    </w:p>
    <w:p w14:paraId="7770637F" w14:textId="77777777" w:rsidR="00F32269" w:rsidRDefault="00F32269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5D83753" w14:textId="30E90BA4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3D2E4949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71EBA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25815F7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371EBA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58DD611" w14:textId="77777777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b/>
          <w:bCs/>
          <w:color w:val="000000"/>
          <w:sz w:val="20"/>
          <w:szCs w:val="20"/>
        </w:rPr>
        <w:t xml:space="preserve">AbbVie s.r.o. </w:t>
      </w:r>
    </w:p>
    <w:p w14:paraId="5D5A51DF" w14:textId="77777777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se sídlem: Metronom Business Center, Bucharova 2817/13, 158 00 Praha 5 </w:t>
      </w:r>
    </w:p>
    <w:p w14:paraId="6D03B00D" w14:textId="77777777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IČ: 24148725 </w:t>
      </w:r>
    </w:p>
    <w:p w14:paraId="4185CCF9" w14:textId="77777777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DIČ: CZ24148725 </w:t>
      </w:r>
    </w:p>
    <w:p w14:paraId="451535D0" w14:textId="384A4041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Bankovní spojení: </w:t>
      </w:r>
      <w:r w:rsidR="00371EBA">
        <w:rPr>
          <w:rFonts w:ascii="Tahoma" w:eastAsiaTheme="minorHAnsi" w:hAnsi="Tahoma" w:cs="Tahoma"/>
          <w:color w:val="000000"/>
          <w:sz w:val="20"/>
          <w:szCs w:val="20"/>
        </w:rPr>
        <w:t>XXX</w:t>
      </w: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 č. </w:t>
      </w:r>
      <w:proofErr w:type="spellStart"/>
      <w:r w:rsidRPr="003B39C9">
        <w:rPr>
          <w:rFonts w:ascii="Tahoma" w:eastAsiaTheme="minorHAnsi" w:hAnsi="Tahoma" w:cs="Tahoma"/>
          <w:color w:val="000000"/>
          <w:sz w:val="20"/>
          <w:szCs w:val="20"/>
        </w:rPr>
        <w:t>ú.</w:t>
      </w:r>
      <w:proofErr w:type="spellEnd"/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: </w:t>
      </w:r>
      <w:r w:rsidR="00371EBA">
        <w:rPr>
          <w:rFonts w:ascii="Tahoma" w:eastAsiaTheme="minorHAnsi" w:hAnsi="Tahoma" w:cs="Tahoma"/>
          <w:color w:val="000000"/>
          <w:sz w:val="20"/>
          <w:szCs w:val="20"/>
        </w:rPr>
        <w:t>XXX</w:t>
      </w:r>
    </w:p>
    <w:p w14:paraId="59BE3FBB" w14:textId="77777777" w:rsidR="006F3066" w:rsidRPr="003B39C9" w:rsidRDefault="006F3066" w:rsidP="006F3066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Firma je zapsána u MS v Praze, oddíl C, vložka 183123 </w:t>
      </w:r>
    </w:p>
    <w:p w14:paraId="729FDA99" w14:textId="271382C9" w:rsidR="006F3066" w:rsidRPr="00C37C01" w:rsidRDefault="006F3066" w:rsidP="006F306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371EBA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371EBA"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Head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of</w:t>
      </w:r>
      <w:proofErr w:type="spellEnd"/>
      <w:r>
        <w:rPr>
          <w:rFonts w:ascii="Tahoma" w:hAnsi="Tahoma" w:cs="Tahoma"/>
          <w:sz w:val="20"/>
          <w:szCs w:val="20"/>
        </w:rPr>
        <w:t xml:space="preserve"> KAM, zmocněnec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661D09C3" w:rsidR="00393137" w:rsidRPr="000940AF" w:rsidRDefault="006F3066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RINVOQ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1652765B" w:rsidR="00393137" w:rsidRPr="000940AF" w:rsidRDefault="006F3066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15MG TBL PRO 28 KAL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5575AC42" w:rsidR="00393137" w:rsidRPr="000940AF" w:rsidRDefault="006F3066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0238756</w:t>
            </w:r>
          </w:p>
        </w:tc>
      </w:tr>
      <w:tr w:rsidR="00AF47C5" w:rsidRPr="000940AF" w14:paraId="3303E9AB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F5ED8" w14:textId="13D8922B" w:rsidR="00AF47C5" w:rsidRPr="000940AF" w:rsidRDefault="006F3066" w:rsidP="00AF47C5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RINVOQ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641B0" w14:textId="3B6058D7" w:rsidR="00AF47C5" w:rsidRPr="000940AF" w:rsidRDefault="006F3066" w:rsidP="00AF47C5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15MG TBL PRO 98(2x49) KAL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2BFC7" w14:textId="7D3234DD" w:rsidR="00AF47C5" w:rsidRPr="000940AF" w:rsidRDefault="006F3066" w:rsidP="00AF47C5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0238760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79F65095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0940AF">
        <w:rPr>
          <w:rFonts w:ascii="Tahoma" w:hAnsi="Tahoma" w:cs="Tahoma"/>
          <w:sz w:val="20"/>
          <w:szCs w:val="20"/>
        </w:rPr>
        <w:t xml:space="preserve">) </w:t>
      </w:r>
      <w:r w:rsidRPr="0034735D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</w:t>
      </w:r>
      <w:r w:rsidRPr="001F23FE">
        <w:rPr>
          <w:rFonts w:ascii="Tahoma" w:hAnsi="Tahoma" w:cs="Tahoma"/>
          <w:sz w:val="20"/>
          <w:szCs w:val="20"/>
        </w:rPr>
        <w:t xml:space="preserve">dodá do </w:t>
      </w:r>
      <w:r w:rsidR="0066791E" w:rsidRPr="001F23FE">
        <w:rPr>
          <w:rFonts w:ascii="Tahoma" w:hAnsi="Tahoma" w:cs="Tahoma"/>
          <w:sz w:val="20"/>
          <w:szCs w:val="20"/>
        </w:rPr>
        <w:t>48</w:t>
      </w:r>
      <w:r w:rsidRPr="001F23FE">
        <w:rPr>
          <w:rFonts w:ascii="Tahoma" w:hAnsi="Tahoma" w:cs="Tahoma"/>
          <w:sz w:val="20"/>
          <w:szCs w:val="20"/>
        </w:rPr>
        <w:t xml:space="preserve"> hod. po objednání. Připadne-li konec lhůty na sobotu, </w:t>
      </w:r>
      <w:proofErr w:type="gramStart"/>
      <w:r w:rsidRPr="001F23FE">
        <w:rPr>
          <w:rFonts w:ascii="Tahoma" w:hAnsi="Tahoma" w:cs="Tahoma"/>
          <w:sz w:val="20"/>
          <w:szCs w:val="20"/>
        </w:rPr>
        <w:t>neděli</w:t>
      </w:r>
      <w:proofErr w:type="gramEnd"/>
      <w:r w:rsidRPr="001F23FE">
        <w:rPr>
          <w:rFonts w:ascii="Tahoma" w:hAnsi="Tahoma" w:cs="Tahoma"/>
          <w:sz w:val="20"/>
          <w:szCs w:val="20"/>
        </w:rPr>
        <w:t xml:space="preserve"> popř. svátek, není Prodávající v prodlení, dodá</w:t>
      </w:r>
      <w:r w:rsidRPr="0034735D">
        <w:rPr>
          <w:rFonts w:ascii="Tahoma" w:hAnsi="Tahoma" w:cs="Tahoma"/>
          <w:sz w:val="20"/>
          <w:szCs w:val="20"/>
        </w:rPr>
        <w:t>-li zboží nejbližší pracovní den do 9:00 hod</w:t>
      </w:r>
      <w:r w:rsidRPr="00330B0D">
        <w:rPr>
          <w:rFonts w:ascii="Tahoma" w:hAnsi="Tahoma" w:cs="Tahoma"/>
          <w:sz w:val="20"/>
          <w:szCs w:val="20"/>
        </w:rPr>
        <w:t>.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1E14EE8C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1F23FE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61C227E" w14:textId="77777777" w:rsidR="00B20F16" w:rsidRDefault="00B20F1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5293CB94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</w:t>
      </w:r>
      <w:r w:rsidR="001F23FE" w:rsidRPr="001F23FE">
        <w:rPr>
          <w:rFonts w:ascii="Tahoma" w:hAnsi="Tahoma" w:cs="Tahoma"/>
          <w:sz w:val="20"/>
          <w:szCs w:val="20"/>
        </w:rPr>
        <w:t xml:space="preserve"> </w:t>
      </w:r>
      <w:r w:rsidRPr="001F23FE">
        <w:rPr>
          <w:rFonts w:ascii="Tahoma" w:hAnsi="Tahoma" w:cs="Tahoma"/>
          <w:sz w:val="20"/>
          <w:szCs w:val="20"/>
        </w:rPr>
        <w:t>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</w:t>
      </w:r>
      <w:r w:rsidR="001F23FE" w:rsidRPr="001F23FE">
        <w:rPr>
          <w:rFonts w:ascii="Tahoma" w:hAnsi="Tahoma" w:cs="Tahoma"/>
          <w:sz w:val="20"/>
          <w:szCs w:val="20"/>
        </w:rPr>
        <w:t xml:space="preserve"> </w:t>
      </w:r>
      <w:r w:rsidRPr="001F23FE">
        <w:rPr>
          <w:rFonts w:ascii="Tahoma" w:hAnsi="Tahoma" w:cs="Tahoma"/>
          <w:sz w:val="20"/>
          <w:szCs w:val="20"/>
        </w:rPr>
        <w:t>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5DECC0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F50329A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1F23FE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13A500A" w14:textId="77777777" w:rsidR="0066791E" w:rsidRDefault="0066791E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15F998" w14:textId="77777777" w:rsidR="0066791E" w:rsidRDefault="0066791E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C6D03A0" w14:textId="77777777" w:rsidR="0066791E" w:rsidRDefault="0066791E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187312" w14:textId="77777777" w:rsidR="002A239D" w:rsidRPr="000940AF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C66341C" w14:textId="77777777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1F23FE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1F23FE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1F23FE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1F23FE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1F23FE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F23FE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1F23FE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1F23FE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1F23FE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1F23FE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1F23FE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1F23FE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1F23FE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77777777" w:rsidR="00393137" w:rsidRPr="001F23FE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1F23FE">
        <w:rPr>
          <w:rFonts w:ascii="Tahoma" w:hAnsi="Tahoma" w:cs="Tahoma"/>
          <w:b/>
          <w:bCs/>
          <w:sz w:val="20"/>
          <w:szCs w:val="20"/>
        </w:rPr>
        <w:t>XI.</w:t>
      </w:r>
    </w:p>
    <w:p w14:paraId="0F6A72F2" w14:textId="77777777" w:rsidR="008533DF" w:rsidRPr="001F23FE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F23F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1F23FE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1F23FE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1F23FE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5747998D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1F23FE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1F23F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1F23FE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1F23FE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1F23FE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1F23FE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0940AF" w:rsidRDefault="00D41C13" w:rsidP="00D41C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1BCB03FC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455C81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6759DA">
        <w:rPr>
          <w:rFonts w:ascii="Tahoma" w:hAnsi="Tahoma" w:cs="Tahoma"/>
          <w:sz w:val="20"/>
          <w:szCs w:val="20"/>
        </w:rPr>
        <w:t xml:space="preserve"> 31.3.2025</w:t>
      </w:r>
      <w:r w:rsidR="006759DA">
        <w:rPr>
          <w:rFonts w:ascii="Tahoma" w:hAnsi="Tahoma" w:cs="Tahoma"/>
          <w:sz w:val="20"/>
          <w:szCs w:val="20"/>
        </w:rPr>
        <w:tab/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6759DA">
        <w:rPr>
          <w:rFonts w:ascii="Tahoma" w:hAnsi="Tahoma" w:cs="Tahoma"/>
          <w:sz w:val="20"/>
          <w:szCs w:val="20"/>
        </w:rPr>
        <w:t xml:space="preserve"> 4.4.2025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6A75902D" w:rsidR="00393137" w:rsidRDefault="00371EBA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 w:rsidR="00455C8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55C81">
        <w:rPr>
          <w:rFonts w:ascii="Tahoma" w:hAnsi="Tahoma" w:cs="Tahoma"/>
          <w:sz w:val="20"/>
          <w:szCs w:val="20"/>
        </w:rPr>
        <w:t>Head</w:t>
      </w:r>
      <w:proofErr w:type="spellEnd"/>
      <w:r w:rsidR="00455C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55C81">
        <w:rPr>
          <w:rFonts w:ascii="Tahoma" w:hAnsi="Tahoma" w:cs="Tahoma"/>
          <w:sz w:val="20"/>
          <w:szCs w:val="20"/>
        </w:rPr>
        <w:t>of</w:t>
      </w:r>
      <w:proofErr w:type="spellEnd"/>
      <w:r w:rsidR="00455C81">
        <w:rPr>
          <w:rFonts w:ascii="Tahoma" w:hAnsi="Tahoma" w:cs="Tahoma"/>
          <w:sz w:val="20"/>
          <w:szCs w:val="20"/>
        </w:rPr>
        <w:t xml:space="preserve"> KAM, zmocněnec</w:t>
      </w:r>
      <w:r w:rsidR="00455C81" w:rsidRPr="007947AC">
        <w:rPr>
          <w:rFonts w:ascii="Tahoma" w:hAnsi="Tahoma" w:cs="Tahoma"/>
          <w:sz w:val="20"/>
          <w:szCs w:val="20"/>
        </w:rPr>
        <w:t xml:space="preserve">                  </w:t>
      </w:r>
      <w:r w:rsidR="006759DA">
        <w:rPr>
          <w:rFonts w:ascii="Tahoma" w:hAnsi="Tahoma" w:cs="Tahoma"/>
          <w:sz w:val="20"/>
          <w:szCs w:val="20"/>
        </w:rPr>
        <w:tab/>
      </w:r>
      <w:r w:rsidR="006759DA">
        <w:rPr>
          <w:rFonts w:ascii="Tahoma" w:hAnsi="Tahoma" w:cs="Tahoma"/>
          <w:sz w:val="20"/>
          <w:szCs w:val="20"/>
        </w:rPr>
        <w:tab/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116F610A" w:rsidR="00A823D6" w:rsidRDefault="00371EBA" w:rsidP="00393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 xml:space="preserve"> = osobní údaj</w:t>
      </w:r>
    </w:p>
    <w:p w14:paraId="580F05FD" w14:textId="77777777" w:rsidR="00371EBA" w:rsidRDefault="00371EBA" w:rsidP="00393137">
      <w:pPr>
        <w:rPr>
          <w:rFonts w:ascii="Arial" w:hAnsi="Arial" w:cs="Arial"/>
          <w:sz w:val="20"/>
          <w:szCs w:val="20"/>
        </w:rPr>
      </w:pPr>
    </w:p>
    <w:p w14:paraId="7BD7521B" w14:textId="77777777" w:rsidR="00371EBA" w:rsidRDefault="00371EBA" w:rsidP="00393137">
      <w:pPr>
        <w:rPr>
          <w:rFonts w:ascii="Arial" w:hAnsi="Arial" w:cs="Arial"/>
          <w:sz w:val="20"/>
          <w:szCs w:val="20"/>
        </w:rPr>
      </w:pPr>
    </w:p>
    <w:p w14:paraId="5B15B206" w14:textId="77777777" w:rsidR="00371EBA" w:rsidRDefault="00371EBA" w:rsidP="00393137">
      <w:pPr>
        <w:rPr>
          <w:rFonts w:ascii="Arial" w:hAnsi="Arial" w:cs="Arial"/>
          <w:sz w:val="20"/>
          <w:szCs w:val="20"/>
        </w:rPr>
      </w:pPr>
    </w:p>
    <w:p w14:paraId="512CE5E9" w14:textId="77777777" w:rsidR="00371EBA" w:rsidRDefault="00371EBA" w:rsidP="00393137">
      <w:pPr>
        <w:rPr>
          <w:rFonts w:ascii="Arial" w:hAnsi="Arial" w:cs="Arial"/>
          <w:sz w:val="20"/>
          <w:szCs w:val="20"/>
        </w:rPr>
      </w:pPr>
    </w:p>
    <w:p w14:paraId="4D361AFD" w14:textId="77777777" w:rsidR="00371EBA" w:rsidRDefault="00371EBA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0FD58D4F" w14:textId="73F38DC7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193129D" w14:textId="623DECAC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7CAD61F1" w14:textId="3217E596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07427D4" w14:textId="77777777" w:rsidR="001D15BB" w:rsidRDefault="001D15B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9EC80BF" w14:textId="77777777" w:rsidR="001D15BB" w:rsidRDefault="001D15BB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77D8B89" w14:textId="5328A91C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9916AC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1C92432C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L04AF03</w:t>
            </w:r>
          </w:p>
        </w:tc>
        <w:tc>
          <w:tcPr>
            <w:tcW w:w="1480" w:type="dxa"/>
            <w:vAlign w:val="center"/>
          </w:tcPr>
          <w:p w14:paraId="697F1D18" w14:textId="26F6F4D4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RINVOQ</w:t>
            </w:r>
          </w:p>
        </w:tc>
        <w:tc>
          <w:tcPr>
            <w:tcW w:w="1478" w:type="dxa"/>
            <w:vAlign w:val="center"/>
          </w:tcPr>
          <w:p w14:paraId="4C8C0CF1" w14:textId="074C7A2C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0238756</w:t>
            </w:r>
          </w:p>
        </w:tc>
        <w:tc>
          <w:tcPr>
            <w:tcW w:w="1639" w:type="dxa"/>
            <w:vAlign w:val="center"/>
          </w:tcPr>
          <w:p w14:paraId="33D9509E" w14:textId="357C8518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15MG TBL PRO 28 KAL</w:t>
            </w:r>
          </w:p>
        </w:tc>
        <w:tc>
          <w:tcPr>
            <w:tcW w:w="1516" w:type="dxa"/>
            <w:vAlign w:val="center"/>
          </w:tcPr>
          <w:p w14:paraId="32F699C9" w14:textId="0CC5A8EC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6AC">
              <w:rPr>
                <w:rFonts w:ascii="Arial" w:hAnsi="Arial" w:cs="Arial"/>
                <w:b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16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D47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9916A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FD4715"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70364B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80" w:type="dxa"/>
            <w:vAlign w:val="center"/>
          </w:tcPr>
          <w:p w14:paraId="39768C70" w14:textId="51DFF71F" w:rsidR="009916AC" w:rsidRPr="009E6EDF" w:rsidRDefault="009916AC" w:rsidP="009916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9916AC" w14:paraId="13F5E5A1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66B0AF27" w14:textId="44571787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L04AF03</w:t>
            </w:r>
          </w:p>
        </w:tc>
        <w:tc>
          <w:tcPr>
            <w:tcW w:w="1480" w:type="dxa"/>
            <w:vAlign w:val="center"/>
          </w:tcPr>
          <w:p w14:paraId="233C683A" w14:textId="74683C4B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RINVOQ</w:t>
            </w:r>
          </w:p>
        </w:tc>
        <w:tc>
          <w:tcPr>
            <w:tcW w:w="1478" w:type="dxa"/>
            <w:vAlign w:val="center"/>
          </w:tcPr>
          <w:p w14:paraId="5F77329D" w14:textId="1BF7AFF8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0238760</w:t>
            </w:r>
          </w:p>
        </w:tc>
        <w:tc>
          <w:tcPr>
            <w:tcW w:w="1639" w:type="dxa"/>
            <w:vAlign w:val="center"/>
          </w:tcPr>
          <w:p w14:paraId="7ADD9E0D" w14:textId="6A47A7A3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066">
              <w:rPr>
                <w:rFonts w:ascii="Arial" w:eastAsia="Calibri" w:hAnsi="Arial" w:cs="Arial"/>
                <w:sz w:val="18"/>
                <w:szCs w:val="18"/>
              </w:rPr>
              <w:t>15MG TBL PRO 98(2x49) KAL</w:t>
            </w:r>
          </w:p>
        </w:tc>
        <w:tc>
          <w:tcPr>
            <w:tcW w:w="1516" w:type="dxa"/>
            <w:vAlign w:val="center"/>
          </w:tcPr>
          <w:p w14:paraId="230563F1" w14:textId="18C0695B" w:rsidR="009916AC" w:rsidRPr="002C212E" w:rsidRDefault="009916AC" w:rsidP="009916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16AC">
              <w:rPr>
                <w:rFonts w:ascii="Arial" w:hAnsi="Arial" w:cs="Arial"/>
                <w:b/>
                <w:sz w:val="20"/>
                <w:szCs w:val="20"/>
              </w:rPr>
              <w:t>44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16AC">
              <w:rPr>
                <w:rFonts w:ascii="Arial" w:hAnsi="Arial" w:cs="Arial"/>
                <w:b/>
                <w:sz w:val="20"/>
                <w:szCs w:val="20"/>
              </w:rPr>
              <w:t>001,4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0364B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80" w:type="dxa"/>
            <w:vAlign w:val="center"/>
          </w:tcPr>
          <w:p w14:paraId="20D7DAE9" w14:textId="39882AEC" w:rsidR="009916AC" w:rsidRPr="009E6EDF" w:rsidRDefault="009916AC" w:rsidP="009916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01B5FF8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53D83C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F595ED" w14:textId="0CDB61B6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404188" w14:textId="571EE402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1E0641" w14:textId="45161907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B80EA53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EAEF77" w14:textId="77777777" w:rsidR="00A72A49" w:rsidRDefault="00A72A4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2AF0CD" w14:textId="77777777" w:rsidR="001D15BB" w:rsidRDefault="001D15B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09A978C" w14:textId="77777777" w:rsidR="001D15BB" w:rsidRDefault="001D15B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A5BB609" w14:textId="77777777" w:rsidR="001D15BB" w:rsidRDefault="001D15B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8A4C93" w14:textId="77777777" w:rsidR="001D15BB" w:rsidRDefault="001D15B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D68E7B6" w14:textId="77777777" w:rsidR="001D15BB" w:rsidRDefault="001D15B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1D15BB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69E5" w14:textId="77777777" w:rsidR="0035606D" w:rsidRDefault="0035606D" w:rsidP="00BB5B31">
      <w:r>
        <w:separator/>
      </w:r>
    </w:p>
  </w:endnote>
  <w:endnote w:type="continuationSeparator" w:id="0">
    <w:p w14:paraId="121F8145" w14:textId="77777777" w:rsidR="0035606D" w:rsidRDefault="0035606D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61E0" w14:textId="77777777" w:rsidR="0035606D" w:rsidRDefault="0035606D" w:rsidP="00BB5B31">
      <w:r>
        <w:separator/>
      </w:r>
    </w:p>
  </w:footnote>
  <w:footnote w:type="continuationSeparator" w:id="0">
    <w:p w14:paraId="41A80B11" w14:textId="77777777" w:rsidR="0035606D" w:rsidRDefault="0035606D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B7C"/>
    <w:rsid w:val="0000687F"/>
    <w:rsid w:val="0000778D"/>
    <w:rsid w:val="00010421"/>
    <w:rsid w:val="0001236F"/>
    <w:rsid w:val="0001610A"/>
    <w:rsid w:val="00016C94"/>
    <w:rsid w:val="000204EF"/>
    <w:rsid w:val="000210EA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B4B"/>
    <w:rsid w:val="000539E8"/>
    <w:rsid w:val="000558B2"/>
    <w:rsid w:val="00055B97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60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15BB"/>
    <w:rsid w:val="001D4081"/>
    <w:rsid w:val="001E11CF"/>
    <w:rsid w:val="001E137B"/>
    <w:rsid w:val="001E257A"/>
    <w:rsid w:val="001E2949"/>
    <w:rsid w:val="001E2A36"/>
    <w:rsid w:val="001F0097"/>
    <w:rsid w:val="001F239C"/>
    <w:rsid w:val="001F23FE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606D"/>
    <w:rsid w:val="00356BB9"/>
    <w:rsid w:val="00357BA1"/>
    <w:rsid w:val="00360133"/>
    <w:rsid w:val="003633FA"/>
    <w:rsid w:val="00364CD8"/>
    <w:rsid w:val="00370D36"/>
    <w:rsid w:val="003719E3"/>
    <w:rsid w:val="00371EBA"/>
    <w:rsid w:val="0037289D"/>
    <w:rsid w:val="00372DE7"/>
    <w:rsid w:val="00373C44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7D46"/>
    <w:rsid w:val="003D017D"/>
    <w:rsid w:val="003D0EB6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5C81"/>
    <w:rsid w:val="00457D29"/>
    <w:rsid w:val="00457F33"/>
    <w:rsid w:val="00461D84"/>
    <w:rsid w:val="00462D21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21B4"/>
    <w:rsid w:val="004E4023"/>
    <w:rsid w:val="004F0408"/>
    <w:rsid w:val="004F4E8D"/>
    <w:rsid w:val="00500B7F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7B53"/>
    <w:rsid w:val="00520E7B"/>
    <w:rsid w:val="00523B1C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41A7"/>
    <w:rsid w:val="005571AF"/>
    <w:rsid w:val="00557868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5BF4"/>
    <w:rsid w:val="005A616B"/>
    <w:rsid w:val="005A6EDC"/>
    <w:rsid w:val="005A778D"/>
    <w:rsid w:val="005A7AEA"/>
    <w:rsid w:val="005B1707"/>
    <w:rsid w:val="005B26E3"/>
    <w:rsid w:val="005B66CD"/>
    <w:rsid w:val="005C1BC4"/>
    <w:rsid w:val="005C2C7D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11EE9"/>
    <w:rsid w:val="00612035"/>
    <w:rsid w:val="00614382"/>
    <w:rsid w:val="00615489"/>
    <w:rsid w:val="00615C61"/>
    <w:rsid w:val="00617AFC"/>
    <w:rsid w:val="00617FEB"/>
    <w:rsid w:val="00620A57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59DA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3066"/>
    <w:rsid w:val="006F615F"/>
    <w:rsid w:val="006F618A"/>
    <w:rsid w:val="006F7071"/>
    <w:rsid w:val="00700EB7"/>
    <w:rsid w:val="00702122"/>
    <w:rsid w:val="0070364B"/>
    <w:rsid w:val="0070431C"/>
    <w:rsid w:val="00705D93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E7F38"/>
    <w:rsid w:val="007F12D9"/>
    <w:rsid w:val="007F4FD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57A6"/>
    <w:rsid w:val="00891982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1830"/>
    <w:rsid w:val="008E40A2"/>
    <w:rsid w:val="008F0025"/>
    <w:rsid w:val="008F2243"/>
    <w:rsid w:val="008F2822"/>
    <w:rsid w:val="008F3033"/>
    <w:rsid w:val="008F4826"/>
    <w:rsid w:val="008F4E07"/>
    <w:rsid w:val="008F5B2E"/>
    <w:rsid w:val="008F6D06"/>
    <w:rsid w:val="008F6EF6"/>
    <w:rsid w:val="00904C0F"/>
    <w:rsid w:val="00905DB3"/>
    <w:rsid w:val="00907095"/>
    <w:rsid w:val="009136EE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B62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5F43"/>
    <w:rsid w:val="00966164"/>
    <w:rsid w:val="00966B72"/>
    <w:rsid w:val="00970B47"/>
    <w:rsid w:val="00971752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6AC"/>
    <w:rsid w:val="0099170A"/>
    <w:rsid w:val="0099244B"/>
    <w:rsid w:val="009927A8"/>
    <w:rsid w:val="00995EA9"/>
    <w:rsid w:val="0099745F"/>
    <w:rsid w:val="009A3579"/>
    <w:rsid w:val="009A65DA"/>
    <w:rsid w:val="009B0EB5"/>
    <w:rsid w:val="009B4078"/>
    <w:rsid w:val="009B5D99"/>
    <w:rsid w:val="009B7698"/>
    <w:rsid w:val="009C1F62"/>
    <w:rsid w:val="009C2E20"/>
    <w:rsid w:val="009C3248"/>
    <w:rsid w:val="009C377B"/>
    <w:rsid w:val="009C534E"/>
    <w:rsid w:val="009C61F2"/>
    <w:rsid w:val="009C63AF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4C97"/>
    <w:rsid w:val="00A06452"/>
    <w:rsid w:val="00A1151F"/>
    <w:rsid w:val="00A1281F"/>
    <w:rsid w:val="00A1288F"/>
    <w:rsid w:val="00A12ED3"/>
    <w:rsid w:val="00A1351C"/>
    <w:rsid w:val="00A173F1"/>
    <w:rsid w:val="00A23DFF"/>
    <w:rsid w:val="00A24BDD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EC"/>
    <w:rsid w:val="00AE04F0"/>
    <w:rsid w:val="00AE0B0D"/>
    <w:rsid w:val="00AE176F"/>
    <w:rsid w:val="00AE38A8"/>
    <w:rsid w:val="00AE581D"/>
    <w:rsid w:val="00AF0F9F"/>
    <w:rsid w:val="00AF47C5"/>
    <w:rsid w:val="00AF59EA"/>
    <w:rsid w:val="00AF72A9"/>
    <w:rsid w:val="00AF7A2A"/>
    <w:rsid w:val="00B04196"/>
    <w:rsid w:val="00B04BD0"/>
    <w:rsid w:val="00B07FB2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4D71"/>
    <w:rsid w:val="00D85FEB"/>
    <w:rsid w:val="00D861E8"/>
    <w:rsid w:val="00D9434C"/>
    <w:rsid w:val="00DA145C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B42"/>
    <w:rsid w:val="00E61DC3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90129"/>
    <w:rsid w:val="00E93E09"/>
    <w:rsid w:val="00E9529F"/>
    <w:rsid w:val="00E959BD"/>
    <w:rsid w:val="00E97A14"/>
    <w:rsid w:val="00EA2714"/>
    <w:rsid w:val="00EA27EC"/>
    <w:rsid w:val="00EA422E"/>
    <w:rsid w:val="00EA5B09"/>
    <w:rsid w:val="00EA7368"/>
    <w:rsid w:val="00EB099F"/>
    <w:rsid w:val="00EB1AAA"/>
    <w:rsid w:val="00EB1E71"/>
    <w:rsid w:val="00EB3050"/>
    <w:rsid w:val="00EB4224"/>
    <w:rsid w:val="00EB4BD2"/>
    <w:rsid w:val="00EB54EA"/>
    <w:rsid w:val="00EB57B4"/>
    <w:rsid w:val="00EC1892"/>
    <w:rsid w:val="00EC1E28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2269"/>
    <w:rsid w:val="00F32A3A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2340"/>
    <w:rsid w:val="00F93516"/>
    <w:rsid w:val="00FA0D10"/>
    <w:rsid w:val="00FA1552"/>
    <w:rsid w:val="00FA2211"/>
    <w:rsid w:val="00FB3A57"/>
    <w:rsid w:val="00FB3A58"/>
    <w:rsid w:val="00FB77D0"/>
    <w:rsid w:val="00FC1C0B"/>
    <w:rsid w:val="00FC2AB7"/>
    <w:rsid w:val="00FC372C"/>
    <w:rsid w:val="00FC598B"/>
    <w:rsid w:val="00FC7C01"/>
    <w:rsid w:val="00FD03F6"/>
    <w:rsid w:val="00FD3052"/>
    <w:rsid w:val="00FD3782"/>
    <w:rsid w:val="00FD4715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2435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16773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2025-02-25T11:58:00Z</cp:lastPrinted>
  <dcterms:created xsi:type="dcterms:W3CDTF">2025-04-04T08:34:00Z</dcterms:created>
  <dcterms:modified xsi:type="dcterms:W3CDTF">2025-04-04T08:34:00Z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