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AEAFA" w14:textId="77777777" w:rsidR="00D65585" w:rsidRDefault="00000000">
      <w:pPr>
        <w:pStyle w:val="Nadpis1"/>
        <w:spacing w:after="404" w:line="265" w:lineRule="auto"/>
        <w:ind w:left="389" w:hanging="10"/>
      </w:pPr>
      <w:r>
        <w:rPr>
          <w:sz w:val="30"/>
        </w:rPr>
        <w:t>Smlouva o poskytnutí služby pro zaměstnavatele — Zdraví ve firmě</w:t>
      </w:r>
    </w:p>
    <w:p w14:paraId="3B254852" w14:textId="77777777" w:rsidR="00D65585" w:rsidRDefault="00000000">
      <w:pPr>
        <w:spacing w:after="188"/>
        <w:ind w:right="336"/>
      </w:pPr>
      <w:r>
        <w:t>uzavřená mezi:</w:t>
      </w:r>
    </w:p>
    <w:p w14:paraId="205440EA" w14:textId="77777777" w:rsidR="00D65585" w:rsidRDefault="00000000">
      <w:pPr>
        <w:spacing w:after="213"/>
        <w:ind w:left="341" w:right="2569" w:hanging="336"/>
      </w:pPr>
      <w:r>
        <w:t>Integrované centrum sociálních služeb Jihlava, příspěvková organizace se sídlem: Žižkova 2075/106, 586 01 Jihlava IC: 00400840 zastoupená Ing. Mgr. Alenou Řehořovou, MBA, MSC.</w:t>
      </w:r>
    </w:p>
    <w:p w14:paraId="5B4B23A7" w14:textId="77777777" w:rsidR="00D65585" w:rsidRDefault="00000000">
      <w:pPr>
        <w:spacing w:after="0" w:line="285" w:lineRule="auto"/>
        <w:ind w:left="10" w:right="7150"/>
      </w:pPr>
      <w:r>
        <w:t>(dále jen „odběratel”) a</w:t>
      </w:r>
    </w:p>
    <w:p w14:paraId="6CA3A4EB" w14:textId="77777777" w:rsidR="00D65585" w:rsidRDefault="00000000">
      <w:pPr>
        <w:spacing w:after="3" w:line="259" w:lineRule="auto"/>
        <w:ind w:left="-1" w:right="86" w:firstLine="4"/>
      </w:pPr>
      <w:r>
        <w:rPr>
          <w:sz w:val="24"/>
        </w:rPr>
        <w:t>uLékaře.cz, s.r.o.</w:t>
      </w:r>
    </w:p>
    <w:p w14:paraId="5CFAB0BF" w14:textId="77777777" w:rsidR="00D65585" w:rsidRDefault="00000000">
      <w:pPr>
        <w:spacing w:after="193"/>
        <w:ind w:left="346" w:right="980"/>
      </w:pPr>
      <w:r>
        <w:t>se sídlem: Českomoravská 2408/ la, 190 00 Praha 9 IC: 05341051, DIČ: CZ05341051 zapsaná v obchodním rejstříku vedeném u Městského soudu v Praze pod SP. zn. C 262183 zastoupená Martinem Pospíšilem, jednatelem</w:t>
      </w:r>
    </w:p>
    <w:p w14:paraId="185B8673" w14:textId="77777777" w:rsidR="00D65585" w:rsidRDefault="00000000">
      <w:pPr>
        <w:spacing w:after="184"/>
        <w:ind w:left="67" w:right="336"/>
      </w:pPr>
      <w:r>
        <w:t>(dále jen „dodavatel”)</w:t>
      </w:r>
    </w:p>
    <w:p w14:paraId="0A41B54F" w14:textId="77777777" w:rsidR="00D65585" w:rsidRDefault="00000000">
      <w:pPr>
        <w:spacing w:after="472"/>
        <w:ind w:left="5" w:right="336"/>
      </w:pPr>
      <w:r>
        <w:t xml:space="preserve">Odběratel a dodavatel označeni dále společně též „smluvní strany”" uzavírají níže uvedeného dne tuto smlouvu o poskytnutí zaměstnanecké </w:t>
      </w:r>
      <w:proofErr w:type="gramStart"/>
      <w:r>
        <w:t>služby - Zdraví</w:t>
      </w:r>
      <w:proofErr w:type="gramEnd"/>
      <w:r>
        <w:t xml:space="preserve"> ve firmě (dále jen „smlouva”).</w:t>
      </w:r>
    </w:p>
    <w:p w14:paraId="15D54EC6" w14:textId="77777777" w:rsidR="00D65585" w:rsidRDefault="00000000">
      <w:pPr>
        <w:spacing w:after="3" w:line="259" w:lineRule="auto"/>
        <w:ind w:left="788" w:right="1152" w:hanging="10"/>
        <w:jc w:val="center"/>
      </w:pPr>
      <w:r>
        <w:rPr>
          <w:sz w:val="28"/>
        </w:rPr>
        <w:t>čl. l.</w:t>
      </w:r>
    </w:p>
    <w:p w14:paraId="333BC8D0" w14:textId="77777777" w:rsidR="00D65585" w:rsidRDefault="00000000">
      <w:pPr>
        <w:spacing w:after="2" w:line="259" w:lineRule="auto"/>
        <w:ind w:left="730" w:right="1080" w:hanging="10"/>
        <w:jc w:val="center"/>
      </w:pPr>
      <w:r>
        <w:rPr>
          <w:sz w:val="24"/>
        </w:rPr>
        <w:t>Úvodní ustanovení</w:t>
      </w:r>
    </w:p>
    <w:p w14:paraId="1793A6F6" w14:textId="77777777" w:rsidR="00D65585" w:rsidRDefault="00000000">
      <w:pPr>
        <w:ind w:left="686" w:right="336" w:hanging="331"/>
      </w:pPr>
      <w:r>
        <w:t>1 Odběratel je společností, která má zájem umožnit svým zaměstnancům a trvale spolupracujícím osobám (dále společně jen „zaměstnanci”) užívání služby Zdraví ve firmě.</w:t>
      </w:r>
    </w:p>
    <w:p w14:paraId="1678E537" w14:textId="77777777" w:rsidR="00D65585" w:rsidRDefault="00000000">
      <w:pPr>
        <w:numPr>
          <w:ilvl w:val="0"/>
          <w:numId w:val="1"/>
        </w:numPr>
        <w:spacing w:after="14"/>
        <w:ind w:right="336" w:hanging="341"/>
      </w:pPr>
      <w:r>
        <w:t>Dodavatel je společností provozující webové stránky www.ulekare.cz a mobilní aplikaci uLékaře.cz (dále jen digitální portály), prostřednictvím kterých poskytuje program pro zaměstnavatele Zdraví ve firmě, v jehož rámci zaměstnavatel za účelem zvýšení produktivity práce, snížení nemocnosti a fluktuace zaměstnanců a úspory časového fondu zaměstnanců umožní svým zaměstnancům nonstop využívání služeb dodavatele včetně čerpání příslušných služeb v oblasti zdraví a hradí odměnu dodavatele za poskytování služeb (tj. užívání služby je z pohledu zaměstnance bezplatné).</w:t>
      </w:r>
    </w:p>
    <w:p w14:paraId="36FE2B26" w14:textId="77777777" w:rsidR="00D65585" w:rsidRDefault="00000000">
      <w:pPr>
        <w:numPr>
          <w:ilvl w:val="0"/>
          <w:numId w:val="1"/>
        </w:numPr>
        <w:spacing w:after="357"/>
        <w:ind w:right="336" w:hanging="341"/>
      </w:pPr>
      <w:r>
        <w:t>Služba Zdraví ve firmě umožňuje zaměstnanci využití elektronického formuláře ke kontaktování lékaře či jiného odborníka v oblasti zdraví, a to za účelem získání rychlé a odborné informace k předloženému dotazu, služba je dále blíže popsána v příloze č. 1 této smlouvy (dále jen „služba”).</w:t>
      </w:r>
    </w:p>
    <w:p w14:paraId="4FCA252C" w14:textId="77777777" w:rsidR="00D65585" w:rsidRDefault="00000000">
      <w:pPr>
        <w:spacing w:after="3" w:line="259" w:lineRule="auto"/>
        <w:ind w:left="788" w:right="1186" w:hanging="10"/>
        <w:jc w:val="center"/>
      </w:pPr>
      <w:r>
        <w:rPr>
          <w:sz w:val="28"/>
        </w:rPr>
        <w:t xml:space="preserve">čl. </w:t>
      </w:r>
      <w:proofErr w:type="spellStart"/>
      <w:r>
        <w:rPr>
          <w:sz w:val="28"/>
        </w:rPr>
        <w:t>Il</w:t>
      </w:r>
      <w:proofErr w:type="spellEnd"/>
      <w:r>
        <w:rPr>
          <w:sz w:val="28"/>
        </w:rPr>
        <w:t>.</w:t>
      </w:r>
    </w:p>
    <w:p w14:paraId="1900F70F" w14:textId="77777777" w:rsidR="00D65585" w:rsidRDefault="00000000">
      <w:pPr>
        <w:spacing w:after="0" w:line="259" w:lineRule="auto"/>
        <w:ind w:right="399"/>
        <w:jc w:val="center"/>
      </w:pPr>
      <w:r>
        <w:t>Předmět smlouvy</w:t>
      </w:r>
    </w:p>
    <w:p w14:paraId="5512A768" w14:textId="77777777" w:rsidR="00D65585" w:rsidRDefault="00000000">
      <w:pPr>
        <w:ind w:left="673" w:right="336" w:hanging="327"/>
      </w:pPr>
      <w:proofErr w:type="gramStart"/>
      <w:r>
        <w:t>1 .</w:t>
      </w:r>
      <w:proofErr w:type="gramEnd"/>
      <w:r>
        <w:t xml:space="preserve"> Dodavatel se touto smlouvou zavazuje poskytnout odběrateli nonstop službu (viz příloha 1), a odběratel se zavazuje dodavateli za řádné poskytnutí služby zaplatit.</w:t>
      </w:r>
    </w:p>
    <w:p w14:paraId="47AD1A05" w14:textId="77777777" w:rsidR="00D65585" w:rsidRDefault="00000000">
      <w:pPr>
        <w:numPr>
          <w:ilvl w:val="0"/>
          <w:numId w:val="2"/>
        </w:numPr>
        <w:ind w:right="185" w:hanging="331"/>
      </w:pPr>
      <w:r>
        <w:t xml:space="preserve">Dodavatel se zavazuje bez zbytečného odkladu po uzavření této smlouvy a poskytnutí informace odběratele dle odst. 3 zřídit přístup každému ze zaměstnanců odběratele k využití služby online, který o to prostřednictvím volně dostupného digitálního portálu </w:t>
      </w:r>
      <w:r>
        <w:lastRenderedPageBreak/>
        <w:t>požádá, a zajistit splnění požadavků právních předpisů vč. předpisů v oblasti ochrany osobních údajů pro řádné poskytování služby zaměstnanci jako uživateli služby.</w:t>
      </w:r>
    </w:p>
    <w:p w14:paraId="56CC1878" w14:textId="77777777" w:rsidR="00D65585" w:rsidRDefault="00000000">
      <w:pPr>
        <w:numPr>
          <w:ilvl w:val="0"/>
          <w:numId w:val="2"/>
        </w:numPr>
        <w:spacing w:after="456"/>
        <w:ind w:right="185" w:hanging="331"/>
      </w:pPr>
      <w:r>
        <w:t>Odběratel sdělí dodavateli počet přístupů, které má dodavatel v rámci služby zřídit po uzavření této smlouvy. Odběratel je oprávněn zasláním e-mailu na níže uvedený e-mailový kontaktní údaj dodavatele upravit počet přístupů pro využití služby, a to s účinností od prvního dne následujícího měsíce po doručení takového e-mailu.</w:t>
      </w:r>
    </w:p>
    <w:p w14:paraId="6ED38796" w14:textId="77777777" w:rsidR="00D65585" w:rsidRDefault="00000000">
      <w:pPr>
        <w:spacing w:after="2" w:line="259" w:lineRule="auto"/>
        <w:ind w:left="730" w:right="403" w:hanging="10"/>
        <w:jc w:val="center"/>
      </w:pPr>
      <w:r>
        <w:rPr>
          <w:sz w:val="24"/>
        </w:rPr>
        <w:t xml:space="preserve">čl. </w:t>
      </w:r>
      <w:proofErr w:type="spellStart"/>
      <w:r>
        <w:rPr>
          <w:sz w:val="24"/>
        </w:rPr>
        <w:t>Ill</w:t>
      </w:r>
      <w:proofErr w:type="spellEnd"/>
      <w:r>
        <w:rPr>
          <w:sz w:val="24"/>
        </w:rPr>
        <w:t>.</w:t>
      </w:r>
    </w:p>
    <w:p w14:paraId="44057715" w14:textId="77777777" w:rsidR="00D65585" w:rsidRDefault="00000000">
      <w:pPr>
        <w:spacing w:after="2" w:line="259" w:lineRule="auto"/>
        <w:ind w:left="730" w:right="389" w:hanging="10"/>
        <w:jc w:val="center"/>
      </w:pPr>
      <w:r>
        <w:rPr>
          <w:sz w:val="24"/>
        </w:rPr>
        <w:t>Platební podmínky</w:t>
      </w:r>
    </w:p>
    <w:p w14:paraId="20B6488F" w14:textId="77777777" w:rsidR="00D65585" w:rsidRDefault="00000000">
      <w:pPr>
        <w:spacing w:after="70"/>
        <w:ind w:left="1061" w:right="43" w:hanging="327"/>
      </w:pPr>
      <w:proofErr w:type="gramStart"/>
      <w:r>
        <w:t>1 .</w:t>
      </w:r>
      <w:proofErr w:type="gramEnd"/>
      <w:r>
        <w:t xml:space="preserve"> Smluvní strany se dohodly na odměně za poskytování služby dle této smlouvy ve výši uvedené v příloze č. 2 (dále jen „odměna”). Odběratel bude hradit odměnu měsíčně, a to na základě faktury vystavené dodavatelem. V odměně jsou zohledněny veškeré činnosti a služby dodavatele dle této smlouvy i veškeré jeho náklady vynaložené v souvislosti s plněním smlouvy a poskytováním služeb.</w:t>
      </w:r>
    </w:p>
    <w:p w14:paraId="0C0A46F5" w14:textId="77777777" w:rsidR="00D65585" w:rsidRDefault="00000000">
      <w:pPr>
        <w:numPr>
          <w:ilvl w:val="0"/>
          <w:numId w:val="3"/>
        </w:numPr>
        <w:spacing w:after="134"/>
        <w:ind w:right="38" w:hanging="346"/>
      </w:pPr>
      <w:r>
        <w:t>Dodavatel je povinen v pravidelném měsíčním intervalu vystavit odběrateli fakturu v ujednané výši podle přílohy č. 2 spolu s daní z přidané hodnoty dle platných právních předpisů, a to se splatností 14 (slovy: čtrnáct) dní od doručení odběrateli.</w:t>
      </w:r>
    </w:p>
    <w:p w14:paraId="0150D08B" w14:textId="77777777" w:rsidR="00D65585" w:rsidRDefault="00000000">
      <w:pPr>
        <w:numPr>
          <w:ilvl w:val="0"/>
          <w:numId w:val="3"/>
        </w:numPr>
        <w:spacing w:after="0"/>
        <w:ind w:right="38" w:hanging="346"/>
      </w:pPr>
      <w:r>
        <w:t>Smluvní strany ujednaly, že faktura musí být označena zejména číslem, dále z faktury musí být zřejmé, za jakou službu, na jaké období, na jakou částku, a v jaké měně je vystavena, označení povinného i oprávněného subjektu, místo plnění a její splatnost.</w:t>
      </w:r>
    </w:p>
    <w:p w14:paraId="145D0611" w14:textId="77777777" w:rsidR="00D65585" w:rsidRDefault="00000000">
      <w:pPr>
        <w:numPr>
          <w:ilvl w:val="0"/>
          <w:numId w:val="3"/>
        </w:numPr>
        <w:ind w:right="38" w:hanging="346"/>
      </w:pPr>
      <w:r>
        <w:t>Smluvní strany pro vyloučení všech pochybností uvádějí, že uhrazením se rozumí den připsání peněžních prostředků na účet dodavatele uvedený na příslušné faktuře.</w:t>
      </w:r>
    </w:p>
    <w:p w14:paraId="4FBE7C0A" w14:textId="77777777" w:rsidR="00D65585" w:rsidRDefault="00000000">
      <w:pPr>
        <w:numPr>
          <w:ilvl w:val="0"/>
          <w:numId w:val="3"/>
        </w:numPr>
        <w:spacing w:after="362"/>
        <w:ind w:right="38" w:hanging="346"/>
      </w:pPr>
      <w:r>
        <w:t xml:space="preserve">Dodavatel je oprávněn jednostranně upravit ceny stanovené touto smlouvou vždy s účinností od 1. dubna každého kalendářního roku počínaje rokem 2026 (tedy poprvé za rok 2025), a to o míru inflace vyjádřenou přírůstkem průměrného ročního indexu spotřebitelských cen (dále jen „míra inflace") vyhlášenou Českým statistickým úřadem za předcházející kalendářní rok. Dodavatel je oprávněn zvýšit ceny dle tohoto odstavce pouze v případě, že míra inflace přesáhne 2 % (slovy: dvě procenta). Pro vyloučení pochybností se sjednává, že v případě záporné míry inflace se ceny nesnižují. Zvýšení cen podle tohoto odstavce je platné od okamžiku doručení písemného oznámení Dodavatele o zvýšení ceny Odběrateli. Oznámení musí obsahovat míru inflace, zvýšené ceny a podrobnosti výpočtu zvýšení. Nebude-li oznámení o zvýšení cen doručeno Odběrateli do </w:t>
      </w:r>
      <w:proofErr w:type="gramStart"/>
      <w:r>
        <w:t>31 .</w:t>
      </w:r>
      <w:proofErr w:type="gramEnd"/>
      <w:r>
        <w:t xml:space="preserve"> března kalendářního roku, právo na uplatnění zvýšení ceny v daném kalendářním roce zanikne.</w:t>
      </w:r>
    </w:p>
    <w:p w14:paraId="59A96402" w14:textId="77777777" w:rsidR="00D65585" w:rsidRDefault="00000000">
      <w:pPr>
        <w:spacing w:after="3" w:line="259" w:lineRule="auto"/>
        <w:ind w:left="788" w:right="72" w:hanging="10"/>
        <w:jc w:val="center"/>
      </w:pPr>
      <w:r>
        <w:rPr>
          <w:sz w:val="28"/>
        </w:rPr>
        <w:t>čl. IV.</w:t>
      </w:r>
    </w:p>
    <w:p w14:paraId="526E971D" w14:textId="77777777" w:rsidR="00D65585" w:rsidRDefault="00000000">
      <w:pPr>
        <w:spacing w:after="2" w:line="259" w:lineRule="auto"/>
        <w:ind w:left="730" w:hanging="10"/>
        <w:jc w:val="center"/>
      </w:pPr>
      <w:r>
        <w:rPr>
          <w:sz w:val="24"/>
        </w:rPr>
        <w:t>Důvěrnost informací</w:t>
      </w:r>
    </w:p>
    <w:p w14:paraId="77A80D12" w14:textId="77777777" w:rsidR="00D65585" w:rsidRDefault="00000000">
      <w:pPr>
        <w:spacing w:after="22"/>
        <w:ind w:left="1075" w:right="19" w:hanging="341"/>
      </w:pPr>
      <w:proofErr w:type="gramStart"/>
      <w:r>
        <w:t>1 .</w:t>
      </w:r>
      <w:proofErr w:type="gramEnd"/>
      <w:r>
        <w:t xml:space="preserve"> Smluvní strany sjednaly, že po dobu trvání této smlouvy a následně po období 10 let či delší lhůty, pokud je předvídaná zákonem, zajistí smluvní strana ochranu obdrženým informacím a materiálům, vč. podmínek této smlouvy, jakož i dalším datům, a to jak technického, tak jiného charakteru, které obdrží od druhé smluvní strany nebo se jakkoli jinak dozví v souvislosti s plněním dle této smlouvy (dále jen „důvěrné informace”), a nepředloží či nezpřístupní (ani z nedbalosti) je třetím subjektům, pokud to tato smlouva výslovně nepředpokládá.</w:t>
      </w:r>
    </w:p>
    <w:p w14:paraId="050A6E11" w14:textId="77777777" w:rsidR="00D65585" w:rsidRDefault="00000000">
      <w:pPr>
        <w:numPr>
          <w:ilvl w:val="0"/>
          <w:numId w:val="4"/>
        </w:numPr>
        <w:spacing w:after="9"/>
        <w:ind w:right="14" w:hanging="351"/>
      </w:pPr>
      <w:r>
        <w:lastRenderedPageBreak/>
        <w:t>Smluvní strany umožní přístup k důvěrným informacím dle této smlouvy jen subjektům, které odpovídají za plnění této smlouvy a které rovněž přijaly závazek mlčenlivosti, ať už smluvní či jim vyplývající z právních předpisů.</w:t>
      </w:r>
    </w:p>
    <w:p w14:paraId="7C2D45D5" w14:textId="77777777" w:rsidR="00D65585" w:rsidRDefault="00000000">
      <w:pPr>
        <w:numPr>
          <w:ilvl w:val="0"/>
          <w:numId w:val="4"/>
        </w:numPr>
        <w:spacing w:after="135"/>
        <w:ind w:right="14" w:hanging="351"/>
      </w:pPr>
      <w:r>
        <w:t>Důvěrné informace nezahrnují takové informace, které jsou běžně veřejnosti přístupné.</w:t>
      </w:r>
    </w:p>
    <w:p w14:paraId="6FDCFD67" w14:textId="6C9DFA7D" w:rsidR="00D65585" w:rsidRDefault="00000000">
      <w:pPr>
        <w:numPr>
          <w:ilvl w:val="0"/>
          <w:numId w:val="4"/>
        </w:numPr>
        <w:spacing w:after="331"/>
        <w:ind w:right="14" w:hanging="351"/>
      </w:pPr>
      <w:r>
        <w:t xml:space="preserve">Každá ze smluvních stran je oprávněna předložit důvěrné informace na základě platného příkazu či jiného relevantního dokumentu </w:t>
      </w:r>
      <w:r w:rsidR="009A7965">
        <w:t>soudů</w:t>
      </w:r>
      <w:r>
        <w:t xml:space="preserve"> či úřadů a o takovéto skutečnosti poskytne druhé smluvní straně předchozí písemnou informaci.</w:t>
      </w:r>
    </w:p>
    <w:p w14:paraId="0BF25088" w14:textId="77777777" w:rsidR="00D65585" w:rsidRDefault="00000000">
      <w:pPr>
        <w:spacing w:after="3" w:line="259" w:lineRule="auto"/>
        <w:ind w:left="788" w:hanging="10"/>
        <w:jc w:val="center"/>
      </w:pPr>
      <w:r>
        <w:rPr>
          <w:sz w:val="28"/>
        </w:rPr>
        <w:t>čl. V.</w:t>
      </w:r>
    </w:p>
    <w:p w14:paraId="6A082B79" w14:textId="77777777" w:rsidR="00D65585" w:rsidRDefault="00000000">
      <w:pPr>
        <w:ind w:left="379" w:right="3942" w:firstLine="3294"/>
      </w:pPr>
      <w:r>
        <w:t>Trvání smlouvy 1</w:t>
      </w:r>
      <w:r>
        <w:tab/>
        <w:t>Tato smlouva se uzavírá na dobu neurčitou.</w:t>
      </w:r>
    </w:p>
    <w:p w14:paraId="5678B864" w14:textId="77777777" w:rsidR="00D65585" w:rsidRDefault="00000000">
      <w:pPr>
        <w:numPr>
          <w:ilvl w:val="0"/>
          <w:numId w:val="5"/>
        </w:numPr>
        <w:ind w:right="336" w:hanging="346"/>
      </w:pPr>
      <w:r>
        <w:t>Smluvní strany ujednaly, že každá ze smluvních stran je oprávněna vypovědět tuto smlouvu bez udání důvodu. Smluvní strana je povinna zaslat písemnou výpověď druhé smluvní straně na adresu dle kontaktních údajů příslušné smluvní strany dle čl. VIII. této smlouvy. Výpovědní doba činí tři měsíce, počíná běžet prvním dnem měsíce následujícího po doručení písemné výpovědi.</w:t>
      </w:r>
    </w:p>
    <w:p w14:paraId="7046C2B2" w14:textId="77777777" w:rsidR="00D65585" w:rsidRDefault="00000000">
      <w:pPr>
        <w:numPr>
          <w:ilvl w:val="0"/>
          <w:numId w:val="5"/>
        </w:numPr>
        <w:ind w:right="336" w:hanging="346"/>
      </w:pPr>
      <w:r>
        <w:t>Smluvní strany ujednaly, že každá ze smluvních stran je oprávněna písemně odstoupit od smlouvy v případně zvlášť závažného porušení povinnosti druhou stranou vyplývající z této smlouvy. Pro vyloučení všech pochybností smluvní strany uvádějí, že za závažné porušení se pro účely odstoupení považuje mimo jiné:</w:t>
      </w:r>
    </w:p>
    <w:p w14:paraId="65A815DB" w14:textId="77777777" w:rsidR="00D65585" w:rsidRDefault="00000000">
      <w:pPr>
        <w:numPr>
          <w:ilvl w:val="1"/>
          <w:numId w:val="5"/>
        </w:numPr>
        <w:spacing w:after="69"/>
        <w:ind w:right="336" w:hanging="346"/>
      </w:pPr>
      <w:r>
        <w:t>porušení jakékoli povinnosti dle této smlouvy, pokud toto porušení trvá, resp. nedojde k nápravě ze strany povinné strany ani do 7 dnů od doručení písemného upozornění druhé strany na porušení povinnosti</w:t>
      </w:r>
    </w:p>
    <w:p w14:paraId="7C5B61AD" w14:textId="77777777" w:rsidR="00D65585" w:rsidRDefault="00000000">
      <w:pPr>
        <w:numPr>
          <w:ilvl w:val="1"/>
          <w:numId w:val="5"/>
        </w:numPr>
        <w:ind w:right="336" w:hanging="346"/>
      </w:pPr>
      <w:r>
        <w:t>zmaření účelu této smlouvy druhou stranou.</w:t>
      </w:r>
    </w:p>
    <w:p w14:paraId="58BF11FF" w14:textId="77777777" w:rsidR="00D65585" w:rsidRDefault="00000000">
      <w:pPr>
        <w:ind w:left="734" w:right="336"/>
      </w:pPr>
      <w:r>
        <w:t>Dojde-li k odstoupení v průběhu trvání smlouvy, má takové odstoupení účinky pouze ve vztahu k budoucím plněním.</w:t>
      </w:r>
    </w:p>
    <w:p w14:paraId="3522500F" w14:textId="77777777" w:rsidR="00D65585" w:rsidRDefault="00000000">
      <w:pPr>
        <w:numPr>
          <w:ilvl w:val="0"/>
          <w:numId w:val="5"/>
        </w:numPr>
        <w:spacing w:after="356"/>
        <w:ind w:right="336" w:hanging="346"/>
      </w:pPr>
      <w:r>
        <w:t>Dojde-li k ukončení smlouvy, zavazují se strany neprodleně informovat zaměstnance (dodavatel prostřednictvím digitálních portálů). Dodavatel prohlašuje, že ukončení smlouvy s odběratelem se nedotkne existence účtů zaměstnanců na digitálních portálech, tzn. zaměstnancům zůstane zachována jejich registrace a jejich účet včetně přístupu k jejich datům, a nedotkne se tedy ani povinností dodavatele jako správce osobních údajů zaměstnanců. Nedohodnou-li se zaměstnanci s dodavatelem na uzavření smlouvy o poskytování služeb na vlastní účet, pozbydou ukončením smlouvy mezi dodavatelem a odběratelem oprávnění čerpat služby, klást dotazy atp.</w:t>
      </w:r>
    </w:p>
    <w:p w14:paraId="006622EC" w14:textId="77777777" w:rsidR="00D65585" w:rsidRDefault="00000000">
      <w:pPr>
        <w:spacing w:after="3" w:line="259" w:lineRule="auto"/>
        <w:ind w:left="788" w:right="1104" w:hanging="10"/>
        <w:jc w:val="center"/>
      </w:pPr>
      <w:r>
        <w:rPr>
          <w:sz w:val="28"/>
        </w:rPr>
        <w:t xml:space="preserve">čl. </w:t>
      </w:r>
      <w:proofErr w:type="spellStart"/>
      <w:r>
        <w:rPr>
          <w:sz w:val="28"/>
        </w:rPr>
        <w:t>Vl</w:t>
      </w:r>
      <w:proofErr w:type="spellEnd"/>
      <w:r>
        <w:rPr>
          <w:sz w:val="28"/>
        </w:rPr>
        <w:t>.</w:t>
      </w:r>
    </w:p>
    <w:p w14:paraId="6956788C" w14:textId="77777777" w:rsidR="00D65585" w:rsidRDefault="00000000">
      <w:pPr>
        <w:spacing w:after="2" w:line="259" w:lineRule="auto"/>
        <w:ind w:left="730" w:right="1032" w:hanging="10"/>
        <w:jc w:val="center"/>
      </w:pPr>
      <w:r>
        <w:rPr>
          <w:sz w:val="24"/>
        </w:rPr>
        <w:t>Podmínky užití služby</w:t>
      </w:r>
    </w:p>
    <w:p w14:paraId="355B7145" w14:textId="77777777" w:rsidR="00D65585" w:rsidRDefault="00000000">
      <w:pPr>
        <w:tabs>
          <w:tab w:val="center" w:pos="413"/>
          <w:tab w:val="center" w:pos="4425"/>
        </w:tabs>
        <w:spacing w:after="47"/>
        <w:jc w:val="left"/>
      </w:pPr>
      <w:r>
        <w:tab/>
        <w:t>1</w:t>
      </w:r>
      <w:r>
        <w:tab/>
        <w:t>Smluvní strany uvádějí, že mezi sebou projednaly okolnosti užití služby a její funkčnost.</w:t>
      </w:r>
    </w:p>
    <w:p w14:paraId="10154733" w14:textId="77777777" w:rsidR="00D65585" w:rsidRDefault="00000000">
      <w:pPr>
        <w:spacing w:after="361"/>
        <w:ind w:left="706" w:right="336" w:hanging="327"/>
      </w:pPr>
      <w:r>
        <w:t xml:space="preserve">2. Smluvní strany uvádějí, že jednotliví uživatelé služby se mohou seznámit s Podmínkami užití služby na internetové adrese www.ulekare.cz, o čemž se dodavatel zavazuje zaměstnance před zřízením jejich účtu informovat a vyžádat si jejich souhlas. Dodavatel bude nakládat s osobními údaji zaměstnanců v postavení správce, přičemž je povinen postupovat v souladu se Zásadami zpracování osobních údajů, které jsou k dispozici na internetové adrese </w:t>
      </w:r>
      <w:r>
        <w:rPr>
          <w:u w:val="single" w:color="000000"/>
        </w:rPr>
        <w:t>www.ulekare.cz</w:t>
      </w:r>
      <w:r>
        <w:t xml:space="preserve">, a dodržovat veškeré povinnosti vyplývající z právních předpisů v oblasti </w:t>
      </w:r>
      <w:r>
        <w:lastRenderedPageBreak/>
        <w:t>ochrany osobních údajů a nakládání s nimi (včetně obstarání si souhlasů se zpracováním, bude-li to nezbytné).</w:t>
      </w:r>
    </w:p>
    <w:p w14:paraId="1B592EEB" w14:textId="77777777" w:rsidR="00D65585" w:rsidRDefault="00000000">
      <w:pPr>
        <w:spacing w:after="2" w:line="259" w:lineRule="auto"/>
        <w:ind w:left="730" w:right="1080" w:hanging="10"/>
        <w:jc w:val="center"/>
      </w:pPr>
      <w:r>
        <w:rPr>
          <w:sz w:val="24"/>
        </w:rPr>
        <w:t>čl. VII.</w:t>
      </w:r>
    </w:p>
    <w:p w14:paraId="4769BA79" w14:textId="77777777" w:rsidR="00D65585" w:rsidRDefault="00000000">
      <w:pPr>
        <w:spacing w:after="2" w:line="259" w:lineRule="auto"/>
        <w:ind w:left="730" w:right="1071" w:hanging="10"/>
        <w:jc w:val="center"/>
      </w:pPr>
      <w:r>
        <w:rPr>
          <w:sz w:val="24"/>
        </w:rPr>
        <w:t>Prohlášení o odpovědnosti</w:t>
      </w:r>
    </w:p>
    <w:p w14:paraId="3E238A46" w14:textId="77777777" w:rsidR="00D65585" w:rsidRDefault="00000000">
      <w:pPr>
        <w:ind w:left="375" w:right="336"/>
      </w:pPr>
      <w:proofErr w:type="gramStart"/>
      <w:r>
        <w:t>1 .</w:t>
      </w:r>
      <w:proofErr w:type="gramEnd"/>
      <w:r>
        <w:t xml:space="preserve"> Pro účel této smlouvy je výslovně sjednáno, že:</w:t>
      </w:r>
    </w:p>
    <w:p w14:paraId="747C82DB" w14:textId="77777777" w:rsidR="00D65585" w:rsidRDefault="00000000">
      <w:pPr>
        <w:numPr>
          <w:ilvl w:val="0"/>
          <w:numId w:val="6"/>
        </w:numPr>
        <w:ind w:right="223" w:hanging="341"/>
      </w:pPr>
      <w:r>
        <w:t>odběratel tímto sjednává poskytnutí služby Zdraví ve firmě ve prospěch svých zaměstnanců, čímž však nepřebírá žádnou odpovědnost za obsah a průběh služby vůči svým zaměstnancům;</w:t>
      </w:r>
    </w:p>
    <w:p w14:paraId="67B50D2F" w14:textId="77777777" w:rsidR="00D65585" w:rsidRDefault="00000000">
      <w:pPr>
        <w:numPr>
          <w:ilvl w:val="0"/>
          <w:numId w:val="6"/>
        </w:numPr>
        <w:spacing w:after="115"/>
        <w:ind w:right="223" w:hanging="341"/>
      </w:pPr>
      <w:r>
        <w:t>registrace zaměstnanců odběratele do digitálních portálů a užívání služeb je zcela na svobodné vůli zaměstnanců;</w:t>
      </w:r>
    </w:p>
    <w:p w14:paraId="27C7A735" w14:textId="77777777" w:rsidR="00D65585" w:rsidRDefault="00000000">
      <w:pPr>
        <w:numPr>
          <w:ilvl w:val="0"/>
          <w:numId w:val="6"/>
        </w:numPr>
        <w:spacing w:after="36"/>
        <w:ind w:right="223" w:hanging="341"/>
      </w:pPr>
      <w:r>
        <w:t>odběratel neodpovídá svým zaměstnancům za obsah a průběh služby, registrací zaměstnance na digitálním portálu vzniká vztah mezi zaměstnancem (jako uživatelem) a dodavatelem, resp. mezi konzultujícím lékařem či jiným odborníkem zprostředkovaným dodavatelem a zaměstnancem (jako uživatelem), a smluvní strany považují za nesporné, že odběratel vynaložil veškerou náležitou péči pro vyloučení jakékoliv své odpovědnosti za obsah a průběh služby vůči svým zaměstnancům;</w:t>
      </w:r>
    </w:p>
    <w:p w14:paraId="31665BA5" w14:textId="77777777" w:rsidR="00D65585" w:rsidRDefault="00000000">
      <w:pPr>
        <w:numPr>
          <w:ilvl w:val="0"/>
          <w:numId w:val="6"/>
        </w:numPr>
        <w:ind w:right="223" w:hanging="341"/>
      </w:pPr>
      <w:r>
        <w:t>dodavatel prohlašuje, že je zprostředkovatelem lékařské rady, přičemž je povinen zajistit a odpovídá za to, že lékařskou radu poskytuje výhradně osoba k tomu způsobilá dle platných právních předpisů České republiky;</w:t>
      </w:r>
    </w:p>
    <w:p w14:paraId="3ED6960B" w14:textId="77777777" w:rsidR="00D65585" w:rsidRDefault="00000000">
      <w:pPr>
        <w:numPr>
          <w:ilvl w:val="0"/>
          <w:numId w:val="6"/>
        </w:numPr>
        <w:spacing w:after="51"/>
        <w:ind w:right="223" w:hanging="341"/>
      </w:pPr>
      <w:r>
        <w:t>dodavatel je povinen zajistit nepřetržitý provoz digitálních platforem a řádné poskytování služeb uživatelům (zaměstnancům odběratele) jejich prostřednictvím; tím není dotčeno oprávnění dodavatele provádět nezbytné časově omezené odstávky za účelem technických úprav nebo za jakýmkoliv jiným účelem po předchozím oznámení s uvedením předpokládané doby trvání takové nezbytné odstávky;</w:t>
      </w:r>
    </w:p>
    <w:p w14:paraId="4946FA50" w14:textId="77777777" w:rsidR="00D65585" w:rsidRDefault="00000000">
      <w:pPr>
        <w:numPr>
          <w:ilvl w:val="0"/>
          <w:numId w:val="6"/>
        </w:numPr>
        <w:spacing w:after="50"/>
        <w:ind w:right="223" w:hanging="341"/>
      </w:pPr>
      <w:r>
        <w:t>dodavatel je oprávněn k uzavření této smlouvy a k plnění sjednaných závazků a k tomuto účelu má veškeré potřebné souhlasy a povolení. Dodavatel disponuje dostatečnými personálními i finančními kapacitami nezbytnými pro řádné plnění smlouvy a poskytnutí služby.</w:t>
      </w:r>
    </w:p>
    <w:p w14:paraId="42FDB27E" w14:textId="77777777" w:rsidR="00D65585" w:rsidRDefault="00000000">
      <w:pPr>
        <w:spacing w:after="2" w:line="259" w:lineRule="auto"/>
        <w:ind w:left="730" w:right="504" w:hanging="10"/>
        <w:jc w:val="center"/>
      </w:pPr>
      <w:r>
        <w:rPr>
          <w:sz w:val="24"/>
        </w:rPr>
        <w:t>čl. Vlil.</w:t>
      </w:r>
    </w:p>
    <w:p w14:paraId="19B5670A" w14:textId="77777777" w:rsidR="00D65585" w:rsidRDefault="00000000">
      <w:pPr>
        <w:spacing w:after="2" w:line="259" w:lineRule="auto"/>
        <w:ind w:left="730" w:right="504" w:hanging="10"/>
        <w:jc w:val="center"/>
      </w:pPr>
      <w:r>
        <w:rPr>
          <w:sz w:val="24"/>
        </w:rPr>
        <w:t>Závěrečná ujednání</w:t>
      </w:r>
    </w:p>
    <w:p w14:paraId="5F3EA740" w14:textId="77777777" w:rsidR="00D65585" w:rsidRDefault="00000000">
      <w:pPr>
        <w:spacing w:after="65"/>
        <w:ind w:left="1008" w:right="91" w:hanging="341"/>
      </w:pPr>
      <w:proofErr w:type="gramStart"/>
      <w:r>
        <w:t>1 .</w:t>
      </w:r>
      <w:proofErr w:type="gramEnd"/>
      <w:r>
        <w:t xml:space="preserve"> Smluvní strany uvádějí, že kontaktní údaje odběratele pro účely této smlouvy jsou: Integrované centrum sociálních služeb, příspěvková organizace, adresa: Žižkova 2075/106, 586 01 Jihlava a e-mail</w:t>
      </w:r>
      <w:r w:rsidRPr="009A7965">
        <w:rPr>
          <w:highlight w:val="black"/>
        </w:rPr>
        <w:t>: sekretariat@icss.cz</w:t>
      </w:r>
      <w:r>
        <w:t xml:space="preserve"> a e-mail pro zasílání elektronické fakturace je: </w:t>
      </w:r>
      <w:r w:rsidRPr="009A7965">
        <w:rPr>
          <w:highlight w:val="black"/>
        </w:rPr>
        <w:t>ekonom@icss.cz</w:t>
      </w:r>
    </w:p>
    <w:p w14:paraId="01A31A12" w14:textId="77777777" w:rsidR="00D65585" w:rsidRPr="009A7965" w:rsidRDefault="00000000">
      <w:pPr>
        <w:numPr>
          <w:ilvl w:val="0"/>
          <w:numId w:val="7"/>
        </w:numPr>
        <w:spacing w:after="35"/>
        <w:ind w:right="53" w:hanging="341"/>
        <w:rPr>
          <w:highlight w:val="black"/>
        </w:rPr>
      </w:pPr>
      <w:r>
        <w:t xml:space="preserve">Smluvní strany uvádějí, že kontaktní údaje dodavatele pro účely této smlouvy jsou. Adresa: Českomoravská 2408/la, Praha 9, 190 00 a e-mail: </w:t>
      </w:r>
      <w:r w:rsidRPr="009A7965">
        <w:rPr>
          <w:highlight w:val="black"/>
          <w:u w:val="single" w:color="000000"/>
        </w:rPr>
        <w:t>partner@ulekare.cz</w:t>
      </w:r>
    </w:p>
    <w:p w14:paraId="692BD384" w14:textId="77777777" w:rsidR="00D65585" w:rsidRDefault="00000000">
      <w:pPr>
        <w:numPr>
          <w:ilvl w:val="0"/>
          <w:numId w:val="7"/>
        </w:numPr>
        <w:ind w:right="53" w:hanging="341"/>
      </w:pPr>
      <w:r>
        <w:t>Tato smlouva nabývá platnosti dnem: 10.4.2025.V případě, že tato smlouva podléhá povinnosti uveřejnění v registru smluv dle zákona č. 340/2015 Sb. O registru smluv, ve znění pozdějších předpisů, nastává účinnost této smlouvy až jejím uveřejněním. Uveřejnění smlouvy zajistí kupující na své náklady neprodleně po jejím uzavření.</w:t>
      </w:r>
    </w:p>
    <w:p w14:paraId="515E6AE3" w14:textId="77777777" w:rsidR="00D65585" w:rsidRDefault="00000000">
      <w:pPr>
        <w:numPr>
          <w:ilvl w:val="0"/>
          <w:numId w:val="7"/>
        </w:numPr>
        <w:ind w:right="53" w:hanging="341"/>
      </w:pPr>
      <w:r>
        <w:t>Tato smlouva se řídí právním řádem České republiky.</w:t>
      </w:r>
    </w:p>
    <w:p w14:paraId="2E37560A" w14:textId="77777777" w:rsidR="00D65585" w:rsidRDefault="00000000">
      <w:pPr>
        <w:numPr>
          <w:ilvl w:val="0"/>
          <w:numId w:val="7"/>
        </w:numPr>
        <w:ind w:right="53" w:hanging="341"/>
      </w:pPr>
      <w:r>
        <w:lastRenderedPageBreak/>
        <w:t>Spory vzniklé na základě této smlouvy budou řešeny před českými soudy.</w:t>
      </w:r>
    </w:p>
    <w:p w14:paraId="1BEC93BA" w14:textId="77777777" w:rsidR="00D65585" w:rsidRDefault="00000000">
      <w:pPr>
        <w:numPr>
          <w:ilvl w:val="0"/>
          <w:numId w:val="7"/>
        </w:numPr>
        <w:ind w:right="53" w:hanging="341"/>
      </w:pPr>
      <w:r>
        <w:t>Smluvní strany ujednaly, že tuto smlouvu lze měnit pouze písemnými číslovanými dodatky podepsanými oběma smluvními stranami.</w:t>
      </w:r>
    </w:p>
    <w:p w14:paraId="5DEC1518" w14:textId="77777777" w:rsidR="00D65585" w:rsidRDefault="00000000">
      <w:pPr>
        <w:numPr>
          <w:ilvl w:val="0"/>
          <w:numId w:val="7"/>
        </w:numPr>
        <w:ind w:right="53" w:hanging="341"/>
      </w:pPr>
      <w:r>
        <w:t>Tato smlouva je vyhotovena ve dvou stejnopisech s platností originálu, kdy každá ze smluvních stran obdrží po jednom vyhotovení.</w:t>
      </w:r>
    </w:p>
    <w:p w14:paraId="44F22158" w14:textId="77777777" w:rsidR="00D65585" w:rsidRDefault="00000000">
      <w:pPr>
        <w:numPr>
          <w:ilvl w:val="0"/>
          <w:numId w:val="7"/>
        </w:numPr>
        <w:ind w:right="53" w:hanging="341"/>
      </w:pPr>
      <w:r>
        <w:t>Smluvní strany prohlašují, že si tuto smlouvu řádně přečetly, s jejím obsahem souhlasí, byla uzavřena po vzájemném projednání, neuzavírají ji v tísni ani za nápadně nevýhodných podmínek a svým podpisem stvrzují svou svobodnou a pravou vůli být ustanoveními této</w:t>
      </w:r>
    </w:p>
    <w:p w14:paraId="17F60ED4" w14:textId="77777777" w:rsidR="00D65585" w:rsidRDefault="00D65585">
      <w:pPr>
        <w:sectPr w:rsidR="00D65585">
          <w:pgSz w:w="11563" w:h="16488"/>
          <w:pgMar w:top="1914" w:right="1176" w:bottom="2062" w:left="1306" w:header="708" w:footer="708" w:gutter="0"/>
          <w:cols w:space="708"/>
        </w:sectPr>
      </w:pPr>
    </w:p>
    <w:p w14:paraId="55A39708" w14:textId="77777777" w:rsidR="00D65585" w:rsidRDefault="00000000">
      <w:pPr>
        <w:spacing w:after="306"/>
        <w:ind w:left="734" w:right="336"/>
      </w:pPr>
      <w:r>
        <w:t>smlouvy vázáni.</w:t>
      </w:r>
    </w:p>
    <w:p w14:paraId="7FE5FAB3" w14:textId="77777777" w:rsidR="00D65585" w:rsidRDefault="00000000">
      <w:pPr>
        <w:spacing w:after="44" w:line="259" w:lineRule="auto"/>
        <w:ind w:left="-1" w:right="86" w:firstLine="4"/>
      </w:pPr>
      <w:r>
        <w:rPr>
          <w:sz w:val="24"/>
        </w:rPr>
        <w:t>V Praze dne</w:t>
      </w:r>
      <w:r>
        <w:rPr>
          <w:noProof/>
        </w:rPr>
        <w:drawing>
          <wp:inline distT="0" distB="0" distL="0" distR="0" wp14:anchorId="718F3A2F" wp14:editId="1EB80FA4">
            <wp:extent cx="463488" cy="24385"/>
            <wp:effectExtent l="0" t="0" r="0" b="0"/>
            <wp:docPr id="42886" name="Picture 42886"/>
            <wp:cNvGraphicFramePr/>
            <a:graphic xmlns:a="http://schemas.openxmlformats.org/drawingml/2006/main">
              <a:graphicData uri="http://schemas.openxmlformats.org/drawingml/2006/picture">
                <pic:pic xmlns:pic="http://schemas.openxmlformats.org/drawingml/2006/picture">
                  <pic:nvPicPr>
                    <pic:cNvPr id="42886" name="Picture 42886"/>
                    <pic:cNvPicPr/>
                  </pic:nvPicPr>
                  <pic:blipFill>
                    <a:blip r:embed="rId5"/>
                    <a:stretch>
                      <a:fillRect/>
                    </a:stretch>
                  </pic:blipFill>
                  <pic:spPr>
                    <a:xfrm>
                      <a:off x="0" y="0"/>
                      <a:ext cx="463488" cy="24385"/>
                    </a:xfrm>
                    <a:prstGeom prst="rect">
                      <a:avLst/>
                    </a:prstGeom>
                  </pic:spPr>
                </pic:pic>
              </a:graphicData>
            </a:graphic>
          </wp:inline>
        </w:drawing>
      </w:r>
    </w:p>
    <w:p w14:paraId="34CF9B57" w14:textId="77777777" w:rsidR="00D65585" w:rsidRDefault="00000000" w:rsidP="000C3948">
      <w:pPr>
        <w:spacing w:after="23" w:line="259" w:lineRule="auto"/>
        <w:jc w:val="left"/>
      </w:pPr>
      <w:proofErr w:type="spellStart"/>
      <w:r>
        <w:rPr>
          <w:sz w:val="14"/>
        </w:rPr>
        <w:t>Digitally</w:t>
      </w:r>
      <w:proofErr w:type="spellEnd"/>
      <w:r>
        <w:rPr>
          <w:sz w:val="14"/>
        </w:rPr>
        <w:t xml:space="preserve"> </w:t>
      </w:r>
      <w:proofErr w:type="spellStart"/>
      <w:r>
        <w:rPr>
          <w:sz w:val="14"/>
        </w:rPr>
        <w:t>signed</w:t>
      </w:r>
      <w:proofErr w:type="spellEnd"/>
      <w:r>
        <w:rPr>
          <w:sz w:val="14"/>
        </w:rPr>
        <w:t xml:space="preserve"> by Martin</w:t>
      </w:r>
    </w:p>
    <w:p w14:paraId="1B872B41" w14:textId="77777777" w:rsidR="00D65585" w:rsidRDefault="00000000">
      <w:pPr>
        <w:pStyle w:val="Nadpis1"/>
      </w:pPr>
      <w:r>
        <w:t>Martin Pospíšil</w:t>
      </w:r>
      <w:r>
        <w:rPr>
          <w:noProof/>
        </w:rPr>
        <w:drawing>
          <wp:inline distT="0" distB="0" distL="0" distR="0" wp14:anchorId="163CD614" wp14:editId="36ED8C64">
            <wp:extent cx="259188" cy="76200"/>
            <wp:effectExtent l="0" t="0" r="0" b="0"/>
            <wp:docPr id="42888" name="Picture 42888"/>
            <wp:cNvGraphicFramePr/>
            <a:graphic xmlns:a="http://schemas.openxmlformats.org/drawingml/2006/main">
              <a:graphicData uri="http://schemas.openxmlformats.org/drawingml/2006/picture">
                <pic:pic xmlns:pic="http://schemas.openxmlformats.org/drawingml/2006/picture">
                  <pic:nvPicPr>
                    <pic:cNvPr id="42888" name="Picture 42888"/>
                    <pic:cNvPicPr/>
                  </pic:nvPicPr>
                  <pic:blipFill>
                    <a:blip r:embed="rId6"/>
                    <a:stretch>
                      <a:fillRect/>
                    </a:stretch>
                  </pic:blipFill>
                  <pic:spPr>
                    <a:xfrm>
                      <a:off x="0" y="0"/>
                      <a:ext cx="259188" cy="76200"/>
                    </a:xfrm>
                    <a:prstGeom prst="rect">
                      <a:avLst/>
                    </a:prstGeom>
                  </pic:spPr>
                </pic:pic>
              </a:graphicData>
            </a:graphic>
          </wp:inline>
        </w:drawing>
      </w:r>
    </w:p>
    <w:p w14:paraId="2B931D81" w14:textId="77777777" w:rsidR="00D65585" w:rsidRDefault="00000000" w:rsidP="000C3948">
      <w:pPr>
        <w:spacing w:after="0" w:line="259" w:lineRule="auto"/>
      </w:pPr>
      <w:proofErr w:type="spellStart"/>
      <w:r>
        <w:rPr>
          <w:sz w:val="14"/>
        </w:rPr>
        <w:t>Date</w:t>
      </w:r>
      <w:proofErr w:type="spellEnd"/>
      <w:r>
        <w:rPr>
          <w:sz w:val="14"/>
        </w:rPr>
        <w:t>: 2025.04.03 10:32:41 +0200'</w:t>
      </w:r>
    </w:p>
    <w:p w14:paraId="45DF9CE1" w14:textId="77777777" w:rsidR="00D65585" w:rsidRDefault="00000000">
      <w:pPr>
        <w:spacing w:after="235" w:line="259" w:lineRule="auto"/>
        <w:ind w:left="14"/>
        <w:jc w:val="left"/>
      </w:pPr>
      <w:r>
        <w:rPr>
          <w:noProof/>
        </w:rPr>
        <mc:AlternateContent>
          <mc:Choice Requires="wpg">
            <w:drawing>
              <wp:inline distT="0" distB="0" distL="0" distR="0" wp14:anchorId="522FAAF9" wp14:editId="09BEF9B6">
                <wp:extent cx="2369280" cy="12192"/>
                <wp:effectExtent l="0" t="0" r="0" b="0"/>
                <wp:docPr id="42893" name="Group 42893"/>
                <wp:cNvGraphicFramePr/>
                <a:graphic xmlns:a="http://schemas.openxmlformats.org/drawingml/2006/main">
                  <a:graphicData uri="http://schemas.microsoft.com/office/word/2010/wordprocessingGroup">
                    <wpg:wgp>
                      <wpg:cNvGrpSpPr/>
                      <wpg:grpSpPr>
                        <a:xfrm>
                          <a:off x="0" y="0"/>
                          <a:ext cx="2369280" cy="12192"/>
                          <a:chOff x="0" y="0"/>
                          <a:chExt cx="2369280" cy="12192"/>
                        </a:xfrm>
                      </wpg:grpSpPr>
                      <wps:wsp>
                        <wps:cNvPr id="42892" name="Shape 42892"/>
                        <wps:cNvSpPr/>
                        <wps:spPr>
                          <a:xfrm>
                            <a:off x="0" y="0"/>
                            <a:ext cx="2369280" cy="12192"/>
                          </a:xfrm>
                          <a:custGeom>
                            <a:avLst/>
                            <a:gdLst/>
                            <a:ahLst/>
                            <a:cxnLst/>
                            <a:rect l="0" t="0" r="0" b="0"/>
                            <a:pathLst>
                              <a:path w="2369280" h="12192">
                                <a:moveTo>
                                  <a:pt x="0" y="6096"/>
                                </a:moveTo>
                                <a:lnTo>
                                  <a:pt x="2369280" y="6096"/>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2893" style="width:186.557pt;height:0.959961pt;mso-position-horizontal-relative:char;mso-position-vertical-relative:line" coordsize="23692,121">
                <v:shape id="Shape 42892" style="position:absolute;width:23692;height:121;left:0;top:0;" coordsize="2369280,12192" path="m0,6096l2369280,6096">
                  <v:stroke weight="0.959961pt" endcap="flat" joinstyle="miter" miterlimit="1" on="true" color="#000000"/>
                  <v:fill on="false" color="#000000"/>
                </v:shape>
              </v:group>
            </w:pict>
          </mc:Fallback>
        </mc:AlternateContent>
      </w:r>
    </w:p>
    <w:p w14:paraId="2E92345D" w14:textId="77777777" w:rsidR="00D65585" w:rsidRDefault="00000000">
      <w:pPr>
        <w:spacing w:after="3" w:line="259" w:lineRule="auto"/>
        <w:ind w:left="-1" w:right="86" w:firstLine="4"/>
      </w:pPr>
      <w:r>
        <w:rPr>
          <w:sz w:val="24"/>
        </w:rPr>
        <w:t>uLékaře.cz, s.r.o.</w:t>
      </w:r>
    </w:p>
    <w:p w14:paraId="39EF9858" w14:textId="77777777" w:rsidR="00D65585" w:rsidRDefault="00000000">
      <w:pPr>
        <w:ind w:left="29"/>
      </w:pPr>
      <w:r>
        <w:t>zastoupená Martinem Pospíšilem, jednatelem</w:t>
      </w:r>
    </w:p>
    <w:p w14:paraId="37B44987" w14:textId="03E98204" w:rsidR="00D65585" w:rsidRDefault="00000000">
      <w:pPr>
        <w:spacing w:after="0" w:line="259" w:lineRule="auto"/>
        <w:jc w:val="left"/>
      </w:pPr>
      <w:r>
        <w:rPr>
          <w:sz w:val="18"/>
        </w:rPr>
        <w:t xml:space="preserve"> Digitálně</w:t>
      </w:r>
      <w:r w:rsidR="00CE5DA1">
        <w:rPr>
          <w:sz w:val="18"/>
        </w:rPr>
        <w:t xml:space="preserve"> </w:t>
      </w:r>
      <w:r>
        <w:rPr>
          <w:sz w:val="18"/>
        </w:rPr>
        <w:t xml:space="preserve">podepsal </w:t>
      </w:r>
      <w:r w:rsidR="00CE5DA1">
        <w:rPr>
          <w:sz w:val="18"/>
        </w:rPr>
        <w:t xml:space="preserve">       </w:t>
      </w:r>
      <w:r>
        <w:rPr>
          <w:sz w:val="18"/>
        </w:rPr>
        <w:t>Ing. Mgr.</w:t>
      </w:r>
      <w:r w:rsidR="00CE5DA1">
        <w:rPr>
          <w:sz w:val="18"/>
        </w:rPr>
        <w:t xml:space="preserve"> Alena Řehořová</w:t>
      </w:r>
    </w:p>
    <w:p w14:paraId="1A75868E" w14:textId="77777777" w:rsidR="00D65585" w:rsidRDefault="00000000">
      <w:pPr>
        <w:spacing w:after="0" w:line="259" w:lineRule="auto"/>
        <w:ind w:left="3294"/>
        <w:jc w:val="left"/>
      </w:pPr>
      <w:r>
        <w:rPr>
          <w:noProof/>
        </w:rPr>
        <w:drawing>
          <wp:inline distT="0" distB="0" distL="0" distR="0" wp14:anchorId="7E7E7A21" wp14:editId="55203AF9">
            <wp:extent cx="338469" cy="73152"/>
            <wp:effectExtent l="0" t="0" r="0" b="0"/>
            <wp:docPr id="42890" name="Picture 42890"/>
            <wp:cNvGraphicFramePr/>
            <a:graphic xmlns:a="http://schemas.openxmlformats.org/drawingml/2006/main">
              <a:graphicData uri="http://schemas.openxmlformats.org/drawingml/2006/picture">
                <pic:pic xmlns:pic="http://schemas.openxmlformats.org/drawingml/2006/picture">
                  <pic:nvPicPr>
                    <pic:cNvPr id="42890" name="Picture 42890"/>
                    <pic:cNvPicPr/>
                  </pic:nvPicPr>
                  <pic:blipFill>
                    <a:blip r:embed="rId7"/>
                    <a:stretch>
                      <a:fillRect/>
                    </a:stretch>
                  </pic:blipFill>
                  <pic:spPr>
                    <a:xfrm>
                      <a:off x="0" y="0"/>
                      <a:ext cx="338469" cy="73152"/>
                    </a:xfrm>
                    <a:prstGeom prst="rect">
                      <a:avLst/>
                    </a:prstGeom>
                  </pic:spPr>
                </pic:pic>
              </a:graphicData>
            </a:graphic>
          </wp:inline>
        </w:drawing>
      </w:r>
    </w:p>
    <w:p w14:paraId="29B7A624" w14:textId="3339E57D" w:rsidR="00D65585" w:rsidRDefault="00CE5DA1">
      <w:pPr>
        <w:tabs>
          <w:tab w:val="center" w:pos="2615"/>
        </w:tabs>
        <w:spacing w:after="0" w:line="259" w:lineRule="auto"/>
        <w:jc w:val="left"/>
      </w:pPr>
      <w:proofErr w:type="spellStart"/>
      <w:r>
        <w:rPr>
          <w:sz w:val="16"/>
        </w:rPr>
        <w:t>Ing.Mgr</w:t>
      </w:r>
      <w:proofErr w:type="spellEnd"/>
      <w:r>
        <w:rPr>
          <w:sz w:val="16"/>
        </w:rPr>
        <w:t xml:space="preserve">. Alena </w:t>
      </w:r>
      <w:r w:rsidR="00000000">
        <w:rPr>
          <w:sz w:val="16"/>
        </w:rPr>
        <w:t>Řehořová</w:t>
      </w:r>
      <w:r>
        <w:rPr>
          <w:sz w:val="16"/>
        </w:rPr>
        <w:t xml:space="preserve"> </w:t>
      </w:r>
      <w:r w:rsidR="00000000">
        <w:rPr>
          <w:sz w:val="16"/>
        </w:rPr>
        <w:t>Datum: +02'OO' 2025.04.01</w:t>
      </w:r>
    </w:p>
    <w:p w14:paraId="056D8188" w14:textId="77777777" w:rsidR="00D65585" w:rsidRDefault="00000000">
      <w:pPr>
        <w:spacing w:after="217" w:line="259" w:lineRule="auto"/>
        <w:jc w:val="left"/>
      </w:pPr>
      <w:r>
        <w:rPr>
          <w:noProof/>
        </w:rPr>
        <mc:AlternateContent>
          <mc:Choice Requires="wpg">
            <w:drawing>
              <wp:inline distT="0" distB="0" distL="0" distR="0" wp14:anchorId="50834D61" wp14:editId="583C63CB">
                <wp:extent cx="2369280" cy="12192"/>
                <wp:effectExtent l="0" t="0" r="0" b="0"/>
                <wp:docPr id="42895" name="Group 42895"/>
                <wp:cNvGraphicFramePr/>
                <a:graphic xmlns:a="http://schemas.openxmlformats.org/drawingml/2006/main">
                  <a:graphicData uri="http://schemas.microsoft.com/office/word/2010/wordprocessingGroup">
                    <wpg:wgp>
                      <wpg:cNvGrpSpPr/>
                      <wpg:grpSpPr>
                        <a:xfrm>
                          <a:off x="0" y="0"/>
                          <a:ext cx="2369280" cy="12192"/>
                          <a:chOff x="0" y="0"/>
                          <a:chExt cx="2369280" cy="12192"/>
                        </a:xfrm>
                      </wpg:grpSpPr>
                      <wps:wsp>
                        <wps:cNvPr id="42894" name="Shape 42894"/>
                        <wps:cNvSpPr/>
                        <wps:spPr>
                          <a:xfrm>
                            <a:off x="0" y="0"/>
                            <a:ext cx="2369280" cy="12192"/>
                          </a:xfrm>
                          <a:custGeom>
                            <a:avLst/>
                            <a:gdLst/>
                            <a:ahLst/>
                            <a:cxnLst/>
                            <a:rect l="0" t="0" r="0" b="0"/>
                            <a:pathLst>
                              <a:path w="2369280" h="12192">
                                <a:moveTo>
                                  <a:pt x="0" y="6097"/>
                                </a:moveTo>
                                <a:lnTo>
                                  <a:pt x="2369280" y="6097"/>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2895" style="width:186.557pt;height:0.960022pt;mso-position-horizontal-relative:char;mso-position-vertical-relative:line" coordsize="23692,121">
                <v:shape id="Shape 42894" style="position:absolute;width:23692;height:121;left:0;top:0;" coordsize="2369280,12192" path="m0,6097l2369280,6097">
                  <v:stroke weight="0.960022pt" endcap="flat" joinstyle="miter" miterlimit="1" on="true" color="#000000"/>
                  <v:fill on="false" color="#000000"/>
                </v:shape>
              </v:group>
            </w:pict>
          </mc:Fallback>
        </mc:AlternateContent>
      </w:r>
    </w:p>
    <w:p w14:paraId="550EF8B3" w14:textId="77777777" w:rsidR="00D65585" w:rsidRDefault="00000000">
      <w:pPr>
        <w:spacing w:after="3" w:line="259" w:lineRule="auto"/>
        <w:ind w:left="-1" w:right="86" w:firstLine="4"/>
      </w:pPr>
      <w:r>
        <w:rPr>
          <w:sz w:val="24"/>
        </w:rPr>
        <w:t xml:space="preserve">Integrované centrum sociálních služeb Jihlava, příspěvková organizace zastoupená ředitelkou </w:t>
      </w:r>
      <w:proofErr w:type="spellStart"/>
      <w:proofErr w:type="gramStart"/>
      <w:r>
        <w:rPr>
          <w:sz w:val="24"/>
        </w:rPr>
        <w:t>Ing.Mgr.Alenou</w:t>
      </w:r>
      <w:proofErr w:type="spellEnd"/>
      <w:proofErr w:type="gramEnd"/>
      <w:r>
        <w:rPr>
          <w:sz w:val="24"/>
        </w:rPr>
        <w:t xml:space="preserve"> Řehořovou </w:t>
      </w:r>
      <w:proofErr w:type="spellStart"/>
      <w:proofErr w:type="gramStart"/>
      <w:r>
        <w:rPr>
          <w:sz w:val="24"/>
        </w:rPr>
        <w:t>MBA,MSc</w:t>
      </w:r>
      <w:proofErr w:type="spellEnd"/>
      <w:proofErr w:type="gramEnd"/>
      <w:r>
        <w:rPr>
          <w:sz w:val="24"/>
        </w:rPr>
        <w:t>.</w:t>
      </w:r>
    </w:p>
    <w:p w14:paraId="3A67D101" w14:textId="77777777" w:rsidR="00D65585" w:rsidRDefault="00D65585">
      <w:pPr>
        <w:sectPr w:rsidR="00D65585">
          <w:type w:val="continuous"/>
          <w:pgSz w:w="11563" w:h="16488"/>
          <w:pgMar w:top="1440" w:right="1345" w:bottom="1440" w:left="1661" w:header="708" w:footer="708" w:gutter="0"/>
          <w:cols w:num="2" w:space="874"/>
        </w:sectPr>
      </w:pPr>
    </w:p>
    <w:p w14:paraId="3BC9F55F" w14:textId="77777777" w:rsidR="00D65585" w:rsidRDefault="00000000">
      <w:pPr>
        <w:pStyle w:val="Nadpis2"/>
      </w:pPr>
      <w:r>
        <w:t>Příloha č. 1 — Zdraví ve firmě (definice služby a další podmínky)</w:t>
      </w:r>
    </w:p>
    <w:p w14:paraId="4DD70777" w14:textId="77777777" w:rsidR="00D65585" w:rsidRDefault="00000000">
      <w:pPr>
        <w:spacing w:after="174"/>
        <w:ind w:left="48" w:right="336"/>
      </w:pPr>
      <w:r>
        <w:t>Služba ”Zdraví ve firmě” je poskytována prostřednictvím digitálního portálu www.ulekare.cz či mobilní aplikaci uLékaře.cz, jehož prostřednictvím zaměstnavatel zajišťuje organizaci zdravotních služeb pro své zaměstnance a posiluje jejich preventivní chování v oblasti zdraví.</w:t>
      </w:r>
    </w:p>
    <w:p w14:paraId="4D4644C9" w14:textId="77777777" w:rsidR="00D65585" w:rsidRDefault="00000000">
      <w:pPr>
        <w:spacing w:after="216" w:line="259" w:lineRule="auto"/>
        <w:ind w:left="-1" w:right="341" w:firstLine="4"/>
      </w:pPr>
      <w:r>
        <w:rPr>
          <w:sz w:val="24"/>
        </w:rPr>
        <w:t>1. Služba zprostředkování zdravotní péče a poskytnutí informací pro rychlou orientaci uživatele v systému zdravotní péče a v tématech spojených se zdravím („Online poradna a objednání k lékaři”). Služba přináší zaměstnancům rychlé a efektivní řešení zdravotních obtíží a tím snižuje čas nepřítomnosti na pracovišti a umožňuje efektivně vykonávat jejich pracovní činnost. Způsob řešení lze specifikovat takto:</w:t>
      </w:r>
    </w:p>
    <w:p w14:paraId="1BC9A3B8" w14:textId="77777777" w:rsidR="00D65585" w:rsidRDefault="00000000">
      <w:pPr>
        <w:numPr>
          <w:ilvl w:val="0"/>
          <w:numId w:val="8"/>
        </w:numPr>
        <w:spacing w:after="256"/>
        <w:ind w:right="336"/>
      </w:pPr>
      <w:r>
        <w:t>Prvotní roztřídění formou online rady k dané zdravotní problematice praktickým lékařem nebo specialistou. V dalších krocích slouží jako vstup pro zprostředkování zdravotní péče u konkrétního poskytovatele zdravotních služeb.</w:t>
      </w:r>
    </w:p>
    <w:p w14:paraId="219A9560" w14:textId="77777777" w:rsidR="00D65585" w:rsidRDefault="00000000">
      <w:pPr>
        <w:numPr>
          <w:ilvl w:val="0"/>
          <w:numId w:val="8"/>
        </w:numPr>
        <w:spacing w:after="203"/>
        <w:ind w:right="336"/>
      </w:pPr>
      <w:r>
        <w:t>Vyhledání poskytovatele zdravotních služeb zdravotní sestrou na základě podkladu z předchozí rady lékaře či na přímou žádost uživatele.</w:t>
      </w:r>
    </w:p>
    <w:p w14:paraId="42613AF3" w14:textId="77777777" w:rsidR="00D65585" w:rsidRDefault="00000000">
      <w:pPr>
        <w:numPr>
          <w:ilvl w:val="0"/>
          <w:numId w:val="8"/>
        </w:numPr>
        <w:spacing w:after="192"/>
        <w:ind w:right="336"/>
      </w:pPr>
      <w:r>
        <w:t>Objednání k lékaři a zajištění konkrétního termínu. Následná takto zprostředkovaná zdravotní služba je již hrazena buď z veřejného zdravotního pojištění nebo přímo zaměstnancem.</w:t>
      </w:r>
    </w:p>
    <w:p w14:paraId="271F4329" w14:textId="77777777" w:rsidR="00D65585" w:rsidRDefault="00000000">
      <w:pPr>
        <w:spacing w:after="186"/>
        <w:ind w:left="53" w:right="336"/>
      </w:pPr>
      <w:r>
        <w:t xml:space="preserve">2. Podpora prevence zdraví a minimalizaci ztrát souvisejících s nemocností či řešením zdravotního stavu zaměstnance. Služba přináší komunikační a obsahové nástroje pro edukaci zaměstnanců v primární a sekundární prevenci posilující motivaci a odpovědnost zaměstnanců v oblasti péče o zdraví. Odborná </w:t>
      </w:r>
      <w:r>
        <w:lastRenderedPageBreak/>
        <w:t>redakce pokrývá veškeré obory zdravotní péče, včetně těch nelékařských (např. fyzioterapie, nutriční poradenství, psychologie a další). Praktické prvky služby v mobilní aplikaci a na webu jsou:</w:t>
      </w:r>
    </w:p>
    <w:p w14:paraId="75604F49" w14:textId="77777777" w:rsidR="00D65585" w:rsidRDefault="00000000">
      <w:pPr>
        <w:numPr>
          <w:ilvl w:val="0"/>
          <w:numId w:val="9"/>
        </w:numPr>
        <w:ind w:left="38" w:right="336"/>
      </w:pPr>
      <w:r>
        <w:t xml:space="preserve">Obsahový </w:t>
      </w:r>
      <w:proofErr w:type="gramStart"/>
      <w:r>
        <w:t>servis - Zdravotní</w:t>
      </w:r>
      <w:proofErr w:type="gramEnd"/>
      <w:r>
        <w:t xml:space="preserve"> preventivní tipy, přehled dostupných příspěvků zdravotních pojišťoven na prevenci, sekce „Objevujte” - personalizovaný obsah připravovaný odbornou redakcí a podporující primární i sekundární prevenci (Články, videa, </w:t>
      </w:r>
      <w:proofErr w:type="spellStart"/>
      <w:r>
        <w:t>podcasty</w:t>
      </w:r>
      <w:proofErr w:type="spellEnd"/>
      <w:r>
        <w:t>, infografiky)</w:t>
      </w:r>
    </w:p>
    <w:p w14:paraId="0ACEAA18" w14:textId="77777777" w:rsidR="00D65585" w:rsidRDefault="00000000">
      <w:pPr>
        <w:numPr>
          <w:ilvl w:val="0"/>
          <w:numId w:val="9"/>
        </w:numPr>
        <w:spacing w:after="258"/>
        <w:ind w:left="38" w:right="336"/>
      </w:pPr>
      <w:r>
        <w:t xml:space="preserve">Služba digitální preventivní </w:t>
      </w:r>
      <w:proofErr w:type="gramStart"/>
      <w:r>
        <w:t>kalendář - Digitální</w:t>
      </w:r>
      <w:proofErr w:type="gramEnd"/>
      <w:r>
        <w:t xml:space="preserve"> nástroj podporující odpovědné chování uživatele v oblasti sekundární prevence, tedy včasné zachycení nemoci s cílem snížení budoucího dopadu na zdravotní stav a produktivitu zaměstnance. Nástroj je propojen se službou Objednání pro zprostředkování návštěvy konkrétního preventivního vyšetření lékaře.</w:t>
      </w:r>
    </w:p>
    <w:p w14:paraId="356016E3" w14:textId="77777777" w:rsidR="00D65585" w:rsidRDefault="00000000">
      <w:pPr>
        <w:numPr>
          <w:ilvl w:val="0"/>
          <w:numId w:val="9"/>
        </w:numPr>
        <w:spacing w:after="262"/>
        <w:ind w:left="38" w:right="336"/>
      </w:pPr>
      <w:r>
        <w:t>Služba očkovací kalendář — Digitální nástroj z oblasti primární prevence určený pro edukaci, evidenci a notifikace o dostupných povinných i nepovinných očkováních pro zvýšení motivace a disciplíny uživatelů v oblasti očkování, které je jedním z nákladově nejefektivnějších dostupných opatření k ochraně a udržení veřejného zdraví. Nástroj je propojen se službou Objednání pro zprostředkování konkrétního očkování.</w:t>
      </w:r>
    </w:p>
    <w:p w14:paraId="425AD6D6" w14:textId="77777777" w:rsidR="00D65585" w:rsidRDefault="00000000">
      <w:pPr>
        <w:numPr>
          <w:ilvl w:val="0"/>
          <w:numId w:val="9"/>
        </w:numPr>
        <w:spacing w:after="176"/>
        <w:ind w:left="38" w:right="336"/>
      </w:pPr>
      <w:r>
        <w:t xml:space="preserve">Pravidelné vzdělávací a rozvojové akce pro personalisty a členy managementu zaměstnavatele určené pro zvyšování odbornosti a znalostí v oblasti zdraví </w:t>
      </w:r>
      <w:proofErr w:type="gramStart"/>
      <w:r>
        <w:t>zaměstnanců - Odborné</w:t>
      </w:r>
      <w:proofErr w:type="gramEnd"/>
      <w:r>
        <w:t xml:space="preserve"> přednášky předních expertů z oboru zdravotnictví, péče o psychické i mentální zdraví zaměstnanců, sdílení zkušeností, využití služeb a dat uLékaře.cz v rámci ESG reportingu.</w:t>
      </w:r>
    </w:p>
    <w:p w14:paraId="31F09773" w14:textId="77777777" w:rsidR="00D65585" w:rsidRDefault="00000000">
      <w:pPr>
        <w:pStyle w:val="Nadpis3"/>
        <w:ind w:left="33"/>
      </w:pPr>
      <w:r>
        <w:t>Registrace uživatele</w:t>
      </w:r>
    </w:p>
    <w:p w14:paraId="75EEEA18" w14:textId="77777777" w:rsidR="00D65585" w:rsidRDefault="00000000">
      <w:pPr>
        <w:ind w:right="336"/>
      </w:pPr>
      <w:r>
        <w:t>Pro využívání služeb je nutná registrace uživatele (zaměstnance), na jejímž základě dochází ke zřízení účtu uživatele. Registraci musí provést uživatel (zaměstnanec) prostřednictvím webového formuláře a vyžaduje poskytnutí osobních údajů v rozsahu nezbytném pro využití služby. Pro dokončení registrace je nutné učinit kroky popsané na webu včetně vyjádření souhlasu se zpracováním osobních údajů uživatele</w:t>
      </w:r>
    </w:p>
    <w:p w14:paraId="69979A52" w14:textId="77777777" w:rsidR="00D65585" w:rsidRDefault="00000000">
      <w:pPr>
        <w:spacing w:after="152" w:line="259" w:lineRule="auto"/>
        <w:ind w:left="360"/>
        <w:jc w:val="left"/>
      </w:pPr>
      <w:r>
        <w:rPr>
          <w:sz w:val="28"/>
        </w:rPr>
        <w:t>Základní podmínky pro službu Online poradna a objednání k lékaři</w:t>
      </w:r>
    </w:p>
    <w:p w14:paraId="78082283" w14:textId="77777777" w:rsidR="00D65585" w:rsidRDefault="00000000">
      <w:pPr>
        <w:spacing w:after="200" w:line="259" w:lineRule="auto"/>
        <w:ind w:left="370" w:right="86" w:firstLine="4"/>
      </w:pPr>
      <w:r>
        <w:rPr>
          <w:sz w:val="24"/>
        </w:rPr>
        <w:t>Poradna praktického lékaře</w:t>
      </w:r>
    </w:p>
    <w:p w14:paraId="6B20FCEA" w14:textId="77777777" w:rsidR="00D65585" w:rsidRDefault="00000000">
      <w:pPr>
        <w:spacing w:after="313"/>
        <w:ind w:left="370" w:right="43"/>
      </w:pPr>
      <w:r>
        <w:t xml:space="preserve">Služba je zprostředkovaně poskytována v českém a anglickém jazyce prostřednictvím komunikace na dálku přes portál provozovaný dodavatelem (dále jen „digitální portál”), který je přístupný buď prostřednictvím webových stránek www.ulekare.cz anebo mobilní aplikace uLékaře.cz, na kterém si koncový uživatel (zaměstnanec) registrací vytvoří účet. V návaznosti na radu lékaře může zdravotní sestra zprostředkovat objednání pro pacienta ke specialistovi nebo jinému odborníkovi. Praktický lékař odpovídá do </w:t>
      </w:r>
      <w:proofErr w:type="gramStart"/>
      <w:r>
        <w:t>6h</w:t>
      </w:r>
      <w:proofErr w:type="gramEnd"/>
      <w:r>
        <w:t xml:space="preserve"> od položení dotazu v případě dotazu v českém jazyce, </w:t>
      </w:r>
      <w:proofErr w:type="gramStart"/>
      <w:r>
        <w:t>12h</w:t>
      </w:r>
      <w:proofErr w:type="gramEnd"/>
      <w:r>
        <w:t xml:space="preserve"> u dotazů v angličtině. Přístup do poradny musí být autorizován pomocí unikátního kódu nebo emailem v doméně odběratele.</w:t>
      </w:r>
    </w:p>
    <w:p w14:paraId="6B938AA0" w14:textId="77777777" w:rsidR="00D65585" w:rsidRDefault="00000000">
      <w:pPr>
        <w:ind w:left="384" w:right="336"/>
      </w:pPr>
      <w:r>
        <w:t>Příklady využití poradny:</w:t>
      </w:r>
    </w:p>
    <w:p w14:paraId="163A1271" w14:textId="77777777" w:rsidR="00D65585" w:rsidRDefault="00000000">
      <w:pPr>
        <w:numPr>
          <w:ilvl w:val="0"/>
          <w:numId w:val="10"/>
        </w:numPr>
        <w:spacing w:after="33"/>
        <w:ind w:right="336" w:hanging="360"/>
      </w:pPr>
      <w:r>
        <w:t>Vysvětlení odborných lékařských termínů</w:t>
      </w:r>
    </w:p>
    <w:p w14:paraId="4CE22555" w14:textId="77777777" w:rsidR="00D65585" w:rsidRDefault="00000000">
      <w:pPr>
        <w:numPr>
          <w:ilvl w:val="0"/>
          <w:numId w:val="10"/>
        </w:numPr>
        <w:spacing w:after="30"/>
        <w:ind w:right="336" w:hanging="360"/>
      </w:pPr>
      <w:r>
        <w:t>Vysvětlení odborných pojmů z výsledků vyšetření, laboratorních testů a lékařských zpráv</w:t>
      </w:r>
    </w:p>
    <w:p w14:paraId="1ABF1522" w14:textId="77777777" w:rsidR="00D65585" w:rsidRDefault="00000000">
      <w:pPr>
        <w:numPr>
          <w:ilvl w:val="0"/>
          <w:numId w:val="10"/>
        </w:numPr>
        <w:spacing w:after="41"/>
        <w:ind w:right="336" w:hanging="360"/>
      </w:pPr>
      <w:r>
        <w:t>Vysvětlení doporučených postupů</w:t>
      </w:r>
    </w:p>
    <w:p w14:paraId="2F9A785E" w14:textId="77777777" w:rsidR="00D65585" w:rsidRDefault="00000000">
      <w:pPr>
        <w:numPr>
          <w:ilvl w:val="0"/>
          <w:numId w:val="10"/>
        </w:numPr>
        <w:spacing w:after="30"/>
        <w:ind w:right="336" w:hanging="360"/>
      </w:pPr>
      <w:r>
        <w:t>Informace o prevenci a profylaxi</w:t>
      </w:r>
    </w:p>
    <w:p w14:paraId="54087EC5" w14:textId="77777777" w:rsidR="00D65585" w:rsidRDefault="00000000">
      <w:pPr>
        <w:numPr>
          <w:ilvl w:val="0"/>
          <w:numId w:val="10"/>
        </w:numPr>
        <w:spacing w:after="30"/>
        <w:ind w:right="336" w:hanging="360"/>
      </w:pPr>
      <w:r>
        <w:t>Obecné informace o léčivých přípravcích a medicínských postupech</w:t>
      </w:r>
    </w:p>
    <w:p w14:paraId="64F4367D" w14:textId="77777777" w:rsidR="00D65585" w:rsidRDefault="00000000">
      <w:pPr>
        <w:numPr>
          <w:ilvl w:val="0"/>
          <w:numId w:val="10"/>
        </w:numPr>
        <w:spacing w:after="34"/>
        <w:ind w:right="336" w:hanging="360"/>
      </w:pPr>
      <w:r>
        <w:t>Informace o očkování</w:t>
      </w:r>
    </w:p>
    <w:p w14:paraId="07DB3AF8" w14:textId="77777777" w:rsidR="00D65585" w:rsidRDefault="00000000">
      <w:pPr>
        <w:numPr>
          <w:ilvl w:val="0"/>
          <w:numId w:val="10"/>
        </w:numPr>
        <w:spacing w:after="327"/>
        <w:ind w:right="336" w:hanging="360"/>
      </w:pPr>
      <w:r>
        <w:t>Poradna pro chronicky nemocné</w:t>
      </w:r>
    </w:p>
    <w:p w14:paraId="0072029B" w14:textId="77777777" w:rsidR="00D65585" w:rsidRDefault="00000000">
      <w:pPr>
        <w:spacing w:after="65" w:line="259" w:lineRule="auto"/>
        <w:ind w:left="394" w:right="86" w:firstLine="4"/>
      </w:pPr>
      <w:r>
        <w:rPr>
          <w:sz w:val="24"/>
        </w:rPr>
        <w:t>Poradna s lékařem specialistou</w:t>
      </w:r>
    </w:p>
    <w:p w14:paraId="30DAA4DD" w14:textId="77777777" w:rsidR="00D65585" w:rsidRDefault="00000000">
      <w:pPr>
        <w:spacing w:after="239"/>
        <w:ind w:left="394"/>
      </w:pPr>
      <w:r>
        <w:lastRenderedPageBreak/>
        <w:t>Služba je poskytována v českém jazyce přes webový formulář, odpověď do max. 48 hodin po odpovědi praktického lékaře.</w:t>
      </w:r>
      <w:r>
        <w:rPr>
          <w:noProof/>
        </w:rPr>
        <w:drawing>
          <wp:inline distT="0" distB="0" distL="0" distR="0" wp14:anchorId="1FCD4F9F" wp14:editId="22743751">
            <wp:extent cx="18296" cy="15240"/>
            <wp:effectExtent l="0" t="0" r="0" b="0"/>
            <wp:docPr id="15940" name="Picture 15940"/>
            <wp:cNvGraphicFramePr/>
            <a:graphic xmlns:a="http://schemas.openxmlformats.org/drawingml/2006/main">
              <a:graphicData uri="http://schemas.openxmlformats.org/drawingml/2006/picture">
                <pic:pic xmlns:pic="http://schemas.openxmlformats.org/drawingml/2006/picture">
                  <pic:nvPicPr>
                    <pic:cNvPr id="15940" name="Picture 15940"/>
                    <pic:cNvPicPr/>
                  </pic:nvPicPr>
                  <pic:blipFill>
                    <a:blip r:embed="rId8"/>
                    <a:stretch>
                      <a:fillRect/>
                    </a:stretch>
                  </pic:blipFill>
                  <pic:spPr>
                    <a:xfrm>
                      <a:off x="0" y="0"/>
                      <a:ext cx="18296" cy="15240"/>
                    </a:xfrm>
                    <a:prstGeom prst="rect">
                      <a:avLst/>
                    </a:prstGeom>
                  </pic:spPr>
                </pic:pic>
              </a:graphicData>
            </a:graphic>
          </wp:inline>
        </w:drawing>
      </w:r>
    </w:p>
    <w:p w14:paraId="4EF380BC" w14:textId="77777777" w:rsidR="00D65585" w:rsidRDefault="00000000">
      <w:pPr>
        <w:spacing w:after="372"/>
        <w:ind w:left="389"/>
      </w:pPr>
      <w:r>
        <w:t xml:space="preserve">V poradně je možné položit dotaz ve všech oborech medicíny a v nelékařských oborech jako např. výživové poradenství, homeopatie a alternativní léčba, sexuologie, psychologie, léčba </w:t>
      </w:r>
      <w:proofErr w:type="gramStart"/>
      <w:r>
        <w:t>závislostí,</w:t>
      </w:r>
      <w:proofErr w:type="gramEnd"/>
      <w:r>
        <w:t xml:space="preserve"> atd.</w:t>
      </w:r>
    </w:p>
    <w:p w14:paraId="6E9E9874" w14:textId="77777777" w:rsidR="00D65585" w:rsidRDefault="00000000">
      <w:pPr>
        <w:spacing w:after="103" w:line="259" w:lineRule="auto"/>
        <w:ind w:left="408" w:right="86" w:firstLine="4"/>
      </w:pPr>
      <w:r>
        <w:rPr>
          <w:sz w:val="24"/>
        </w:rPr>
        <w:t>Online objednání k lékaři</w:t>
      </w:r>
    </w:p>
    <w:p w14:paraId="554B8EBA" w14:textId="77777777" w:rsidR="00D65585" w:rsidRDefault="00000000">
      <w:pPr>
        <w:ind w:left="418"/>
      </w:pPr>
      <w:r>
        <w:t xml:space="preserve">Požadavek na objednání zadáván přes digitální portál, který je přístupný buď prostřednictvím webových stránek www.ulekare.cz anebo mobilní aplikace uLékaře.cz, na kterém si koncový uživatel registrací vytvoří účet. Zdravotní sestra uLékaře.cz kontaktuje zaměstnance do 24 h, v pracovní dny od 8 do </w:t>
      </w:r>
      <w:proofErr w:type="gramStart"/>
      <w:r>
        <w:t>17h</w:t>
      </w:r>
      <w:proofErr w:type="gramEnd"/>
      <w:r>
        <w:t>, diskutuje s pacientem jeho požadavky, vyhledá a doporučí vhodného lékaře a po domluvě se zaměstnancem ho může i objednat. Potvrzení objednání obdrží zaměstnanec do e-mailu a návštěva lékaře je mu připomenuta předem.</w:t>
      </w:r>
    </w:p>
    <w:p w14:paraId="4EAF67AF" w14:textId="77777777" w:rsidR="00D65585" w:rsidRDefault="00000000">
      <w:pPr>
        <w:spacing w:after="967" w:line="259" w:lineRule="auto"/>
        <w:ind w:left="2137"/>
        <w:jc w:val="left"/>
      </w:pPr>
      <w:r>
        <w:rPr>
          <w:sz w:val="32"/>
        </w:rPr>
        <w:t>Příloha č. 2 - Zdraví ve firmě (odměna)</w:t>
      </w:r>
    </w:p>
    <w:tbl>
      <w:tblPr>
        <w:tblStyle w:val="TableGrid"/>
        <w:tblpPr w:vertAnchor="text" w:tblpX="-319" w:tblpY="-600"/>
        <w:tblOverlap w:val="never"/>
        <w:tblW w:w="8741" w:type="dxa"/>
        <w:tblInd w:w="0" w:type="dxa"/>
        <w:tblCellMar>
          <w:top w:w="0" w:type="dxa"/>
          <w:left w:w="0" w:type="dxa"/>
          <w:bottom w:w="0" w:type="dxa"/>
          <w:right w:w="34" w:type="dxa"/>
        </w:tblCellMar>
        <w:tblLook w:val="04A0" w:firstRow="1" w:lastRow="0" w:firstColumn="1" w:lastColumn="0" w:noHBand="0" w:noVBand="1"/>
      </w:tblPr>
      <w:tblGrid>
        <w:gridCol w:w="1467"/>
        <w:gridCol w:w="2171"/>
        <w:gridCol w:w="2751"/>
        <w:gridCol w:w="917"/>
        <w:gridCol w:w="1435"/>
      </w:tblGrid>
      <w:tr w:rsidR="00D65585" w14:paraId="7F474B8A" w14:textId="77777777">
        <w:trPr>
          <w:trHeight w:val="255"/>
        </w:trPr>
        <w:tc>
          <w:tcPr>
            <w:tcW w:w="1467" w:type="dxa"/>
            <w:tcBorders>
              <w:top w:val="nil"/>
              <w:left w:val="nil"/>
              <w:bottom w:val="single" w:sz="2" w:space="0" w:color="000000"/>
              <w:right w:val="single" w:sz="2" w:space="0" w:color="000000"/>
            </w:tcBorders>
          </w:tcPr>
          <w:p w14:paraId="3A2996EA" w14:textId="77777777" w:rsidR="00D65585" w:rsidRDefault="00000000">
            <w:pPr>
              <w:spacing w:after="0" w:line="259" w:lineRule="auto"/>
              <w:ind w:left="-98"/>
              <w:jc w:val="left"/>
            </w:pPr>
            <w:r>
              <w:rPr>
                <w:sz w:val="20"/>
              </w:rPr>
              <w:t xml:space="preserve">uLékaře.cz - Zdraví </w:t>
            </w:r>
          </w:p>
        </w:tc>
        <w:tc>
          <w:tcPr>
            <w:tcW w:w="2171" w:type="dxa"/>
            <w:tcBorders>
              <w:top w:val="nil"/>
              <w:left w:val="single" w:sz="2" w:space="0" w:color="000000"/>
              <w:bottom w:val="single" w:sz="2" w:space="0" w:color="000000"/>
              <w:right w:val="nil"/>
            </w:tcBorders>
          </w:tcPr>
          <w:p w14:paraId="688F6FE3" w14:textId="77777777" w:rsidR="00D65585" w:rsidRDefault="00000000">
            <w:pPr>
              <w:spacing w:after="0" w:line="259" w:lineRule="auto"/>
              <w:ind w:left="-34"/>
              <w:jc w:val="left"/>
            </w:pPr>
            <w:r>
              <w:rPr>
                <w:sz w:val="20"/>
              </w:rPr>
              <w:t xml:space="preserve">a </w:t>
            </w:r>
            <w:proofErr w:type="spellStart"/>
            <w:r>
              <w:rPr>
                <w:sz w:val="20"/>
              </w:rPr>
              <w:t>revence</w:t>
            </w:r>
            <w:proofErr w:type="spellEnd"/>
            <w:r>
              <w:rPr>
                <w:sz w:val="20"/>
              </w:rPr>
              <w:t xml:space="preserve"> do </w:t>
            </w:r>
            <w:proofErr w:type="spellStart"/>
            <w:r>
              <w:rPr>
                <w:sz w:val="20"/>
              </w:rPr>
              <w:t>firm</w:t>
            </w:r>
            <w:proofErr w:type="spellEnd"/>
            <w:r>
              <w:rPr>
                <w:sz w:val="20"/>
              </w:rPr>
              <w:t xml:space="preserve"> 2024</w:t>
            </w:r>
          </w:p>
        </w:tc>
        <w:tc>
          <w:tcPr>
            <w:tcW w:w="2751" w:type="dxa"/>
            <w:tcBorders>
              <w:top w:val="nil"/>
              <w:left w:val="nil"/>
              <w:bottom w:val="single" w:sz="2" w:space="0" w:color="000000"/>
              <w:right w:val="nil"/>
            </w:tcBorders>
          </w:tcPr>
          <w:p w14:paraId="61C45258" w14:textId="77777777" w:rsidR="00D65585" w:rsidRDefault="00D65585">
            <w:pPr>
              <w:spacing w:after="160" w:line="259" w:lineRule="auto"/>
              <w:jc w:val="left"/>
            </w:pPr>
          </w:p>
        </w:tc>
        <w:tc>
          <w:tcPr>
            <w:tcW w:w="917" w:type="dxa"/>
            <w:tcBorders>
              <w:top w:val="nil"/>
              <w:left w:val="nil"/>
              <w:bottom w:val="single" w:sz="2" w:space="0" w:color="000000"/>
              <w:right w:val="nil"/>
            </w:tcBorders>
            <w:vAlign w:val="bottom"/>
          </w:tcPr>
          <w:p w14:paraId="4397F5FA" w14:textId="77777777" w:rsidR="00D65585" w:rsidRDefault="00000000">
            <w:pPr>
              <w:spacing w:after="0" w:line="259" w:lineRule="auto"/>
              <w:ind w:left="29"/>
              <w:jc w:val="left"/>
            </w:pPr>
            <w:r>
              <w:rPr>
                <w:sz w:val="14"/>
              </w:rPr>
              <w:t>cena/ks</w:t>
            </w:r>
          </w:p>
        </w:tc>
        <w:tc>
          <w:tcPr>
            <w:tcW w:w="1435" w:type="dxa"/>
            <w:tcBorders>
              <w:top w:val="nil"/>
              <w:left w:val="nil"/>
              <w:bottom w:val="single" w:sz="2" w:space="0" w:color="000000"/>
              <w:right w:val="nil"/>
            </w:tcBorders>
            <w:vAlign w:val="bottom"/>
          </w:tcPr>
          <w:p w14:paraId="37C442E6" w14:textId="77777777" w:rsidR="00D65585" w:rsidRDefault="00000000">
            <w:pPr>
              <w:spacing w:after="0" w:line="259" w:lineRule="auto"/>
              <w:ind w:right="94"/>
              <w:jc w:val="center"/>
            </w:pPr>
            <w:r>
              <w:rPr>
                <w:sz w:val="14"/>
              </w:rPr>
              <w:t>Celkem</w:t>
            </w:r>
          </w:p>
        </w:tc>
      </w:tr>
      <w:tr w:rsidR="00D65585" w14:paraId="40A97F36" w14:textId="77777777">
        <w:trPr>
          <w:trHeight w:val="2008"/>
        </w:trPr>
        <w:tc>
          <w:tcPr>
            <w:tcW w:w="3638" w:type="dxa"/>
            <w:gridSpan w:val="2"/>
            <w:tcBorders>
              <w:top w:val="single" w:sz="2" w:space="0" w:color="000000"/>
              <w:left w:val="single" w:sz="2" w:space="0" w:color="000000"/>
              <w:bottom w:val="single" w:sz="2" w:space="0" w:color="000000"/>
              <w:right w:val="nil"/>
            </w:tcBorders>
          </w:tcPr>
          <w:p w14:paraId="6D29F31A" w14:textId="77777777" w:rsidR="00D65585" w:rsidRDefault="00000000">
            <w:pPr>
              <w:spacing w:after="27" w:line="259" w:lineRule="auto"/>
              <w:ind w:left="-98"/>
              <w:jc w:val="left"/>
            </w:pPr>
            <w:r>
              <w:rPr>
                <w:sz w:val="14"/>
              </w:rPr>
              <w:t>Služba pro zaměstnance</w:t>
            </w:r>
          </w:p>
          <w:p w14:paraId="7D6023F4" w14:textId="77777777" w:rsidR="00D65585" w:rsidRDefault="00000000">
            <w:pPr>
              <w:spacing w:after="0" w:line="259" w:lineRule="auto"/>
              <w:ind w:left="-98"/>
              <w:jc w:val="left"/>
            </w:pPr>
            <w:proofErr w:type="spellStart"/>
            <w:r>
              <w:rPr>
                <w:sz w:val="18"/>
              </w:rPr>
              <w:t>Exclusive</w:t>
            </w:r>
            <w:proofErr w:type="spellEnd"/>
          </w:p>
          <w:p w14:paraId="6C503D0D" w14:textId="77777777" w:rsidR="00D65585" w:rsidRDefault="00000000">
            <w:pPr>
              <w:spacing w:after="0" w:line="259" w:lineRule="auto"/>
              <w:ind w:left="-103"/>
              <w:jc w:val="left"/>
            </w:pPr>
            <w:r>
              <w:rPr>
                <w:sz w:val="12"/>
              </w:rPr>
              <w:t>Online konzultace s praktickým lékařem / pediatrem</w:t>
            </w:r>
          </w:p>
          <w:p w14:paraId="5D430DD6" w14:textId="77777777" w:rsidR="00D65585" w:rsidRDefault="00000000">
            <w:pPr>
              <w:spacing w:after="0" w:line="216" w:lineRule="auto"/>
              <w:ind w:left="-103"/>
              <w:jc w:val="left"/>
            </w:pPr>
            <w:r>
              <w:rPr>
                <w:sz w:val="14"/>
              </w:rPr>
              <w:t>Online konzultace se specialistou (350 lékařů - 80 specializací) vždy objednání k lékaři po celé ČR</w:t>
            </w:r>
          </w:p>
          <w:p w14:paraId="7076BD28" w14:textId="77777777" w:rsidR="00D65585" w:rsidRDefault="00000000">
            <w:pPr>
              <w:spacing w:after="99" w:line="216" w:lineRule="auto"/>
              <w:ind w:left="-103" w:right="197"/>
              <w:jc w:val="left"/>
            </w:pPr>
            <w:r>
              <w:rPr>
                <w:sz w:val="14"/>
              </w:rPr>
              <w:t>Možnost zaslání kontaktů na vybraná zdravotnická zařízení prevence</w:t>
            </w:r>
          </w:p>
          <w:p w14:paraId="16438F62" w14:textId="77777777" w:rsidR="00D65585" w:rsidRDefault="00000000">
            <w:pPr>
              <w:spacing w:after="38" w:line="259" w:lineRule="auto"/>
              <w:ind w:left="-108"/>
              <w:jc w:val="left"/>
            </w:pPr>
            <w:r>
              <w:rPr>
                <w:sz w:val="14"/>
              </w:rPr>
              <w:t>Anglická verze služby</w:t>
            </w:r>
          </w:p>
          <w:p w14:paraId="38E07326" w14:textId="77777777" w:rsidR="00D65585" w:rsidRDefault="00000000">
            <w:pPr>
              <w:spacing w:after="0" w:line="236" w:lineRule="auto"/>
              <w:ind w:left="-108" w:right="2253"/>
            </w:pPr>
            <w:r>
              <w:rPr>
                <w:sz w:val="14"/>
              </w:rPr>
              <w:t>Služba pro členy rodiny cena s DPH</w:t>
            </w:r>
          </w:p>
          <w:p w14:paraId="15AE5CC3" w14:textId="77777777" w:rsidR="00D65585" w:rsidRDefault="00000000">
            <w:pPr>
              <w:spacing w:after="0" w:line="259" w:lineRule="auto"/>
              <w:ind w:left="-108"/>
              <w:jc w:val="left"/>
            </w:pPr>
            <w:r>
              <w:rPr>
                <w:sz w:val="14"/>
              </w:rPr>
              <w:t>Cena bez DPH</w:t>
            </w:r>
          </w:p>
        </w:tc>
        <w:tc>
          <w:tcPr>
            <w:tcW w:w="2751" w:type="dxa"/>
            <w:tcBorders>
              <w:top w:val="single" w:sz="2" w:space="0" w:color="000000"/>
              <w:left w:val="nil"/>
              <w:bottom w:val="single" w:sz="2" w:space="0" w:color="000000"/>
              <w:right w:val="nil"/>
            </w:tcBorders>
          </w:tcPr>
          <w:p w14:paraId="5D296427" w14:textId="77777777" w:rsidR="00D65585" w:rsidRDefault="00000000">
            <w:pPr>
              <w:spacing w:after="0" w:line="259" w:lineRule="auto"/>
              <w:ind w:right="202"/>
              <w:jc w:val="right"/>
            </w:pPr>
            <w:r>
              <w:rPr>
                <w:sz w:val="12"/>
              </w:rPr>
              <w:t>200</w:t>
            </w:r>
          </w:p>
        </w:tc>
        <w:tc>
          <w:tcPr>
            <w:tcW w:w="917" w:type="dxa"/>
            <w:tcBorders>
              <w:top w:val="single" w:sz="2" w:space="0" w:color="000000"/>
              <w:left w:val="nil"/>
              <w:bottom w:val="single" w:sz="2" w:space="0" w:color="000000"/>
              <w:right w:val="nil"/>
            </w:tcBorders>
          </w:tcPr>
          <w:p w14:paraId="17F418AB" w14:textId="77777777" w:rsidR="00D65585" w:rsidRDefault="00000000">
            <w:pPr>
              <w:spacing w:after="0" w:line="259" w:lineRule="auto"/>
              <w:ind w:left="15"/>
              <w:jc w:val="center"/>
            </w:pPr>
            <w:r>
              <w:rPr>
                <w:sz w:val="14"/>
              </w:rPr>
              <w:t>123 Kč</w:t>
            </w:r>
          </w:p>
        </w:tc>
        <w:tc>
          <w:tcPr>
            <w:tcW w:w="1435" w:type="dxa"/>
            <w:tcBorders>
              <w:top w:val="single" w:sz="2" w:space="0" w:color="000000"/>
              <w:left w:val="nil"/>
              <w:bottom w:val="single" w:sz="2" w:space="0" w:color="000000"/>
              <w:right w:val="nil"/>
            </w:tcBorders>
            <w:vAlign w:val="bottom"/>
          </w:tcPr>
          <w:p w14:paraId="0A630C33" w14:textId="536261EA" w:rsidR="00D65585" w:rsidRDefault="00000000">
            <w:pPr>
              <w:spacing w:after="1025" w:line="259" w:lineRule="auto"/>
              <w:ind w:right="47"/>
              <w:jc w:val="right"/>
            </w:pPr>
            <w:r>
              <w:rPr>
                <w:sz w:val="14"/>
              </w:rPr>
              <w:t>24</w:t>
            </w:r>
            <w:r w:rsidR="00916F76">
              <w:rPr>
                <w:sz w:val="14"/>
              </w:rPr>
              <w:t> </w:t>
            </w:r>
            <w:r>
              <w:rPr>
                <w:sz w:val="14"/>
              </w:rPr>
              <w:t>600</w:t>
            </w:r>
            <w:r w:rsidR="00916F76">
              <w:rPr>
                <w:sz w:val="14"/>
              </w:rPr>
              <w:t xml:space="preserve"> Kč</w:t>
            </w:r>
            <w:r>
              <w:rPr>
                <w:sz w:val="14"/>
              </w:rPr>
              <w:t xml:space="preserve"> </w:t>
            </w:r>
          </w:p>
          <w:p w14:paraId="14D7BD39" w14:textId="46EC6945" w:rsidR="00D65585" w:rsidRDefault="00000000">
            <w:pPr>
              <w:spacing w:after="27" w:line="259" w:lineRule="auto"/>
              <w:ind w:right="47"/>
              <w:jc w:val="right"/>
            </w:pPr>
            <w:r>
              <w:rPr>
                <w:sz w:val="14"/>
              </w:rPr>
              <w:t>29</w:t>
            </w:r>
            <w:r w:rsidR="00916F76">
              <w:rPr>
                <w:sz w:val="14"/>
              </w:rPr>
              <w:t> </w:t>
            </w:r>
            <w:r>
              <w:rPr>
                <w:sz w:val="14"/>
              </w:rPr>
              <w:t>766</w:t>
            </w:r>
            <w:r w:rsidR="00916F76">
              <w:rPr>
                <w:sz w:val="14"/>
              </w:rPr>
              <w:t xml:space="preserve"> Kč</w:t>
            </w:r>
            <w:r>
              <w:rPr>
                <w:sz w:val="14"/>
              </w:rPr>
              <w:t xml:space="preserve"> </w:t>
            </w:r>
          </w:p>
          <w:p w14:paraId="3382EC21" w14:textId="046F446B" w:rsidR="00D65585" w:rsidRDefault="00000000">
            <w:pPr>
              <w:spacing w:after="0" w:line="259" w:lineRule="auto"/>
              <w:ind w:right="52"/>
              <w:jc w:val="right"/>
            </w:pPr>
            <w:r>
              <w:rPr>
                <w:sz w:val="14"/>
              </w:rPr>
              <w:t>24</w:t>
            </w:r>
            <w:r w:rsidR="00916F76">
              <w:rPr>
                <w:sz w:val="14"/>
              </w:rPr>
              <w:t> </w:t>
            </w:r>
            <w:r>
              <w:rPr>
                <w:sz w:val="14"/>
              </w:rPr>
              <w:t>600</w:t>
            </w:r>
            <w:r w:rsidR="00916F76">
              <w:rPr>
                <w:sz w:val="14"/>
              </w:rPr>
              <w:t xml:space="preserve"> Kč</w:t>
            </w:r>
            <w:r>
              <w:rPr>
                <w:sz w:val="14"/>
              </w:rPr>
              <w:t xml:space="preserve"> </w:t>
            </w:r>
          </w:p>
        </w:tc>
      </w:tr>
    </w:tbl>
    <w:p w14:paraId="4182108F" w14:textId="4B23CC7C" w:rsidR="00D65585" w:rsidRDefault="00D65585">
      <w:pPr>
        <w:spacing w:after="995" w:line="265" w:lineRule="auto"/>
        <w:ind w:left="10" w:right="897" w:hanging="10"/>
        <w:jc w:val="right"/>
      </w:pPr>
    </w:p>
    <w:p w14:paraId="35C224E7" w14:textId="2C2DC93E" w:rsidR="00D65585" w:rsidRDefault="00D65585">
      <w:pPr>
        <w:spacing w:after="3" w:line="265" w:lineRule="auto"/>
        <w:ind w:left="10" w:right="897" w:hanging="10"/>
        <w:jc w:val="right"/>
      </w:pPr>
    </w:p>
    <w:p w14:paraId="740E7B6B" w14:textId="417C8E70" w:rsidR="00D65585" w:rsidRDefault="00D65585">
      <w:pPr>
        <w:spacing w:after="3" w:line="265" w:lineRule="auto"/>
        <w:ind w:left="10" w:right="897" w:hanging="10"/>
        <w:jc w:val="right"/>
      </w:pPr>
    </w:p>
    <w:p w14:paraId="6AA1BF57" w14:textId="77777777" w:rsidR="00D65585" w:rsidRDefault="00D65585">
      <w:pPr>
        <w:sectPr w:rsidR="00D65585">
          <w:type w:val="continuous"/>
          <w:pgSz w:w="11563" w:h="16488"/>
          <w:pgMar w:top="1238" w:right="1037" w:bottom="1361" w:left="1114" w:header="708" w:footer="708" w:gutter="0"/>
          <w:cols w:space="708"/>
        </w:sectPr>
      </w:pPr>
    </w:p>
    <w:p w14:paraId="5A365607" w14:textId="77777777" w:rsidR="00D65585" w:rsidRDefault="00000000">
      <w:pPr>
        <w:spacing w:after="0" w:line="259" w:lineRule="auto"/>
        <w:ind w:left="-1440" w:right="10123"/>
        <w:jc w:val="left"/>
      </w:pPr>
      <w:r>
        <w:rPr>
          <w:noProof/>
        </w:rPr>
        <w:lastRenderedPageBreak/>
        <w:drawing>
          <wp:anchor distT="0" distB="0" distL="114300" distR="114300" simplePos="0" relativeHeight="251658240" behindDoc="0" locked="0" layoutInCell="1" allowOverlap="0" wp14:anchorId="5F7AECE0" wp14:editId="09DE2E09">
            <wp:simplePos x="0" y="0"/>
            <wp:positionH relativeFrom="page">
              <wp:posOffset>0</wp:posOffset>
            </wp:positionH>
            <wp:positionV relativeFrom="page">
              <wp:posOffset>0</wp:posOffset>
            </wp:positionV>
            <wp:extent cx="7342632" cy="10469880"/>
            <wp:effectExtent l="0" t="0" r="0" b="0"/>
            <wp:wrapTopAndBottom/>
            <wp:docPr id="42896" name="Picture 42896"/>
            <wp:cNvGraphicFramePr/>
            <a:graphic xmlns:a="http://schemas.openxmlformats.org/drawingml/2006/main">
              <a:graphicData uri="http://schemas.openxmlformats.org/drawingml/2006/picture">
                <pic:pic xmlns:pic="http://schemas.openxmlformats.org/drawingml/2006/picture">
                  <pic:nvPicPr>
                    <pic:cNvPr id="42896" name="Picture 42896"/>
                    <pic:cNvPicPr/>
                  </pic:nvPicPr>
                  <pic:blipFill>
                    <a:blip r:embed="rId9"/>
                    <a:stretch>
                      <a:fillRect/>
                    </a:stretch>
                  </pic:blipFill>
                  <pic:spPr>
                    <a:xfrm>
                      <a:off x="0" y="0"/>
                      <a:ext cx="7342632" cy="10469880"/>
                    </a:xfrm>
                    <a:prstGeom prst="rect">
                      <a:avLst/>
                    </a:prstGeom>
                  </pic:spPr>
                </pic:pic>
              </a:graphicData>
            </a:graphic>
          </wp:anchor>
        </w:drawing>
      </w:r>
    </w:p>
    <w:sectPr w:rsidR="00D65585">
      <w:pgSz w:w="11563" w:h="16488"/>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9C4675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98461125" o:spid="_x0000_i1025" type="#_x0000_t75" style="width:6.75pt;height:6.75pt;visibility:visible;mso-wrap-style:square" filled="t">
            <v:imagedata r:id="rId1" o:title=""/>
            <o:lock v:ext="edit" aspectratio="f"/>
          </v:shape>
        </w:pict>
      </mc:Choice>
      <mc:Fallback>
        <w:drawing>
          <wp:inline distT="0" distB="0" distL="0" distR="0" wp14:anchorId="29A0E0F7" wp14:editId="1BE323A6">
            <wp:extent cx="85725" cy="85725"/>
            <wp:effectExtent l="0" t="0" r="0" b="0"/>
            <wp:docPr id="498461125" name="Obrázek 498461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5931"/>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solidFill>
                      <a:srgbClr val="FFFFFF"/>
                    </a:solidFill>
                    <a:ln>
                      <a:noFill/>
                    </a:ln>
                  </pic:spPr>
                </pic:pic>
              </a:graphicData>
            </a:graphic>
          </wp:inline>
        </w:drawing>
      </mc:Fallback>
    </mc:AlternateContent>
  </w:numPicBullet>
  <w:abstractNum w:abstractNumId="0" w15:restartNumberingAfterBreak="0">
    <w:nsid w:val="034E0596"/>
    <w:multiLevelType w:val="hybridMultilevel"/>
    <w:tmpl w:val="DAE2C19A"/>
    <w:lvl w:ilvl="0" w:tplc="E8FE1D0A">
      <w:start w:val="2"/>
      <w:numFmt w:val="decimal"/>
      <w:lvlText w:val="%1."/>
      <w:lvlJc w:val="left"/>
      <w:pPr>
        <w:ind w:left="10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92C79A">
      <w:start w:val="1"/>
      <w:numFmt w:val="lowerLetter"/>
      <w:lvlText w:val="%2"/>
      <w:lvlJc w:val="left"/>
      <w:pPr>
        <w:ind w:left="11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DD2062E">
      <w:start w:val="1"/>
      <w:numFmt w:val="lowerRoman"/>
      <w:lvlText w:val="%3"/>
      <w:lvlJc w:val="left"/>
      <w:pPr>
        <w:ind w:left="18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C723954">
      <w:start w:val="1"/>
      <w:numFmt w:val="decimal"/>
      <w:lvlText w:val="%4"/>
      <w:lvlJc w:val="left"/>
      <w:pPr>
        <w:ind w:left="25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C7C368A">
      <w:start w:val="1"/>
      <w:numFmt w:val="lowerLetter"/>
      <w:lvlText w:val="%5"/>
      <w:lvlJc w:val="left"/>
      <w:pPr>
        <w:ind w:left="32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5C5E82">
      <w:start w:val="1"/>
      <w:numFmt w:val="lowerRoman"/>
      <w:lvlText w:val="%6"/>
      <w:lvlJc w:val="left"/>
      <w:pPr>
        <w:ind w:left="40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A094CC">
      <w:start w:val="1"/>
      <w:numFmt w:val="decimal"/>
      <w:lvlText w:val="%7"/>
      <w:lvlJc w:val="left"/>
      <w:pPr>
        <w:ind w:left="4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3089D0">
      <w:start w:val="1"/>
      <w:numFmt w:val="lowerLetter"/>
      <w:lvlText w:val="%8"/>
      <w:lvlJc w:val="left"/>
      <w:pPr>
        <w:ind w:left="54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E01762">
      <w:start w:val="1"/>
      <w:numFmt w:val="lowerRoman"/>
      <w:lvlText w:val="%9"/>
      <w:lvlJc w:val="left"/>
      <w:pPr>
        <w:ind w:left="61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9006EF9"/>
    <w:multiLevelType w:val="hybridMultilevel"/>
    <w:tmpl w:val="2FC64A80"/>
    <w:lvl w:ilvl="0" w:tplc="921CE74A">
      <w:start w:val="2"/>
      <w:numFmt w:val="decimal"/>
      <w:lvlText w:val="%1."/>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6BA5F42">
      <w:start w:val="1"/>
      <w:numFmt w:val="lowerLetter"/>
      <w:lvlText w:val="%2"/>
      <w:lvlJc w:val="left"/>
      <w:pPr>
        <w:ind w:left="10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489958">
      <w:start w:val="1"/>
      <w:numFmt w:val="lowerRoman"/>
      <w:lvlText w:val="%3"/>
      <w:lvlJc w:val="left"/>
      <w:pPr>
        <w:ind w:left="18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A78695E">
      <w:start w:val="1"/>
      <w:numFmt w:val="decimal"/>
      <w:lvlText w:val="%4"/>
      <w:lvlJc w:val="left"/>
      <w:pPr>
        <w:ind w:left="25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1859D8">
      <w:start w:val="1"/>
      <w:numFmt w:val="lowerLetter"/>
      <w:lvlText w:val="%5"/>
      <w:lvlJc w:val="left"/>
      <w:pPr>
        <w:ind w:left="32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CA43C2">
      <w:start w:val="1"/>
      <w:numFmt w:val="lowerRoman"/>
      <w:lvlText w:val="%6"/>
      <w:lvlJc w:val="left"/>
      <w:pPr>
        <w:ind w:left="39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A6DFDC">
      <w:start w:val="1"/>
      <w:numFmt w:val="decimal"/>
      <w:lvlText w:val="%7"/>
      <w:lvlJc w:val="left"/>
      <w:pPr>
        <w:ind w:left="46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6E77B8">
      <w:start w:val="1"/>
      <w:numFmt w:val="lowerLetter"/>
      <w:lvlText w:val="%8"/>
      <w:lvlJc w:val="left"/>
      <w:pPr>
        <w:ind w:left="54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BC843E">
      <w:start w:val="1"/>
      <w:numFmt w:val="lowerRoman"/>
      <w:lvlText w:val="%9"/>
      <w:lvlJc w:val="left"/>
      <w:pPr>
        <w:ind w:left="61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143316"/>
    <w:multiLevelType w:val="hybridMultilevel"/>
    <w:tmpl w:val="27F2CC8A"/>
    <w:lvl w:ilvl="0" w:tplc="47E6C0CC">
      <w:start w:val="1"/>
      <w:numFmt w:val="bullet"/>
      <w:lvlText w:val="o"/>
      <w:lvlJc w:val="left"/>
      <w:pPr>
        <w:ind w:left="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6589724">
      <w:start w:val="1"/>
      <w:numFmt w:val="bullet"/>
      <w:lvlText w:val="o"/>
      <w:lvlJc w:val="left"/>
      <w:pPr>
        <w:ind w:left="1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0ACE678">
      <w:start w:val="1"/>
      <w:numFmt w:val="bullet"/>
      <w:lvlText w:val="▪"/>
      <w:lvlJc w:val="left"/>
      <w:pPr>
        <w:ind w:left="18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6CCA5BE">
      <w:start w:val="1"/>
      <w:numFmt w:val="bullet"/>
      <w:lvlText w:val="•"/>
      <w:lvlJc w:val="left"/>
      <w:pPr>
        <w:ind w:left="2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DC426FE">
      <w:start w:val="1"/>
      <w:numFmt w:val="bullet"/>
      <w:lvlText w:val="o"/>
      <w:lvlJc w:val="left"/>
      <w:pPr>
        <w:ind w:left="32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AB481F8">
      <w:start w:val="1"/>
      <w:numFmt w:val="bullet"/>
      <w:lvlText w:val="▪"/>
      <w:lvlJc w:val="left"/>
      <w:pPr>
        <w:ind w:left="40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1507406">
      <w:start w:val="1"/>
      <w:numFmt w:val="bullet"/>
      <w:lvlText w:val="•"/>
      <w:lvlJc w:val="left"/>
      <w:pPr>
        <w:ind w:left="47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66CEF6A">
      <w:start w:val="1"/>
      <w:numFmt w:val="bullet"/>
      <w:lvlText w:val="o"/>
      <w:lvlJc w:val="left"/>
      <w:pPr>
        <w:ind w:left="54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310FCF4">
      <w:start w:val="1"/>
      <w:numFmt w:val="bullet"/>
      <w:lvlText w:val="▪"/>
      <w:lvlJc w:val="left"/>
      <w:pPr>
        <w:ind w:left="6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14606D"/>
    <w:multiLevelType w:val="hybridMultilevel"/>
    <w:tmpl w:val="FD6A988E"/>
    <w:lvl w:ilvl="0" w:tplc="16144F4A">
      <w:start w:val="1"/>
      <w:numFmt w:val="lowerLetter"/>
      <w:lvlText w:val="(%1)"/>
      <w:lvlJc w:val="left"/>
      <w:pPr>
        <w:ind w:left="15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232FD06">
      <w:start w:val="1"/>
      <w:numFmt w:val="lowerLetter"/>
      <w:lvlText w:val="%2"/>
      <w:lvlJc w:val="left"/>
      <w:pPr>
        <w:ind w:left="17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79E2CD0">
      <w:start w:val="1"/>
      <w:numFmt w:val="lowerRoman"/>
      <w:lvlText w:val="%3"/>
      <w:lvlJc w:val="left"/>
      <w:pPr>
        <w:ind w:left="24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51E1686">
      <w:start w:val="1"/>
      <w:numFmt w:val="decimal"/>
      <w:lvlText w:val="%4"/>
      <w:lvlJc w:val="left"/>
      <w:pPr>
        <w:ind w:left="31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294C838">
      <w:start w:val="1"/>
      <w:numFmt w:val="lowerLetter"/>
      <w:lvlText w:val="%5"/>
      <w:lvlJc w:val="left"/>
      <w:pPr>
        <w:ind w:left="39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87EC748">
      <w:start w:val="1"/>
      <w:numFmt w:val="lowerRoman"/>
      <w:lvlText w:val="%6"/>
      <w:lvlJc w:val="left"/>
      <w:pPr>
        <w:ind w:left="46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350F0CE">
      <w:start w:val="1"/>
      <w:numFmt w:val="decimal"/>
      <w:lvlText w:val="%7"/>
      <w:lvlJc w:val="left"/>
      <w:pPr>
        <w:ind w:left="53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61E0FD8">
      <w:start w:val="1"/>
      <w:numFmt w:val="lowerLetter"/>
      <w:lvlText w:val="%8"/>
      <w:lvlJc w:val="left"/>
      <w:pPr>
        <w:ind w:left="60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A8DF30">
      <w:start w:val="1"/>
      <w:numFmt w:val="lowerRoman"/>
      <w:lvlText w:val="%9"/>
      <w:lvlJc w:val="left"/>
      <w:pPr>
        <w:ind w:left="67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B856B2"/>
    <w:multiLevelType w:val="hybridMultilevel"/>
    <w:tmpl w:val="4CB656DA"/>
    <w:lvl w:ilvl="0" w:tplc="3EE89B06">
      <w:start w:val="1"/>
      <w:numFmt w:val="lowerLetter"/>
      <w:lvlText w:val="%1)"/>
      <w:lvlJc w:val="left"/>
      <w:pPr>
        <w:ind w:left="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8E0D6F6">
      <w:start w:val="1"/>
      <w:numFmt w:val="lowerLetter"/>
      <w:lvlText w:val="%2"/>
      <w:lvlJc w:val="left"/>
      <w:pPr>
        <w:ind w:left="11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6D65B9A">
      <w:start w:val="1"/>
      <w:numFmt w:val="lowerRoman"/>
      <w:lvlText w:val="%3"/>
      <w:lvlJc w:val="left"/>
      <w:pPr>
        <w:ind w:left="18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D02E6E2">
      <w:start w:val="1"/>
      <w:numFmt w:val="decimal"/>
      <w:lvlText w:val="%4"/>
      <w:lvlJc w:val="left"/>
      <w:pPr>
        <w:ind w:left="25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8EEAA48">
      <w:start w:val="1"/>
      <w:numFmt w:val="lowerLetter"/>
      <w:lvlText w:val="%5"/>
      <w:lvlJc w:val="left"/>
      <w:pPr>
        <w:ind w:left="32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980637E">
      <w:start w:val="1"/>
      <w:numFmt w:val="lowerRoman"/>
      <w:lvlText w:val="%6"/>
      <w:lvlJc w:val="left"/>
      <w:pPr>
        <w:ind w:left="40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5062244">
      <w:start w:val="1"/>
      <w:numFmt w:val="decimal"/>
      <w:lvlText w:val="%7"/>
      <w:lvlJc w:val="left"/>
      <w:pPr>
        <w:ind w:left="47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5E8CFB2">
      <w:start w:val="1"/>
      <w:numFmt w:val="lowerLetter"/>
      <w:lvlText w:val="%8"/>
      <w:lvlJc w:val="left"/>
      <w:pPr>
        <w:ind w:left="54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F869DA0">
      <w:start w:val="1"/>
      <w:numFmt w:val="lowerRoman"/>
      <w:lvlText w:val="%9"/>
      <w:lvlJc w:val="left"/>
      <w:pPr>
        <w:ind w:left="61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223D486C"/>
    <w:multiLevelType w:val="hybridMultilevel"/>
    <w:tmpl w:val="16CC0B24"/>
    <w:lvl w:ilvl="0" w:tplc="B32ABF86">
      <w:start w:val="2"/>
      <w:numFmt w:val="decimal"/>
      <w:lvlText w:val="%1."/>
      <w:lvlJc w:val="left"/>
      <w:pPr>
        <w:ind w:left="10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1F622F8">
      <w:start w:val="1"/>
      <w:numFmt w:val="lowerLetter"/>
      <w:lvlText w:val="%2"/>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078622A">
      <w:start w:val="1"/>
      <w:numFmt w:val="lowerRoman"/>
      <w:lvlText w:val="%3"/>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A64A02">
      <w:start w:val="1"/>
      <w:numFmt w:val="decimal"/>
      <w:lvlText w:val="%4"/>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86DD84">
      <w:start w:val="1"/>
      <w:numFmt w:val="lowerLetter"/>
      <w:lvlText w:val="%5"/>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ECED90">
      <w:start w:val="1"/>
      <w:numFmt w:val="lowerRoman"/>
      <w:lvlText w:val="%6"/>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0C9E96">
      <w:start w:val="1"/>
      <w:numFmt w:val="decimal"/>
      <w:lvlText w:val="%7"/>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62FBF4">
      <w:start w:val="1"/>
      <w:numFmt w:val="lowerLetter"/>
      <w:lvlText w:val="%8"/>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9D4A2A6">
      <w:start w:val="1"/>
      <w:numFmt w:val="lowerRoman"/>
      <w:lvlText w:val="%9"/>
      <w:lvlJc w:val="left"/>
      <w:pPr>
        <w:ind w:left="6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8F56C9E"/>
    <w:multiLevelType w:val="hybridMultilevel"/>
    <w:tmpl w:val="6204CD88"/>
    <w:lvl w:ilvl="0" w:tplc="91CE2CBC">
      <w:start w:val="2"/>
      <w:numFmt w:val="decimal"/>
      <w:lvlText w:val="%1."/>
      <w:lvlJc w:val="left"/>
      <w:pPr>
        <w:ind w:left="6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985838">
      <w:start w:val="1"/>
      <w:numFmt w:val="lowerLetter"/>
      <w:lvlText w:val="%2"/>
      <w:lvlJc w:val="left"/>
      <w:pPr>
        <w:ind w:left="14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FC9C1E">
      <w:start w:val="1"/>
      <w:numFmt w:val="lowerRoman"/>
      <w:lvlText w:val="%3"/>
      <w:lvlJc w:val="left"/>
      <w:pPr>
        <w:ind w:left="21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92428C">
      <w:start w:val="1"/>
      <w:numFmt w:val="decimal"/>
      <w:lvlText w:val="%4"/>
      <w:lvlJc w:val="left"/>
      <w:pPr>
        <w:ind w:left="28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9F467E6">
      <w:start w:val="1"/>
      <w:numFmt w:val="lowerLetter"/>
      <w:lvlText w:val="%5"/>
      <w:lvlJc w:val="left"/>
      <w:pPr>
        <w:ind w:left="35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68F8EE">
      <w:start w:val="1"/>
      <w:numFmt w:val="lowerRoman"/>
      <w:lvlText w:val="%6"/>
      <w:lvlJc w:val="left"/>
      <w:pPr>
        <w:ind w:left="43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0EA112">
      <w:start w:val="1"/>
      <w:numFmt w:val="decimal"/>
      <w:lvlText w:val="%7"/>
      <w:lvlJc w:val="left"/>
      <w:pPr>
        <w:ind w:left="50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188378">
      <w:start w:val="1"/>
      <w:numFmt w:val="lowerLetter"/>
      <w:lvlText w:val="%8"/>
      <w:lvlJc w:val="left"/>
      <w:pPr>
        <w:ind w:left="57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16CA36">
      <w:start w:val="1"/>
      <w:numFmt w:val="lowerRoman"/>
      <w:lvlText w:val="%9"/>
      <w:lvlJc w:val="left"/>
      <w:pPr>
        <w:ind w:left="64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F4E2F85"/>
    <w:multiLevelType w:val="hybridMultilevel"/>
    <w:tmpl w:val="73D2D290"/>
    <w:lvl w:ilvl="0" w:tplc="5C78EC12">
      <w:start w:val="2"/>
      <w:numFmt w:val="decimal"/>
      <w:lvlText w:val="%1."/>
      <w:lvlJc w:val="left"/>
      <w:pPr>
        <w:ind w:left="8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16C238">
      <w:start w:val="1"/>
      <w:numFmt w:val="lowerLetter"/>
      <w:lvlText w:val="%2"/>
      <w:lvlJc w:val="left"/>
      <w:pPr>
        <w:ind w:left="12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E45338">
      <w:start w:val="1"/>
      <w:numFmt w:val="lowerRoman"/>
      <w:lvlText w:val="%3"/>
      <w:lvlJc w:val="left"/>
      <w:pPr>
        <w:ind w:left="19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7E0CB2">
      <w:start w:val="1"/>
      <w:numFmt w:val="decimal"/>
      <w:lvlText w:val="%4"/>
      <w:lvlJc w:val="left"/>
      <w:pPr>
        <w:ind w:left="26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8E717A">
      <w:start w:val="1"/>
      <w:numFmt w:val="lowerLetter"/>
      <w:lvlText w:val="%5"/>
      <w:lvlJc w:val="left"/>
      <w:pPr>
        <w:ind w:left="34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209C0E">
      <w:start w:val="1"/>
      <w:numFmt w:val="lowerRoman"/>
      <w:lvlText w:val="%6"/>
      <w:lvlJc w:val="left"/>
      <w:pPr>
        <w:ind w:left="41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160C70">
      <w:start w:val="1"/>
      <w:numFmt w:val="decimal"/>
      <w:lvlText w:val="%7"/>
      <w:lvlJc w:val="left"/>
      <w:pPr>
        <w:ind w:left="48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3A67CE">
      <w:start w:val="1"/>
      <w:numFmt w:val="lowerLetter"/>
      <w:lvlText w:val="%8"/>
      <w:lvlJc w:val="left"/>
      <w:pPr>
        <w:ind w:left="55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B20E3BA">
      <w:start w:val="1"/>
      <w:numFmt w:val="lowerRoman"/>
      <w:lvlText w:val="%9"/>
      <w:lvlJc w:val="left"/>
      <w:pPr>
        <w:ind w:left="62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6AB0ABF"/>
    <w:multiLevelType w:val="hybridMultilevel"/>
    <w:tmpl w:val="02B40006"/>
    <w:lvl w:ilvl="0" w:tplc="2BA4AB8E">
      <w:start w:val="2"/>
      <w:numFmt w:val="decimal"/>
      <w:lvlText w:val="%1."/>
      <w:lvlJc w:val="left"/>
      <w:pPr>
        <w:ind w:left="7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3FE6706">
      <w:start w:val="1"/>
      <w:numFmt w:val="lowerLetter"/>
      <w:lvlText w:val="%2."/>
      <w:lvlJc w:val="left"/>
      <w:pPr>
        <w:ind w:left="1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FA221C">
      <w:start w:val="1"/>
      <w:numFmt w:val="lowerRoman"/>
      <w:lvlText w:val="%3"/>
      <w:lvlJc w:val="left"/>
      <w:pPr>
        <w:ind w:left="17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56F7F0">
      <w:start w:val="1"/>
      <w:numFmt w:val="decimal"/>
      <w:lvlText w:val="%4"/>
      <w:lvlJc w:val="left"/>
      <w:pPr>
        <w:ind w:left="2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001FC6">
      <w:start w:val="1"/>
      <w:numFmt w:val="lowerLetter"/>
      <w:lvlText w:val="%5"/>
      <w:lvlJc w:val="left"/>
      <w:pPr>
        <w:ind w:left="32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C24882">
      <w:start w:val="1"/>
      <w:numFmt w:val="lowerRoman"/>
      <w:lvlText w:val="%6"/>
      <w:lvlJc w:val="left"/>
      <w:pPr>
        <w:ind w:left="39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66630C">
      <w:start w:val="1"/>
      <w:numFmt w:val="decimal"/>
      <w:lvlText w:val="%7"/>
      <w:lvlJc w:val="left"/>
      <w:pPr>
        <w:ind w:left="46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16C344">
      <w:start w:val="1"/>
      <w:numFmt w:val="lowerLetter"/>
      <w:lvlText w:val="%8"/>
      <w:lvlJc w:val="left"/>
      <w:pPr>
        <w:ind w:left="5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AC62AA">
      <w:start w:val="1"/>
      <w:numFmt w:val="lowerRoman"/>
      <w:lvlText w:val="%9"/>
      <w:lvlJc w:val="left"/>
      <w:pPr>
        <w:ind w:left="6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7DE790B"/>
    <w:multiLevelType w:val="hybridMultilevel"/>
    <w:tmpl w:val="EB3C1C8C"/>
    <w:lvl w:ilvl="0" w:tplc="86A879BE">
      <w:start w:val="1"/>
      <w:numFmt w:val="bullet"/>
      <w:lvlText w:val="•"/>
      <w:lvlPicBulletId w:val="0"/>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3C8A1C">
      <w:start w:val="1"/>
      <w:numFmt w:val="bullet"/>
      <w:lvlText w:val="o"/>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8CBEE8">
      <w:start w:val="1"/>
      <w:numFmt w:val="bullet"/>
      <w:lvlText w:val="▪"/>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52CA1A">
      <w:start w:val="1"/>
      <w:numFmt w:val="bullet"/>
      <w:lvlText w:val="•"/>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129E7E">
      <w:start w:val="1"/>
      <w:numFmt w:val="bullet"/>
      <w:lvlText w:val="o"/>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70CD54">
      <w:start w:val="1"/>
      <w:numFmt w:val="bullet"/>
      <w:lvlText w:val="▪"/>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8A4C0AE">
      <w:start w:val="1"/>
      <w:numFmt w:val="bullet"/>
      <w:lvlText w:val="•"/>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EEC3FE">
      <w:start w:val="1"/>
      <w:numFmt w:val="bullet"/>
      <w:lvlText w:val="o"/>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C2ECF4E">
      <w:start w:val="1"/>
      <w:numFmt w:val="bullet"/>
      <w:lvlText w:val="▪"/>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603145507">
    <w:abstractNumId w:val="6"/>
  </w:num>
  <w:num w:numId="2" w16cid:durableId="55662604">
    <w:abstractNumId w:val="7"/>
  </w:num>
  <w:num w:numId="3" w16cid:durableId="1580554234">
    <w:abstractNumId w:val="1"/>
  </w:num>
  <w:num w:numId="4" w16cid:durableId="1152911184">
    <w:abstractNumId w:val="0"/>
  </w:num>
  <w:num w:numId="5" w16cid:durableId="1222014282">
    <w:abstractNumId w:val="8"/>
  </w:num>
  <w:num w:numId="6" w16cid:durableId="297927518">
    <w:abstractNumId w:val="3"/>
  </w:num>
  <w:num w:numId="7" w16cid:durableId="1780249705">
    <w:abstractNumId w:val="5"/>
  </w:num>
  <w:num w:numId="8" w16cid:durableId="237207274">
    <w:abstractNumId w:val="4"/>
  </w:num>
  <w:num w:numId="9" w16cid:durableId="679241221">
    <w:abstractNumId w:val="2"/>
  </w:num>
  <w:num w:numId="10" w16cid:durableId="14642296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585"/>
    <w:rsid w:val="000C3948"/>
    <w:rsid w:val="0087256D"/>
    <w:rsid w:val="00916F76"/>
    <w:rsid w:val="009A7965"/>
    <w:rsid w:val="00CE5DA1"/>
    <w:rsid w:val="00D655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7A21"/>
  <w15:docId w15:val="{F9916385-859D-4051-99E1-584D3DCE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94" w:line="227" w:lineRule="auto"/>
      <w:jc w:val="both"/>
    </w:pPr>
    <w:rPr>
      <w:rFonts w:ascii="Calibri" w:eastAsia="Calibri" w:hAnsi="Calibri" w:cs="Calibri"/>
      <w:color w:val="000000"/>
      <w:sz w:val="22"/>
    </w:rPr>
  </w:style>
  <w:style w:type="paragraph" w:styleId="Nadpis1">
    <w:name w:val="heading 1"/>
    <w:next w:val="Normln"/>
    <w:link w:val="Nadpis1Char"/>
    <w:uiPriority w:val="9"/>
    <w:qFormat/>
    <w:pPr>
      <w:keepNext/>
      <w:keepLines/>
      <w:spacing w:after="0" w:line="259" w:lineRule="auto"/>
      <w:ind w:left="53"/>
      <w:outlineLvl w:val="0"/>
    </w:pPr>
    <w:rPr>
      <w:rFonts w:ascii="Calibri" w:eastAsia="Calibri" w:hAnsi="Calibri" w:cs="Calibri"/>
      <w:color w:val="000000"/>
      <w:sz w:val="34"/>
    </w:rPr>
  </w:style>
  <w:style w:type="paragraph" w:styleId="Nadpis2">
    <w:name w:val="heading 2"/>
    <w:next w:val="Normln"/>
    <w:link w:val="Nadpis2Char"/>
    <w:uiPriority w:val="9"/>
    <w:unhideWhenUsed/>
    <w:qFormat/>
    <w:pPr>
      <w:keepNext/>
      <w:keepLines/>
      <w:spacing w:after="30" w:line="259" w:lineRule="auto"/>
      <w:ind w:right="298"/>
      <w:jc w:val="center"/>
      <w:outlineLvl w:val="1"/>
    </w:pPr>
    <w:rPr>
      <w:rFonts w:ascii="Calibri" w:eastAsia="Calibri" w:hAnsi="Calibri" w:cs="Calibri"/>
      <w:color w:val="000000"/>
      <w:sz w:val="32"/>
    </w:rPr>
  </w:style>
  <w:style w:type="paragraph" w:styleId="Nadpis3">
    <w:name w:val="heading 3"/>
    <w:next w:val="Normln"/>
    <w:link w:val="Nadpis3Char"/>
    <w:uiPriority w:val="9"/>
    <w:unhideWhenUsed/>
    <w:qFormat/>
    <w:pPr>
      <w:keepNext/>
      <w:keepLines/>
      <w:spacing w:after="127" w:line="265" w:lineRule="auto"/>
      <w:ind w:left="389" w:hanging="10"/>
      <w:outlineLvl w:val="2"/>
    </w:pPr>
    <w:rPr>
      <w:rFonts w:ascii="Calibri" w:eastAsia="Calibri" w:hAnsi="Calibri" w:cs="Calibri"/>
      <w:color w:val="000000"/>
      <w:sz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color w:val="000000"/>
      <w:sz w:val="32"/>
    </w:rPr>
  </w:style>
  <w:style w:type="character" w:customStyle="1" w:styleId="Nadpis1Char">
    <w:name w:val="Nadpis 1 Char"/>
    <w:link w:val="Nadpis1"/>
    <w:rPr>
      <w:rFonts w:ascii="Calibri" w:eastAsia="Calibri" w:hAnsi="Calibri" w:cs="Calibri"/>
      <w:color w:val="000000"/>
      <w:sz w:val="34"/>
    </w:rPr>
  </w:style>
  <w:style w:type="character" w:customStyle="1" w:styleId="Nadpis3Char">
    <w:name w:val="Nadpis 3 Char"/>
    <w:link w:val="Nadpis3"/>
    <w:rPr>
      <w:rFonts w:ascii="Calibri" w:eastAsia="Calibri" w:hAnsi="Calibri" w:cs="Calibri"/>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6.jpg"/><Relationship Id="rId3" Type="http://schemas.openxmlformats.org/officeDocument/2006/relationships/settings" Target="settings.xml"/><Relationship Id="rId7" Type="http://schemas.openxmlformats.org/officeDocument/2006/relationships/image" Target="media/image5.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jpg"/><Relationship Id="rId11" Type="http://schemas.openxmlformats.org/officeDocument/2006/relationships/theme" Target="theme/theme1.xml"/><Relationship Id="rId5" Type="http://schemas.openxmlformats.org/officeDocument/2006/relationships/image" Target="media/image3.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7.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2600</Words>
  <Characters>15343</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Fišerová</dc:creator>
  <cp:keywords/>
  <cp:lastModifiedBy>Michaela Fišerová</cp:lastModifiedBy>
  <cp:revision>4</cp:revision>
  <dcterms:created xsi:type="dcterms:W3CDTF">2025-04-04T07:47:00Z</dcterms:created>
  <dcterms:modified xsi:type="dcterms:W3CDTF">2025-04-04T07:52:00Z</dcterms:modified>
</cp:coreProperties>
</file>