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D5FE4" w14:textId="77777777" w:rsidR="00E93A1A" w:rsidRDefault="006D591D">
      <w:pPr>
        <w:pStyle w:val="Standard"/>
        <w:jc w:val="center"/>
        <w:rPr>
          <w:sz w:val="48"/>
          <w:szCs w:val="48"/>
        </w:rPr>
      </w:pPr>
      <w:r>
        <w:rPr>
          <w:sz w:val="48"/>
          <w:szCs w:val="48"/>
        </w:rPr>
        <w:t>RÁMCOVÁ KUPNÍ SMLOUVA</w:t>
      </w:r>
    </w:p>
    <w:p w14:paraId="2DC4B021" w14:textId="77777777" w:rsidR="00E93A1A" w:rsidRDefault="00E93A1A">
      <w:pPr>
        <w:pStyle w:val="Standard"/>
        <w:rPr>
          <w:b/>
          <w:bCs/>
        </w:rPr>
      </w:pPr>
    </w:p>
    <w:p w14:paraId="6DA5B708" w14:textId="77777777" w:rsidR="00E93A1A" w:rsidRDefault="006D591D">
      <w:pPr>
        <w:pStyle w:val="Standard"/>
        <w:rPr>
          <w:b/>
          <w:bCs/>
        </w:rPr>
      </w:pPr>
      <w:r>
        <w:rPr>
          <w:b/>
          <w:bCs/>
        </w:rPr>
        <w:t>smluvní strany:</w:t>
      </w:r>
    </w:p>
    <w:p w14:paraId="096B8DF8" w14:textId="77777777" w:rsidR="00E93A1A" w:rsidRDefault="00E93A1A">
      <w:pPr>
        <w:pStyle w:val="Standard"/>
      </w:pPr>
    </w:p>
    <w:tbl>
      <w:tblPr>
        <w:tblW w:w="8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6062"/>
      </w:tblGrid>
      <w:tr w:rsidR="00E93A1A" w14:paraId="00E02E69" w14:textId="77777777">
        <w:trPr>
          <w:trHeight w:val="345"/>
        </w:trPr>
        <w:tc>
          <w:tcPr>
            <w:tcW w:w="2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21179" w14:textId="77777777" w:rsidR="00E93A1A" w:rsidRDefault="006D591D" w:rsidP="00D9330B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Dodavatel:</w:t>
            </w:r>
          </w:p>
        </w:tc>
        <w:tc>
          <w:tcPr>
            <w:tcW w:w="60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53981" w14:textId="77777777" w:rsidR="00E93A1A" w:rsidRDefault="006D591D" w:rsidP="00D9330B">
            <w:pPr>
              <w:pStyle w:val="TableContents"/>
              <w:spacing w:after="113"/>
              <w:rPr>
                <w:b/>
                <w:bCs/>
              </w:rPr>
            </w:pPr>
            <w:r>
              <w:rPr>
                <w:b/>
                <w:bCs/>
              </w:rPr>
              <w:t>55CZ s.r.o.</w:t>
            </w:r>
          </w:p>
          <w:p w14:paraId="4C0BEF17" w14:textId="77777777" w:rsidR="00E93A1A" w:rsidRDefault="006D591D" w:rsidP="00D9330B">
            <w:pPr>
              <w:pStyle w:val="Standard"/>
            </w:pPr>
            <w:r>
              <w:t>Zapsaná v obchodním rejstříku vedeném Městským soudem v Praze oddíl C, vložka 75665</w:t>
            </w:r>
          </w:p>
        </w:tc>
      </w:tr>
      <w:tr w:rsidR="00E93A1A" w14:paraId="1EA68C3E" w14:textId="77777777">
        <w:trPr>
          <w:trHeight w:val="6"/>
        </w:trPr>
        <w:tc>
          <w:tcPr>
            <w:tcW w:w="2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11895" w14:textId="77777777" w:rsidR="00E93A1A" w:rsidRDefault="006D591D" w:rsidP="00D9330B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Se sídlem:</w:t>
            </w:r>
          </w:p>
        </w:tc>
        <w:tc>
          <w:tcPr>
            <w:tcW w:w="60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8ECF0" w14:textId="77777777" w:rsidR="00E93A1A" w:rsidRDefault="006D591D" w:rsidP="00D9330B">
            <w:pPr>
              <w:pStyle w:val="TableContents"/>
            </w:pPr>
            <w:r>
              <w:t>Ječná 41, 120 00 Praha 2</w:t>
            </w:r>
          </w:p>
        </w:tc>
      </w:tr>
      <w:tr w:rsidR="00E93A1A" w14:paraId="3BBF2AB9" w14:textId="77777777">
        <w:trPr>
          <w:trHeight w:val="6"/>
        </w:trPr>
        <w:tc>
          <w:tcPr>
            <w:tcW w:w="2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EE892" w14:textId="77777777" w:rsidR="00E93A1A" w:rsidRDefault="006D591D" w:rsidP="00D9330B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Jednající:</w:t>
            </w:r>
          </w:p>
        </w:tc>
        <w:tc>
          <w:tcPr>
            <w:tcW w:w="60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D1A85" w14:textId="77777777" w:rsidR="00E93A1A" w:rsidRDefault="006D591D" w:rsidP="00D9330B">
            <w:pPr>
              <w:pStyle w:val="TableContents"/>
            </w:pPr>
            <w:r>
              <w:t>Jiří Polách - jednatel</w:t>
            </w:r>
          </w:p>
        </w:tc>
      </w:tr>
      <w:tr w:rsidR="00E93A1A" w14:paraId="0DE8149D" w14:textId="77777777">
        <w:trPr>
          <w:trHeight w:val="6"/>
        </w:trPr>
        <w:tc>
          <w:tcPr>
            <w:tcW w:w="2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6BCD8" w14:textId="526C67DE" w:rsidR="00E93A1A" w:rsidRDefault="006D591D" w:rsidP="00D9330B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IČ</w:t>
            </w:r>
            <w:r w:rsidR="00A011C0">
              <w:rPr>
                <w:i/>
                <w:iCs/>
              </w:rPr>
              <w:t>O</w:t>
            </w:r>
            <w:r>
              <w:rPr>
                <w:i/>
                <w:iCs/>
              </w:rPr>
              <w:t>:</w:t>
            </w:r>
          </w:p>
        </w:tc>
        <w:tc>
          <w:tcPr>
            <w:tcW w:w="60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788CD" w14:textId="77777777" w:rsidR="00E93A1A" w:rsidRDefault="006D591D" w:rsidP="00D9330B">
            <w:pPr>
              <w:pStyle w:val="TableContents"/>
            </w:pPr>
            <w:r>
              <w:t>261 60 561</w:t>
            </w:r>
          </w:p>
        </w:tc>
      </w:tr>
      <w:tr w:rsidR="00E93A1A" w14:paraId="6CD59655" w14:textId="77777777">
        <w:trPr>
          <w:trHeight w:val="6"/>
        </w:trPr>
        <w:tc>
          <w:tcPr>
            <w:tcW w:w="2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B9358" w14:textId="77777777" w:rsidR="00E93A1A" w:rsidRDefault="006D591D" w:rsidP="00D9330B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DIČ:</w:t>
            </w:r>
          </w:p>
        </w:tc>
        <w:tc>
          <w:tcPr>
            <w:tcW w:w="60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05550" w14:textId="77777777" w:rsidR="00E93A1A" w:rsidRDefault="006D591D" w:rsidP="00D9330B">
            <w:pPr>
              <w:pStyle w:val="TableContents"/>
            </w:pPr>
            <w:r>
              <w:t>CZ26160561</w:t>
            </w:r>
          </w:p>
        </w:tc>
      </w:tr>
      <w:tr w:rsidR="00E93A1A" w14:paraId="0FE4B004" w14:textId="77777777">
        <w:trPr>
          <w:trHeight w:val="6"/>
        </w:trPr>
        <w:tc>
          <w:tcPr>
            <w:tcW w:w="2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52487" w14:textId="77777777" w:rsidR="00E93A1A" w:rsidRDefault="006D591D" w:rsidP="00D9330B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Číslo účtu:</w:t>
            </w:r>
          </w:p>
        </w:tc>
        <w:tc>
          <w:tcPr>
            <w:tcW w:w="60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72D61" w14:textId="77777777" w:rsidR="00E93A1A" w:rsidRDefault="006D591D" w:rsidP="00D9330B">
            <w:pPr>
              <w:pStyle w:val="TableContents"/>
            </w:pPr>
            <w:r>
              <w:t>19-9359960287/0100</w:t>
            </w:r>
          </w:p>
        </w:tc>
      </w:tr>
      <w:tr w:rsidR="00E93A1A" w14:paraId="3A121759" w14:textId="77777777">
        <w:trPr>
          <w:trHeight w:val="6"/>
        </w:trPr>
        <w:tc>
          <w:tcPr>
            <w:tcW w:w="2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151C2" w14:textId="77777777" w:rsidR="00E93A1A" w:rsidRDefault="006D591D" w:rsidP="00D9330B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Kontaktní osoba:</w:t>
            </w:r>
          </w:p>
        </w:tc>
        <w:tc>
          <w:tcPr>
            <w:tcW w:w="60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A642F" w14:textId="69E5009B" w:rsidR="00E93A1A" w:rsidRDefault="006D591D" w:rsidP="005444FB">
            <w:pPr>
              <w:pStyle w:val="TableContents"/>
            </w:pPr>
            <w:r>
              <w:t>Jiří Polách /</w:t>
            </w:r>
            <w:proofErr w:type="gramStart"/>
            <w:r>
              <w:t>tel.:</w:t>
            </w:r>
            <w:r>
              <w:t>, e-mail</w:t>
            </w:r>
            <w:proofErr w:type="gramEnd"/>
            <w:r>
              <w:t xml:space="preserve">: </w:t>
            </w:r>
          </w:p>
        </w:tc>
      </w:tr>
    </w:tbl>
    <w:p w14:paraId="6316749E" w14:textId="77777777" w:rsidR="00E93A1A" w:rsidRDefault="00E93A1A">
      <w:pPr>
        <w:pStyle w:val="Standard"/>
      </w:pPr>
    </w:p>
    <w:p w14:paraId="6F84AF95" w14:textId="77777777" w:rsidR="00E93A1A" w:rsidRDefault="006D591D">
      <w:pPr>
        <w:pStyle w:val="Standard"/>
      </w:pPr>
      <w:r>
        <w:t>(dále jen „Prodávající“)</w:t>
      </w:r>
    </w:p>
    <w:p w14:paraId="5050CD55" w14:textId="77777777" w:rsidR="00E93A1A" w:rsidRDefault="00E93A1A">
      <w:pPr>
        <w:pStyle w:val="Standard"/>
        <w:rPr>
          <w:b/>
          <w:bCs/>
        </w:rPr>
      </w:pPr>
    </w:p>
    <w:p w14:paraId="46E2066D" w14:textId="77777777" w:rsidR="00E93A1A" w:rsidRDefault="006D591D">
      <w:pPr>
        <w:pStyle w:val="Standard"/>
        <w:rPr>
          <w:b/>
          <w:bCs/>
        </w:rPr>
      </w:pPr>
      <w:r>
        <w:rPr>
          <w:b/>
          <w:bCs/>
        </w:rPr>
        <w:t>a</w:t>
      </w:r>
    </w:p>
    <w:p w14:paraId="681D678D" w14:textId="77777777" w:rsidR="00E93A1A" w:rsidRDefault="00E93A1A">
      <w:pPr>
        <w:pStyle w:val="Standard"/>
      </w:pPr>
    </w:p>
    <w:tbl>
      <w:tblPr>
        <w:tblW w:w="81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7"/>
        <w:gridCol w:w="6027"/>
      </w:tblGrid>
      <w:tr w:rsidR="00E93A1A" w14:paraId="504DDA29" w14:textId="77777777" w:rsidTr="00A011C0">
        <w:trPr>
          <w:trHeight w:val="449"/>
        </w:trPr>
        <w:tc>
          <w:tcPr>
            <w:tcW w:w="21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A71E6" w14:textId="77777777" w:rsidR="00E93A1A" w:rsidRDefault="006D591D" w:rsidP="00D9330B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Odběratel:</w:t>
            </w:r>
          </w:p>
        </w:tc>
        <w:tc>
          <w:tcPr>
            <w:tcW w:w="60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0710D" w14:textId="53FDA560" w:rsidR="00E93A1A" w:rsidRDefault="00A011C0" w:rsidP="00D9330B">
            <w:pPr>
              <w:pStyle w:val="TableContents"/>
              <w:spacing w:after="113"/>
              <w:rPr>
                <w:b/>
                <w:bCs/>
              </w:rPr>
            </w:pPr>
            <w:r>
              <w:rPr>
                <w:b/>
                <w:bCs/>
              </w:rPr>
              <w:t>Divadlo v Dlouhé</w:t>
            </w:r>
          </w:p>
        </w:tc>
      </w:tr>
      <w:tr w:rsidR="00E93A1A" w14:paraId="65BD7D08" w14:textId="77777777" w:rsidTr="00A011C0">
        <w:trPr>
          <w:trHeight w:val="323"/>
        </w:trPr>
        <w:tc>
          <w:tcPr>
            <w:tcW w:w="21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739F3" w14:textId="77777777" w:rsidR="00E93A1A" w:rsidRDefault="006D591D" w:rsidP="00D9330B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Se sídlem:</w:t>
            </w:r>
          </w:p>
        </w:tc>
        <w:tc>
          <w:tcPr>
            <w:tcW w:w="60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6FE0F" w14:textId="66411B66" w:rsidR="00E93A1A" w:rsidRDefault="00A011C0" w:rsidP="00D9330B">
            <w:pPr>
              <w:pStyle w:val="TableContents"/>
            </w:pPr>
            <w:r>
              <w:t>Dlouhá 727/39, 110 00 Praha 1 – Staré Město</w:t>
            </w:r>
          </w:p>
        </w:tc>
      </w:tr>
      <w:tr w:rsidR="00E93A1A" w14:paraId="64A8488B" w14:textId="77777777" w:rsidTr="00A011C0">
        <w:trPr>
          <w:trHeight w:val="323"/>
        </w:trPr>
        <w:tc>
          <w:tcPr>
            <w:tcW w:w="21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29837" w14:textId="77777777" w:rsidR="00E93A1A" w:rsidRDefault="006D591D" w:rsidP="00D9330B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Jednající:</w:t>
            </w:r>
          </w:p>
        </w:tc>
        <w:tc>
          <w:tcPr>
            <w:tcW w:w="60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63692" w14:textId="3BA4776D" w:rsidR="00E93A1A" w:rsidRDefault="00A011C0" w:rsidP="00D9330B">
            <w:pPr>
              <w:pStyle w:val="TableContents"/>
            </w:pPr>
            <w:r>
              <w:t>Daniela Šálková, ředitelka</w:t>
            </w:r>
          </w:p>
        </w:tc>
      </w:tr>
      <w:tr w:rsidR="00E93A1A" w14:paraId="515D73CA" w14:textId="77777777" w:rsidTr="00A011C0">
        <w:trPr>
          <w:trHeight w:val="305"/>
        </w:trPr>
        <w:tc>
          <w:tcPr>
            <w:tcW w:w="21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6DECD" w14:textId="23D98BD0" w:rsidR="00E93A1A" w:rsidRDefault="006D591D" w:rsidP="00D9330B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IČ</w:t>
            </w:r>
            <w:r w:rsidR="00A011C0">
              <w:rPr>
                <w:i/>
                <w:iCs/>
              </w:rPr>
              <w:t>O</w:t>
            </w:r>
            <w:r>
              <w:rPr>
                <w:i/>
                <w:iCs/>
              </w:rPr>
              <w:t>:</w:t>
            </w:r>
          </w:p>
          <w:p w14:paraId="26F3DD9B" w14:textId="4474A421" w:rsidR="00A011C0" w:rsidRDefault="00A011C0" w:rsidP="00D9330B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DIČ:</w:t>
            </w:r>
          </w:p>
        </w:tc>
        <w:tc>
          <w:tcPr>
            <w:tcW w:w="60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A79A0" w14:textId="77777777" w:rsidR="00E93A1A" w:rsidRDefault="00A011C0" w:rsidP="00D9330B">
            <w:pPr>
              <w:pStyle w:val="TableContents"/>
            </w:pPr>
            <w:r>
              <w:t>00064343</w:t>
            </w:r>
          </w:p>
          <w:p w14:paraId="7489465E" w14:textId="39EB506B" w:rsidR="00A011C0" w:rsidRDefault="00A011C0" w:rsidP="00D9330B">
            <w:pPr>
              <w:pStyle w:val="TableContents"/>
            </w:pPr>
            <w:r>
              <w:t>CZ00064343</w:t>
            </w:r>
          </w:p>
        </w:tc>
      </w:tr>
      <w:tr w:rsidR="00E93A1A" w14:paraId="4E40B854" w14:textId="77777777" w:rsidTr="00A011C0">
        <w:trPr>
          <w:trHeight w:val="323"/>
        </w:trPr>
        <w:tc>
          <w:tcPr>
            <w:tcW w:w="21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FFF1A" w14:textId="77777777" w:rsidR="00E93A1A" w:rsidRDefault="006D591D" w:rsidP="00D9330B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Číslo účtu:</w:t>
            </w:r>
          </w:p>
        </w:tc>
        <w:tc>
          <w:tcPr>
            <w:tcW w:w="60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A3F72" w14:textId="4982FBAF" w:rsidR="00E93A1A" w:rsidRDefault="00A011C0" w:rsidP="00D9330B">
            <w:pPr>
              <w:pStyle w:val="TableContents"/>
            </w:pPr>
            <w:r>
              <w:t>581709893/0300</w:t>
            </w:r>
          </w:p>
        </w:tc>
      </w:tr>
      <w:tr w:rsidR="00E93A1A" w14:paraId="6422B8B6" w14:textId="77777777" w:rsidTr="00A011C0">
        <w:trPr>
          <w:trHeight w:val="323"/>
        </w:trPr>
        <w:tc>
          <w:tcPr>
            <w:tcW w:w="21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C4609" w14:textId="77777777" w:rsidR="00E93A1A" w:rsidRDefault="006D591D" w:rsidP="00D9330B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Kontaktní osoba:</w:t>
            </w:r>
          </w:p>
        </w:tc>
        <w:tc>
          <w:tcPr>
            <w:tcW w:w="60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DCFCA" w14:textId="11552409" w:rsidR="00A37921" w:rsidRDefault="00A011C0" w:rsidP="00D9330B">
            <w:pPr>
              <w:pStyle w:val="TableContents"/>
            </w:pPr>
            <w:r>
              <w:t>Markéta Průšková</w:t>
            </w:r>
            <w:r w:rsidR="00A37921">
              <w:t xml:space="preserve"> </w:t>
            </w:r>
            <w:r>
              <w:t>/</w:t>
            </w:r>
            <w:proofErr w:type="gramStart"/>
            <w:r>
              <w:t>tel.:,</w:t>
            </w:r>
            <w:proofErr w:type="gramEnd"/>
            <w:r>
              <w:t xml:space="preserve"> </w:t>
            </w:r>
          </w:p>
          <w:p w14:paraId="3A4780BD" w14:textId="0A542C10" w:rsidR="00E93A1A" w:rsidRDefault="00A011C0" w:rsidP="005444FB">
            <w:pPr>
              <w:pStyle w:val="TableContents"/>
            </w:pPr>
            <w:r>
              <w:t xml:space="preserve">email: </w:t>
            </w:r>
          </w:p>
        </w:tc>
      </w:tr>
    </w:tbl>
    <w:p w14:paraId="23150718" w14:textId="77777777" w:rsidR="00E93A1A" w:rsidRDefault="00E93A1A">
      <w:pPr>
        <w:pStyle w:val="Standard"/>
      </w:pPr>
    </w:p>
    <w:p w14:paraId="78BDE98C" w14:textId="77777777" w:rsidR="00E93A1A" w:rsidRDefault="006D591D">
      <w:pPr>
        <w:pStyle w:val="Standard"/>
      </w:pPr>
      <w:r>
        <w:t>(dále jen „Kupující“)</w:t>
      </w:r>
    </w:p>
    <w:p w14:paraId="28B5AB27" w14:textId="77777777" w:rsidR="00E93A1A" w:rsidRDefault="00E93A1A">
      <w:pPr>
        <w:pStyle w:val="Standard"/>
      </w:pPr>
    </w:p>
    <w:p w14:paraId="5C73C46B" w14:textId="77777777" w:rsidR="00E93A1A" w:rsidRDefault="006D591D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uzavírají podle ustanovení § 2079 a násl. zákona </w:t>
      </w:r>
      <w:r>
        <w:rPr>
          <w:rFonts w:eastAsia="Palatino Linotype" w:cs="Times New Roman"/>
          <w:color w:val="000000"/>
        </w:rPr>
        <w:t>č. 89/2012 Sb., občanského zákoníku</w:t>
      </w:r>
      <w:r>
        <w:rPr>
          <w:rFonts w:cs="Times New Roman"/>
        </w:rPr>
        <w:t xml:space="preserve"> tuto</w:t>
      </w:r>
    </w:p>
    <w:p w14:paraId="60432120" w14:textId="77777777" w:rsidR="00E93A1A" w:rsidRDefault="00E93A1A">
      <w:pPr>
        <w:pStyle w:val="Standard"/>
        <w:jc w:val="center"/>
      </w:pPr>
    </w:p>
    <w:p w14:paraId="0A5AA3D1" w14:textId="77777777" w:rsidR="00E93A1A" w:rsidRDefault="006D591D">
      <w:pPr>
        <w:pStyle w:val="Standard"/>
        <w:jc w:val="center"/>
        <w:rPr>
          <w:b/>
          <w:bCs/>
        </w:rPr>
      </w:pPr>
      <w:r>
        <w:rPr>
          <w:b/>
          <w:bCs/>
        </w:rPr>
        <w:t>kupní smlouvu</w:t>
      </w:r>
    </w:p>
    <w:p w14:paraId="524B3E93" w14:textId="77777777" w:rsidR="00E93A1A" w:rsidRDefault="006D591D">
      <w:pPr>
        <w:pStyle w:val="Standard"/>
        <w:jc w:val="center"/>
      </w:pPr>
      <w:r>
        <w:t>(dále jen "smlouva")</w:t>
      </w:r>
    </w:p>
    <w:p w14:paraId="2BAC6957" w14:textId="77777777" w:rsidR="00E93A1A" w:rsidRDefault="00E93A1A">
      <w:pPr>
        <w:pStyle w:val="Standard"/>
        <w:jc w:val="center"/>
        <w:rPr>
          <w:b/>
          <w:bCs/>
        </w:rPr>
      </w:pPr>
    </w:p>
    <w:p w14:paraId="10520394" w14:textId="77777777" w:rsidR="00E93A1A" w:rsidRDefault="00E93A1A">
      <w:pPr>
        <w:pStyle w:val="Standard"/>
        <w:jc w:val="center"/>
        <w:rPr>
          <w:b/>
          <w:bCs/>
        </w:rPr>
      </w:pPr>
    </w:p>
    <w:p w14:paraId="355FF77E" w14:textId="77777777" w:rsidR="00E93A1A" w:rsidRDefault="006D591D">
      <w:pPr>
        <w:pStyle w:val="Standard"/>
        <w:jc w:val="center"/>
        <w:rPr>
          <w:b/>
          <w:bCs/>
        </w:rPr>
      </w:pPr>
      <w:r>
        <w:rPr>
          <w:b/>
          <w:bCs/>
        </w:rPr>
        <w:t>Článek I.</w:t>
      </w:r>
    </w:p>
    <w:p w14:paraId="3DA6757D" w14:textId="77777777" w:rsidR="00E93A1A" w:rsidRDefault="006D591D">
      <w:pPr>
        <w:pStyle w:val="Standard"/>
        <w:jc w:val="center"/>
        <w:rPr>
          <w:b/>
          <w:bCs/>
        </w:rPr>
      </w:pPr>
      <w:r>
        <w:rPr>
          <w:b/>
          <w:bCs/>
        </w:rPr>
        <w:t>Účel kupní smlouvy</w:t>
      </w:r>
    </w:p>
    <w:p w14:paraId="35F618A6" w14:textId="77777777" w:rsidR="00E93A1A" w:rsidRDefault="00E93A1A">
      <w:pPr>
        <w:pStyle w:val="Standard"/>
        <w:rPr>
          <w:b/>
          <w:bCs/>
        </w:rPr>
      </w:pPr>
    </w:p>
    <w:p w14:paraId="3D1C62C9" w14:textId="77777777" w:rsidR="00E93A1A" w:rsidRDefault="006D591D">
      <w:pPr>
        <w:pStyle w:val="Standard"/>
      </w:pPr>
      <w:r>
        <w:t xml:space="preserve">Účelem této kupní smlouvy je upravit vzájemné opakující se obchodní operace při dodávkách </w:t>
      </w:r>
      <w:r>
        <w:t>kancelářského a úklidového materiálu,</w:t>
      </w:r>
      <w:r>
        <w:rPr>
          <w:rFonts w:eastAsia="Palatino Linotype" w:cs="Palatino Linotype"/>
          <w:color w:val="000000"/>
        </w:rPr>
        <w:t xml:space="preserve"> zjednodušení a zkvalitnění režimu těchto dodávek a zajištění jeho přehlednosti, pružnosti a průkaznosti v zájmu předcházení sporům.</w:t>
      </w:r>
    </w:p>
    <w:p w14:paraId="050681A1" w14:textId="77777777" w:rsidR="00E93A1A" w:rsidRDefault="006D591D">
      <w:pPr>
        <w:pStyle w:val="Standard"/>
        <w:rPr>
          <w:rFonts w:eastAsia="Palatino Linotype" w:cs="Palatino Linotype"/>
          <w:color w:val="000000"/>
        </w:rPr>
      </w:pPr>
      <w:r>
        <w:rPr>
          <w:rFonts w:eastAsia="Palatino Linotype" w:cs="Palatino Linotype"/>
          <w:color w:val="000000"/>
        </w:rPr>
        <w:t>Všechny obchodní operace budou fakturovány v režimu Náhradního plnění podle zákona č.4</w:t>
      </w:r>
      <w:r>
        <w:rPr>
          <w:rFonts w:eastAsia="Palatino Linotype" w:cs="Palatino Linotype"/>
          <w:color w:val="000000"/>
        </w:rPr>
        <w:t>35/2004Sb. o zaměstnanosti.</w:t>
      </w:r>
    </w:p>
    <w:p w14:paraId="65A7B156" w14:textId="77777777" w:rsidR="00E93A1A" w:rsidRDefault="00E93A1A">
      <w:pPr>
        <w:pStyle w:val="Standard"/>
        <w:rPr>
          <w:rFonts w:eastAsia="Palatino Linotype" w:cs="Palatino Linotype"/>
          <w:color w:val="000000"/>
        </w:rPr>
      </w:pPr>
    </w:p>
    <w:p w14:paraId="65012FDB" w14:textId="1493EAD2" w:rsidR="00E93A1A" w:rsidRDefault="006D591D">
      <w:pPr>
        <w:pStyle w:val="Standard"/>
        <w:rPr>
          <w:rFonts w:eastAsia="Palatino Linotype" w:cs="Palatino Linotype"/>
          <w:color w:val="000000"/>
        </w:rPr>
      </w:pPr>
      <w:r>
        <w:rPr>
          <w:rFonts w:eastAsia="Palatino Linotype" w:cs="Palatino Linotype"/>
          <w:color w:val="000000"/>
        </w:rPr>
        <w:tab/>
      </w:r>
      <w:r>
        <w:rPr>
          <w:rFonts w:eastAsia="Palatino Linotype" w:cs="Palatino Linotype"/>
          <w:color w:val="000000"/>
        </w:rPr>
        <w:tab/>
      </w:r>
      <w:r>
        <w:rPr>
          <w:rFonts w:eastAsia="Palatino Linotype" w:cs="Palatino Linotype"/>
          <w:color w:val="000000"/>
        </w:rPr>
        <w:tab/>
      </w:r>
      <w:r>
        <w:rPr>
          <w:rFonts w:eastAsia="Palatino Linotype" w:cs="Palatino Linotype"/>
          <w:color w:val="000000"/>
        </w:rPr>
        <w:tab/>
      </w:r>
      <w:r>
        <w:rPr>
          <w:rFonts w:eastAsia="Palatino Linotype" w:cs="Palatino Linotype"/>
          <w:color w:val="000000"/>
        </w:rPr>
        <w:tab/>
      </w:r>
      <w:r>
        <w:rPr>
          <w:rFonts w:eastAsia="Palatino Linotype" w:cs="Palatino Linotype"/>
          <w:color w:val="000000"/>
        </w:rPr>
        <w:tab/>
      </w:r>
    </w:p>
    <w:p w14:paraId="11117138" w14:textId="77777777" w:rsidR="00D9330B" w:rsidRDefault="00D9330B">
      <w:pPr>
        <w:pStyle w:val="Standard"/>
        <w:jc w:val="center"/>
        <w:rPr>
          <w:b/>
          <w:bCs/>
        </w:rPr>
      </w:pPr>
    </w:p>
    <w:p w14:paraId="290DE195" w14:textId="77777777" w:rsidR="00D9330B" w:rsidRDefault="00D9330B">
      <w:pPr>
        <w:pStyle w:val="Standard"/>
        <w:jc w:val="center"/>
        <w:rPr>
          <w:b/>
          <w:bCs/>
        </w:rPr>
      </w:pPr>
    </w:p>
    <w:p w14:paraId="1FC73AA9" w14:textId="77777777" w:rsidR="00D9330B" w:rsidRDefault="00D9330B">
      <w:pPr>
        <w:pStyle w:val="Standard"/>
        <w:jc w:val="center"/>
        <w:rPr>
          <w:b/>
          <w:bCs/>
        </w:rPr>
      </w:pPr>
    </w:p>
    <w:p w14:paraId="7995CB95" w14:textId="21AA5D3A" w:rsidR="00E93A1A" w:rsidRDefault="006D591D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Článek II.</w:t>
      </w:r>
    </w:p>
    <w:p w14:paraId="02B009F8" w14:textId="77777777" w:rsidR="00E93A1A" w:rsidRDefault="006D591D">
      <w:pPr>
        <w:pStyle w:val="Standard"/>
        <w:jc w:val="center"/>
        <w:rPr>
          <w:b/>
          <w:bCs/>
        </w:rPr>
      </w:pPr>
      <w:r>
        <w:rPr>
          <w:b/>
          <w:bCs/>
        </w:rPr>
        <w:t>Předmět a čas plnění</w:t>
      </w:r>
    </w:p>
    <w:p w14:paraId="367B25DE" w14:textId="77777777" w:rsidR="00E93A1A" w:rsidRDefault="00E93A1A">
      <w:pPr>
        <w:pStyle w:val="Standard"/>
      </w:pPr>
    </w:p>
    <w:p w14:paraId="2D688706" w14:textId="77777777" w:rsidR="00E93A1A" w:rsidRDefault="006D591D">
      <w:pPr>
        <w:pStyle w:val="Standard"/>
      </w:pPr>
      <w:r>
        <w:t>Prodávající se zavazuje dodat kupujícímu zboží dle objednávky a kupující se zavazuje od prodávajícího objednané zboží odebrat a zaplatit. Druh, množství a čas plnění bude sjednáván v p</w:t>
      </w:r>
      <w:r>
        <w:t>ísemné objednávce. Kupující je oprávněn průběžně se informovat u prodávajícího na stav vyřizování objednávky.</w:t>
      </w:r>
    </w:p>
    <w:p w14:paraId="1E10C5B4" w14:textId="77777777" w:rsidR="00E93A1A" w:rsidRDefault="006D591D">
      <w:pPr>
        <w:pStyle w:val="Standard"/>
        <w:jc w:val="center"/>
        <w:rPr>
          <w:b/>
          <w:bCs/>
        </w:rPr>
      </w:pPr>
      <w:r>
        <w:rPr>
          <w:b/>
          <w:bCs/>
        </w:rPr>
        <w:t>Článek III.</w:t>
      </w:r>
    </w:p>
    <w:p w14:paraId="047D39AD" w14:textId="77777777" w:rsidR="00E93A1A" w:rsidRDefault="006D591D">
      <w:pPr>
        <w:pStyle w:val="Standard"/>
        <w:jc w:val="center"/>
        <w:rPr>
          <w:b/>
          <w:bCs/>
        </w:rPr>
      </w:pPr>
      <w:r>
        <w:rPr>
          <w:b/>
          <w:bCs/>
        </w:rPr>
        <w:t>Kupní cena</w:t>
      </w:r>
    </w:p>
    <w:p w14:paraId="531A4690" w14:textId="77777777" w:rsidR="00E93A1A" w:rsidRDefault="00E93A1A">
      <w:pPr>
        <w:pStyle w:val="Standard"/>
        <w:jc w:val="center"/>
        <w:rPr>
          <w:b/>
          <w:bCs/>
        </w:rPr>
      </w:pPr>
    </w:p>
    <w:p w14:paraId="3211DC4D" w14:textId="77777777" w:rsidR="00E93A1A" w:rsidRDefault="006D591D">
      <w:pPr>
        <w:pStyle w:val="Standard"/>
      </w:pPr>
      <w:r>
        <w:t xml:space="preserve">Ceny zboží v režimu náhradního plnění jsou k dispozici na </w:t>
      </w:r>
      <w:r>
        <w:rPr>
          <w:b/>
          <w:bCs/>
          <w:sz w:val="28"/>
          <w:szCs w:val="28"/>
        </w:rPr>
        <w:t>htt</w:t>
      </w:r>
      <w:bookmarkStart w:id="0" w:name="_GoBack"/>
      <w:bookmarkEnd w:id="0"/>
      <w:r>
        <w:rPr>
          <w:b/>
          <w:bCs/>
          <w:sz w:val="28"/>
          <w:szCs w:val="28"/>
        </w:rPr>
        <w:t>ps://55.apap.cz/.</w:t>
      </w:r>
    </w:p>
    <w:p w14:paraId="723D5594" w14:textId="77777777" w:rsidR="00E93A1A" w:rsidRDefault="00E93A1A">
      <w:pPr>
        <w:pStyle w:val="Standard"/>
        <w:jc w:val="center"/>
        <w:rPr>
          <w:b/>
          <w:bCs/>
        </w:rPr>
      </w:pPr>
    </w:p>
    <w:p w14:paraId="36090647" w14:textId="77777777" w:rsidR="00E93A1A" w:rsidRDefault="006D591D">
      <w:pPr>
        <w:pStyle w:val="Standard"/>
        <w:jc w:val="center"/>
        <w:rPr>
          <w:b/>
          <w:bCs/>
        </w:rPr>
      </w:pPr>
      <w:r>
        <w:rPr>
          <w:b/>
          <w:bCs/>
        </w:rPr>
        <w:t>Článek IV.</w:t>
      </w:r>
    </w:p>
    <w:p w14:paraId="1342A0D8" w14:textId="77777777" w:rsidR="00E93A1A" w:rsidRDefault="006D591D">
      <w:pPr>
        <w:pStyle w:val="Standard"/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7E214A25" w14:textId="77777777" w:rsidR="00E93A1A" w:rsidRDefault="00E93A1A">
      <w:pPr>
        <w:pStyle w:val="Standard"/>
      </w:pPr>
    </w:p>
    <w:p w14:paraId="5E2658D0" w14:textId="77777777" w:rsidR="00E93A1A" w:rsidRDefault="006D591D">
      <w:pPr>
        <w:pStyle w:val="Standard"/>
      </w:pPr>
      <w:r>
        <w:t>Úhrada za od</w:t>
      </w:r>
      <w:r>
        <w:t>ebrané zboží bude provedena na základě faktury vystavené prodávajícím, která bude kupujícímu doručena spolu s objednaným zbožím. Kupující je povinen faktury proplácet převodem na účet prodávajícího do 14 dní od odeslání faktury.</w:t>
      </w:r>
    </w:p>
    <w:p w14:paraId="002A08A5" w14:textId="77777777" w:rsidR="00E93A1A" w:rsidRDefault="00E93A1A">
      <w:pPr>
        <w:pStyle w:val="Standard"/>
      </w:pPr>
    </w:p>
    <w:p w14:paraId="679A56B0" w14:textId="77777777" w:rsidR="00E93A1A" w:rsidRDefault="006D591D">
      <w:pPr>
        <w:pStyle w:val="Standard"/>
        <w:jc w:val="center"/>
        <w:rPr>
          <w:b/>
          <w:bCs/>
        </w:rPr>
      </w:pPr>
      <w:r>
        <w:rPr>
          <w:b/>
          <w:bCs/>
        </w:rPr>
        <w:t>Článek V.</w:t>
      </w:r>
    </w:p>
    <w:p w14:paraId="26FC9959" w14:textId="77777777" w:rsidR="00E93A1A" w:rsidRDefault="006D591D">
      <w:pPr>
        <w:pStyle w:val="Standard"/>
        <w:jc w:val="center"/>
        <w:rPr>
          <w:b/>
          <w:bCs/>
        </w:rPr>
      </w:pPr>
      <w:r>
        <w:rPr>
          <w:b/>
          <w:bCs/>
        </w:rPr>
        <w:t>Jakost zboží, re</w:t>
      </w:r>
      <w:r>
        <w:rPr>
          <w:b/>
          <w:bCs/>
        </w:rPr>
        <w:t>klamace vad</w:t>
      </w:r>
    </w:p>
    <w:p w14:paraId="4393B36A" w14:textId="77777777" w:rsidR="00E93A1A" w:rsidRDefault="00E93A1A">
      <w:pPr>
        <w:pStyle w:val="Standard"/>
      </w:pPr>
    </w:p>
    <w:p w14:paraId="1456B94F" w14:textId="77777777" w:rsidR="00E93A1A" w:rsidRDefault="006D591D">
      <w:pPr>
        <w:pStyle w:val="Standard"/>
      </w:pPr>
      <w:r>
        <w:t>Veškeré reklamace vad zboží budou uplatňovány v souladu s příslušnými ustanoveními občanského zákoníku v platném znění a s reklamačním řádem prodávajícího. Prodávající je povinen zveřejnit reklamační řád na adrese e-</w:t>
      </w:r>
      <w:proofErr w:type="spellStart"/>
      <w:r>
        <w:t>shopu</w:t>
      </w:r>
      <w:proofErr w:type="spellEnd"/>
      <w:r>
        <w:t>.</w:t>
      </w:r>
    </w:p>
    <w:p w14:paraId="5E0FD055" w14:textId="77777777" w:rsidR="00E93A1A" w:rsidRDefault="00E93A1A">
      <w:pPr>
        <w:pStyle w:val="Standard"/>
      </w:pPr>
    </w:p>
    <w:p w14:paraId="1FB83568" w14:textId="77777777" w:rsidR="00E93A1A" w:rsidRDefault="006D591D">
      <w:pPr>
        <w:pStyle w:val="Standard"/>
        <w:jc w:val="center"/>
        <w:rPr>
          <w:b/>
          <w:bCs/>
        </w:rPr>
      </w:pPr>
      <w:r>
        <w:rPr>
          <w:b/>
          <w:bCs/>
        </w:rPr>
        <w:t>Článek VI.</w:t>
      </w:r>
    </w:p>
    <w:p w14:paraId="78E5992A" w14:textId="77777777" w:rsidR="00E93A1A" w:rsidRDefault="006D591D">
      <w:pPr>
        <w:pStyle w:val="Standard"/>
        <w:jc w:val="center"/>
        <w:rPr>
          <w:b/>
          <w:bCs/>
        </w:rPr>
      </w:pPr>
      <w:r>
        <w:rPr>
          <w:b/>
          <w:bCs/>
        </w:rPr>
        <w:t>Platnost</w:t>
      </w:r>
      <w:r>
        <w:rPr>
          <w:b/>
          <w:bCs/>
        </w:rPr>
        <w:t xml:space="preserve"> smlouvy, její změny a ukončení</w:t>
      </w:r>
    </w:p>
    <w:p w14:paraId="1B31DDEA" w14:textId="77777777" w:rsidR="00E93A1A" w:rsidRDefault="00E93A1A">
      <w:pPr>
        <w:pStyle w:val="Standard"/>
      </w:pPr>
    </w:p>
    <w:p w14:paraId="631B2502" w14:textId="77777777" w:rsidR="00E93A1A" w:rsidRDefault="006D591D">
      <w:pPr>
        <w:pStyle w:val="Standard"/>
      </w:pPr>
      <w:r>
        <w:t xml:space="preserve">Tato smlouva se uzavírá na dobu neurčitou a je platná dnem podpisu obou smluvních </w:t>
      </w:r>
      <w:proofErr w:type="gramStart"/>
      <w:r>
        <w:t>stran..</w:t>
      </w:r>
      <w:proofErr w:type="gramEnd"/>
      <w:r>
        <w:t xml:space="preserve"> </w:t>
      </w:r>
      <w:r>
        <w:rPr>
          <w:rFonts w:eastAsia="Palatino Linotype" w:cs="Palatino Linotype"/>
          <w:color w:val="000000"/>
        </w:rPr>
        <w:t>Smlouva může být změněna či zrušena písemnou dohodou smluvních stran. Smlouvu lze ukončit jednostrannou výpovědí v písemné formě s je</w:t>
      </w:r>
      <w:r>
        <w:rPr>
          <w:rFonts w:eastAsia="Palatino Linotype" w:cs="Palatino Linotype"/>
          <w:color w:val="000000"/>
        </w:rPr>
        <w:t>dnoměsíční výpovědní lhůtou s tím, že výpovědní lhůta začne běžet od 1. dne měsíce následujícího po doručení výpovědi druhé smluvní straně.</w:t>
      </w:r>
    </w:p>
    <w:p w14:paraId="2367B71D" w14:textId="77777777" w:rsidR="00E93A1A" w:rsidRDefault="006D591D">
      <w:pPr>
        <w:pStyle w:val="Standard"/>
        <w:rPr>
          <w:rFonts w:eastAsia="Palatino Linotype" w:cs="Palatino Linotype"/>
          <w:color w:val="000000"/>
        </w:rPr>
      </w:pPr>
      <w:r>
        <w:rPr>
          <w:rFonts w:eastAsia="Palatino Linotype" w:cs="Palatino Linotype"/>
          <w:color w:val="000000"/>
        </w:rPr>
        <w:t>V případě jakéhokoliv prodlení kupujícího se zaplacením faktury za odebrané zboží je prodávající oprávněn bez jakého</w:t>
      </w:r>
      <w:r>
        <w:rPr>
          <w:rFonts w:eastAsia="Palatino Linotype" w:cs="Palatino Linotype"/>
          <w:color w:val="000000"/>
        </w:rPr>
        <w:t>koliv předchozího upozornění okamžitě přerušit dodávky zboží kupujícímu, aniž by to bylo považováno za porušení smlouvy ze strany prodávajícího.</w:t>
      </w:r>
    </w:p>
    <w:p w14:paraId="5CE890E6" w14:textId="77777777" w:rsidR="00E93A1A" w:rsidRDefault="00E93A1A">
      <w:pPr>
        <w:pStyle w:val="Standard"/>
        <w:rPr>
          <w:rFonts w:eastAsia="Palatino Linotype" w:cs="Palatino Linotype"/>
          <w:color w:val="000000"/>
        </w:rPr>
      </w:pPr>
    </w:p>
    <w:p w14:paraId="610BBEB0" w14:textId="77777777" w:rsidR="00E93A1A" w:rsidRDefault="006D591D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Článek VII.</w:t>
      </w:r>
    </w:p>
    <w:p w14:paraId="1A9F5ECD" w14:textId="77777777" w:rsidR="00E93A1A" w:rsidRDefault="006D591D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Závěrečná ustanovení</w:t>
      </w:r>
    </w:p>
    <w:p w14:paraId="6F04916C" w14:textId="77777777" w:rsidR="00E93A1A" w:rsidRDefault="00E93A1A">
      <w:pPr>
        <w:pStyle w:val="Default"/>
        <w:jc w:val="both"/>
        <w:rPr>
          <w:rFonts w:ascii="Times New Roman" w:hAnsi="Times New Roman"/>
        </w:rPr>
      </w:pPr>
    </w:p>
    <w:p w14:paraId="1D4BC9DB" w14:textId="77777777" w:rsidR="00E93A1A" w:rsidRDefault="006D591D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Tato smlouva je sepsána ve dvou vyhotoveních, z nichž každá ze smluvních str</w:t>
      </w:r>
      <w:r>
        <w:rPr>
          <w:rFonts w:ascii="Times New Roman" w:hAnsi="Times New Roman"/>
        </w:rPr>
        <w:t>an obdrží po jednom vyhotovení. Na důkaz svobodné a vážné vůle uzavřít tuto smlouvu následují podpisy jejích účastníků.</w:t>
      </w:r>
    </w:p>
    <w:p w14:paraId="6917AAA5" w14:textId="77777777" w:rsidR="00A37921" w:rsidRDefault="00A37921">
      <w:pPr>
        <w:pStyle w:val="Default"/>
        <w:rPr>
          <w:rFonts w:ascii="Times New Roman" w:hAnsi="Times New Roman"/>
        </w:rPr>
      </w:pPr>
    </w:p>
    <w:p w14:paraId="43AE31E7" w14:textId="2EC28754" w:rsidR="00D9330B" w:rsidRDefault="00D9330B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Smluvní strany souhlasí s tím, že bude tato smlouva na základě zákona 340/2015 Sb. zveřejněna v registru smluv, a to včetně případných příloh a dodatků. Smluvní strany se dohodly, že smlouvu zveřejní Divadlo v Dlouhé.</w:t>
      </w:r>
    </w:p>
    <w:p w14:paraId="7F8BA681" w14:textId="77777777" w:rsidR="00E93A1A" w:rsidRDefault="00E93A1A">
      <w:pPr>
        <w:pStyle w:val="Default"/>
        <w:jc w:val="both"/>
        <w:rPr>
          <w:rFonts w:ascii="Times New Roman" w:hAnsi="Times New Roman"/>
        </w:rPr>
      </w:pPr>
    </w:p>
    <w:p w14:paraId="2B7F9BCD" w14:textId="77777777" w:rsidR="00E93A1A" w:rsidRDefault="00E93A1A">
      <w:pPr>
        <w:pStyle w:val="Default"/>
        <w:jc w:val="both"/>
        <w:rPr>
          <w:rFonts w:ascii="Times New Roman" w:hAnsi="Times New Roman"/>
        </w:rPr>
      </w:pPr>
    </w:p>
    <w:p w14:paraId="5988C18A" w14:textId="065A5ACC" w:rsidR="00E93A1A" w:rsidRDefault="006D591D">
      <w:pPr>
        <w:pStyle w:val="Textbody"/>
      </w:pPr>
      <w:r>
        <w:t xml:space="preserve">           V Praze dne …………</w:t>
      </w:r>
      <w:proofErr w:type="gramStart"/>
      <w:r>
        <w:t>…...</w:t>
      </w:r>
      <w:r>
        <w:rPr>
          <w:rFonts w:eastAsia="Palatino Linotype" w:cs="Palatino Linotype"/>
          <w:i/>
          <w:iCs/>
          <w:color w:val="000000"/>
        </w:rPr>
        <w:t xml:space="preserve">                                     </w:t>
      </w:r>
      <w:r>
        <w:rPr>
          <w:rFonts w:eastAsia="Palatino Linotype" w:cs="Palatino Linotype"/>
          <w:color w:val="000000"/>
        </w:rPr>
        <w:t>V</w:t>
      </w:r>
      <w:r w:rsidR="00D9330B">
        <w:rPr>
          <w:rFonts w:eastAsia="Palatino Linotype" w:cs="Palatino Linotype"/>
          <w:color w:val="000000"/>
        </w:rPr>
        <w:t> Praze</w:t>
      </w:r>
      <w:proofErr w:type="gramEnd"/>
      <w:r w:rsidR="00D9330B">
        <w:rPr>
          <w:rFonts w:eastAsia="Palatino Linotype" w:cs="Palatino Linotype"/>
          <w:color w:val="000000"/>
        </w:rPr>
        <w:t xml:space="preserve"> </w:t>
      </w:r>
      <w:r>
        <w:rPr>
          <w:rFonts w:eastAsia="Palatino Linotype" w:cs="Palatino Linotype"/>
          <w:color w:val="000000"/>
        </w:rPr>
        <w:t>dne ……………….</w:t>
      </w:r>
    </w:p>
    <w:p w14:paraId="6E75C291" w14:textId="77777777" w:rsidR="00E93A1A" w:rsidRDefault="00E93A1A">
      <w:pPr>
        <w:pStyle w:val="Textbody"/>
        <w:rPr>
          <w:rFonts w:eastAsia="Palatino Linotype" w:cs="Palatino Linotype"/>
          <w:color w:val="000000"/>
        </w:rPr>
      </w:pPr>
    </w:p>
    <w:p w14:paraId="36B6230C" w14:textId="77777777" w:rsidR="00E93A1A" w:rsidRDefault="006D591D">
      <w:pPr>
        <w:pStyle w:val="Textbody"/>
      </w:pPr>
      <w:r>
        <w:t xml:space="preserve">          ................................................                        </w:t>
      </w:r>
      <w:r>
        <w:t xml:space="preserve">            ................................................  </w:t>
      </w:r>
    </w:p>
    <w:p w14:paraId="046B4C45" w14:textId="50A7B9D6" w:rsidR="00E93A1A" w:rsidRDefault="006D591D">
      <w:pPr>
        <w:pStyle w:val="Standard"/>
        <w:rPr>
          <w:rFonts w:eastAsia="Palatino Linotype" w:cs="Palatino Linotype"/>
          <w:color w:val="000000"/>
        </w:rPr>
      </w:pPr>
      <w:r>
        <w:rPr>
          <w:rFonts w:eastAsia="Palatino Linotype" w:cs="Palatino Linotype"/>
          <w:i/>
          <w:iCs/>
          <w:color w:val="000000"/>
        </w:rPr>
        <w:t xml:space="preserve">                         </w:t>
      </w:r>
      <w:r>
        <w:rPr>
          <w:rFonts w:eastAsia="Palatino Linotype" w:cs="Palatino Linotype"/>
          <w:color w:val="000000"/>
        </w:rPr>
        <w:t xml:space="preserve">55CZ s.r.o.                                                         </w:t>
      </w:r>
      <w:r w:rsidR="00401290">
        <w:rPr>
          <w:rFonts w:eastAsia="Palatino Linotype" w:cs="Palatino Linotype"/>
          <w:color w:val="000000"/>
        </w:rPr>
        <w:t>Divadlo v Dlouhé</w:t>
      </w:r>
    </w:p>
    <w:p w14:paraId="23599C6E" w14:textId="555CB5AC" w:rsidR="00E93A1A" w:rsidRDefault="006D591D">
      <w:pPr>
        <w:pStyle w:val="Standard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D2E5A1" wp14:editId="18C017C6">
                <wp:simplePos x="0" y="0"/>
                <wp:positionH relativeFrom="column">
                  <wp:posOffset>2913840</wp:posOffset>
                </wp:positionH>
                <wp:positionV relativeFrom="paragraph">
                  <wp:posOffset>398160</wp:posOffset>
                </wp:positionV>
                <wp:extent cx="343080" cy="190800"/>
                <wp:effectExtent l="0" t="0" r="18870" b="18750"/>
                <wp:wrapNone/>
                <wp:docPr id="1489030815" name="Tv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80" cy="1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45EAAF" w14:textId="10083925" w:rsidR="00E93A1A" w:rsidRDefault="00E93A1A"/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D2E5A1" id="_x0000_t202" coordsize="21600,21600" o:spt="202" path="m,l,21600r21600,l21600,xe">
                <v:stroke joinstyle="miter"/>
                <v:path gradientshapeok="t" o:connecttype="rect"/>
              </v:shapetype>
              <v:shape id="Tvar 1" o:spid="_x0000_s1026" type="#_x0000_t202" style="position:absolute;margin-left:229.45pt;margin-top:31.35pt;width:27pt;height:1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" filled="f" stroked="f">
                <v:textbox inset="0,0,0,0">
                  <w:txbxContent>
                    <w:p w14:paraId="3E45EAAF" w14:textId="10083925" w:rsidR="00E93A1A" w:rsidRDefault="00E93A1A"/>
                  </w:txbxContent>
                </v:textbox>
              </v:shape>
            </w:pict>
          </mc:Fallback>
        </mc:AlternateContent>
      </w:r>
      <w:r>
        <w:rPr>
          <w:rFonts w:eastAsia="Palatino Linotype" w:cs="Palatino Linotype"/>
          <w:color w:val="000000"/>
        </w:rPr>
        <w:t xml:space="preserve">                  Jiří Polách, jednatel                   </w:t>
      </w:r>
      <w:r>
        <w:rPr>
          <w:rFonts w:eastAsia="Palatino Linotype" w:cs="Palatino Linotype"/>
        </w:rPr>
        <w:t xml:space="preserve">                   </w:t>
      </w:r>
      <w:r>
        <w:rPr>
          <w:rFonts w:eastAsia="Palatino Linotype" w:cs="Palatino Linotype"/>
        </w:rPr>
        <w:tab/>
      </w:r>
      <w:r w:rsidR="00401290">
        <w:rPr>
          <w:rFonts w:eastAsia="Palatino Linotype" w:cs="Palatino Linotype"/>
        </w:rPr>
        <w:t>Daniela Šálková, ředitelka</w:t>
      </w:r>
      <w:r>
        <w:rPr>
          <w:rFonts w:eastAsia="Palatino Linotype" w:cs="Palatino Linotype"/>
        </w:rPr>
        <w:t xml:space="preserve">    </w:t>
      </w:r>
    </w:p>
    <w:sectPr w:rsidR="00E93A1A" w:rsidSect="00D9330B">
      <w:footerReference w:type="default" r:id="rId7"/>
      <w:pgSz w:w="11906" w:h="16838" w:code="9"/>
      <w:pgMar w:top="567" w:right="1134" w:bottom="295" w:left="1134" w:header="170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482DE" w14:textId="77777777" w:rsidR="006D591D" w:rsidRDefault="006D591D">
      <w:r>
        <w:separator/>
      </w:r>
    </w:p>
  </w:endnote>
  <w:endnote w:type="continuationSeparator" w:id="0">
    <w:p w14:paraId="5F2B60B3" w14:textId="77777777" w:rsidR="006D591D" w:rsidRDefault="006D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299003"/>
      <w:docPartObj>
        <w:docPartGallery w:val="Page Numbers (Bottom of Page)"/>
        <w:docPartUnique/>
      </w:docPartObj>
    </w:sdtPr>
    <w:sdtEndPr/>
    <w:sdtContent>
      <w:p w14:paraId="5C263FA8" w14:textId="382CF67D" w:rsidR="00D9330B" w:rsidRDefault="00D933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4FB">
          <w:rPr>
            <w:noProof/>
          </w:rPr>
          <w:t>1</w:t>
        </w:r>
        <w:r>
          <w:fldChar w:fldCharType="end"/>
        </w:r>
      </w:p>
    </w:sdtContent>
  </w:sdt>
  <w:p w14:paraId="1E9F8178" w14:textId="5378CB90" w:rsidR="00D9330B" w:rsidRDefault="00D933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0CD76" w14:textId="77777777" w:rsidR="006D591D" w:rsidRDefault="006D591D">
      <w:r>
        <w:rPr>
          <w:color w:val="000000"/>
        </w:rPr>
        <w:ptab w:relativeTo="margin" w:alignment="center" w:leader="none"/>
      </w:r>
    </w:p>
  </w:footnote>
  <w:footnote w:type="continuationSeparator" w:id="0">
    <w:p w14:paraId="51BE55B9" w14:textId="77777777" w:rsidR="006D591D" w:rsidRDefault="006D5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3A1A"/>
    <w:rsid w:val="00263D9C"/>
    <w:rsid w:val="00401290"/>
    <w:rsid w:val="005444FB"/>
    <w:rsid w:val="00566D2B"/>
    <w:rsid w:val="006D591D"/>
    <w:rsid w:val="007B08F2"/>
    <w:rsid w:val="00A011C0"/>
    <w:rsid w:val="00A37921"/>
    <w:rsid w:val="00D9330B"/>
    <w:rsid w:val="00E9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B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Palatino Linotype" w:eastAsia="Palatino Linotype" w:hAnsi="Palatino Linotype" w:cs="Palatino Linotype"/>
      <w:color w:val="00000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link w:val="ZpatChar"/>
    <w:uiPriority w:val="99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D93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Palatino Linotype" w:eastAsia="Palatino Linotype" w:hAnsi="Palatino Linotype" w:cs="Palatino Linotype"/>
      <w:color w:val="00000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link w:val="ZpatChar"/>
    <w:uiPriority w:val="99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D9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Průšková</dc:creator>
  <cp:lastModifiedBy>Test</cp:lastModifiedBy>
  <cp:revision>4</cp:revision>
  <cp:lastPrinted>2012-05-03T14:54:00Z</cp:lastPrinted>
  <dcterms:created xsi:type="dcterms:W3CDTF">2012-04-23T12:40:00Z</dcterms:created>
  <dcterms:modified xsi:type="dcterms:W3CDTF">2025-04-03T15:33:00Z</dcterms:modified>
</cp:coreProperties>
</file>