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4"/>
        </w:rPr>
      </w:pPr>
    </w:p>
    <w:tbl>
      <w:tblPr>
        <w:tblW w:w="0" w:type="auto"/>
        <w:jc w:val="left"/>
        <w:tblInd w:w="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68"/>
        <w:gridCol w:w="4607"/>
      </w:tblGrid>
      <w:tr>
        <w:trPr>
          <w:trHeight w:val="2440" w:hRule="atLeast"/>
        </w:trPr>
        <w:tc>
          <w:tcPr>
            <w:tcW w:w="426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 w:before="0"/>
              <w:ind w:left="6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Dodavatel:</w:t>
            </w:r>
          </w:p>
          <w:p>
            <w:pPr>
              <w:pStyle w:val="TableParagraph"/>
              <w:spacing w:line="240" w:lineRule="auto" w:before="195"/>
              <w:ind w:left="6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Brio Hranice s.r.o.</w:t>
            </w:r>
          </w:p>
          <w:p>
            <w:pPr>
              <w:pStyle w:val="TableParagraph"/>
              <w:spacing w:line="240" w:lineRule="auto" w:before="2"/>
              <w:ind w:left="67"/>
              <w:jc w:val="left"/>
              <w:rPr>
                <w:sz w:val="20"/>
              </w:rPr>
            </w:pPr>
            <w:r>
              <w:rPr>
                <w:sz w:val="20"/>
              </w:rPr>
              <w:t>Teplická 232</w:t>
            </w:r>
          </w:p>
          <w:p>
            <w:pPr>
              <w:pStyle w:val="TableParagraph"/>
              <w:spacing w:line="240" w:lineRule="auto" w:before="1"/>
              <w:ind w:left="67"/>
              <w:jc w:val="left"/>
              <w:rPr>
                <w:sz w:val="20"/>
              </w:rPr>
            </w:pPr>
            <w:r>
              <w:rPr>
                <w:sz w:val="20"/>
              </w:rPr>
              <w:t>753 01 Hranice</w:t>
            </w:r>
          </w:p>
          <w:p>
            <w:pPr>
              <w:pStyle w:val="TableParagraph"/>
              <w:spacing w:line="240" w:lineRule="auto" w:before="11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tabs>
                <w:tab w:pos="1445" w:val="left" w:leader="none"/>
              </w:tabs>
              <w:spacing w:line="432" w:lineRule="auto" w:before="0"/>
              <w:ind w:left="67" w:right="873"/>
              <w:jc w:val="left"/>
              <w:rPr>
                <w:sz w:val="20"/>
              </w:rPr>
            </w:pPr>
            <w:r>
              <w:rPr>
                <w:sz w:val="20"/>
              </w:rPr>
              <w:t>OR vedený KS v Ostravě, oddíl C, vl.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5099 IČO:47669365</w:t>
              <w:tab/>
              <w:t>DIČ:CZ47669365</w:t>
            </w:r>
          </w:p>
        </w:tc>
        <w:tc>
          <w:tcPr>
            <w:tcW w:w="460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268" w:lineRule="exact" w:before="0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Odběratel:</w:t>
            </w:r>
          </w:p>
          <w:p>
            <w:pPr>
              <w:pStyle w:val="TableParagraph"/>
              <w:spacing w:line="240" w:lineRule="auto" w:before="195"/>
              <w:ind w:left="69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Univerzita J.E. Purkyně v Ústí nad Labem</w:t>
            </w:r>
          </w:p>
          <w:p>
            <w:pPr>
              <w:pStyle w:val="TableParagraph"/>
              <w:spacing w:line="240" w:lineRule="auto" w:before="3"/>
              <w:ind w:left="69" w:right="2219"/>
              <w:jc w:val="left"/>
              <w:rPr>
                <w:sz w:val="20"/>
              </w:rPr>
            </w:pPr>
            <w:r>
              <w:rPr>
                <w:sz w:val="20"/>
              </w:rPr>
              <w:t>Fakulta strojního inženýrství Ústí nad Labem</w:t>
            </w:r>
          </w:p>
          <w:p>
            <w:pPr>
              <w:pStyle w:val="TableParagraph"/>
              <w:spacing w:line="240" w:lineRule="auto" w:before="11"/>
              <w:ind w:lef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44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Kontaktní osoba: xxx</w:t>
            </w:r>
          </w:p>
          <w:p>
            <w:pPr>
              <w:pStyle w:val="TableParagraph"/>
              <w:spacing w:line="244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E-mail: xxx</w:t>
            </w:r>
          </w:p>
          <w:p>
            <w:pPr>
              <w:pStyle w:val="TableParagraph"/>
              <w:spacing w:line="244" w:lineRule="exact" w:before="0"/>
              <w:ind w:left="69"/>
              <w:jc w:val="left"/>
              <w:rPr>
                <w:sz w:val="20"/>
              </w:rPr>
            </w:pPr>
            <w:r>
              <w:rPr>
                <w:sz w:val="20"/>
              </w:rPr>
              <w:t>Tel.:</w:t>
            </w:r>
          </w:p>
        </w:tc>
      </w:tr>
      <w:tr>
        <w:trPr>
          <w:trHeight w:val="1292" w:hRule="atLeast"/>
        </w:trPr>
        <w:tc>
          <w:tcPr>
            <w:tcW w:w="8875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tabs>
                <w:tab w:pos="1487" w:val="left" w:leader="none"/>
              </w:tabs>
              <w:spacing w:line="292" w:lineRule="exact" w:before="0"/>
              <w:ind w:left="69"/>
              <w:jc w:val="left"/>
              <w:rPr>
                <w:b/>
                <w:sz w:val="24"/>
              </w:rPr>
            </w:pPr>
            <w:r>
              <w:rPr>
                <w:b/>
                <w:color w:val="C00000"/>
                <w:sz w:val="24"/>
              </w:rPr>
              <w:t>Nabídka</w:t>
            </w:r>
            <w:r>
              <w:rPr>
                <w:b/>
                <w:color w:val="C00000"/>
                <w:spacing w:val="-3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č.:</w:t>
              <w:tab/>
              <w:t>SP</w:t>
            </w:r>
            <w:r>
              <w:rPr>
                <w:b/>
                <w:color w:val="C00000"/>
                <w:spacing w:val="-5"/>
                <w:sz w:val="24"/>
              </w:rPr>
              <w:t> </w:t>
            </w:r>
            <w:r>
              <w:rPr>
                <w:b/>
                <w:color w:val="C00000"/>
                <w:sz w:val="24"/>
              </w:rPr>
              <w:t>25-01-15/010</w:t>
            </w:r>
          </w:p>
          <w:p>
            <w:pPr>
              <w:pStyle w:val="TableParagraph"/>
              <w:tabs>
                <w:tab w:pos="1485" w:val="left" w:leader="none"/>
                <w:tab w:pos="4317" w:val="left" w:leader="none"/>
              </w:tabs>
              <w:spacing w:line="412" w:lineRule="auto" w:before="0"/>
              <w:ind w:left="45" w:right="1838" w:firstLine="24"/>
              <w:jc w:val="left"/>
              <w:rPr>
                <w:sz w:val="22"/>
              </w:rPr>
            </w:pPr>
            <w:r>
              <w:rPr>
                <w:sz w:val="22"/>
              </w:rPr>
              <w:t>Ze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dne:</w:t>
              <w:tab/>
              <w:t>15.01.2025</w:t>
              <w:tab/>
              <w:t>Platnost nabídky do: 1.4.2025 Vyhotovil: xxx, tel.: xxx email: </w:t>
            </w:r>
            <w:hyperlink r:id="rId7">
              <w:r>
                <w:rPr>
                  <w:color w:val="0000FF"/>
                  <w:sz w:val="22"/>
                  <w:u w:val="single" w:color="0000FF"/>
                </w:rPr>
                <w:t>xxx@xxx</w:t>
              </w:r>
              <w:r>
                <w:rPr>
                  <w:sz w:val="22"/>
                </w:rPr>
                <w:t>;</w:t>
              </w:r>
              <w:r>
                <w:rPr>
                  <w:spacing w:val="1"/>
                  <w:sz w:val="22"/>
                </w:rPr>
                <w:t> </w:t>
              </w:r>
            </w:hyperlink>
            <w:r>
              <w:rPr>
                <w:color w:val="0000FF"/>
                <w:sz w:val="22"/>
                <w:u w:val="single" w:color="0000FF"/>
              </w:rPr>
              <w:t>xxx@</w:t>
            </w:r>
            <w:r>
              <w:rPr>
                <w:sz w:val="22"/>
              </w:rPr>
              <w:t>xxx</w:t>
            </w:r>
          </w:p>
        </w:tc>
      </w:tr>
    </w:tbl>
    <w:p>
      <w:pPr>
        <w:pStyle w:val="BodyText"/>
        <w:spacing w:before="5"/>
        <w:rPr>
          <w:rFonts w:ascii="Times New Roman"/>
        </w:rPr>
      </w:pPr>
    </w:p>
    <w:p>
      <w:pPr>
        <w:spacing w:before="84"/>
        <w:ind w:left="116" w:right="0" w:firstLine="0"/>
        <w:jc w:val="left"/>
        <w:rPr>
          <w:b/>
          <w:sz w:val="28"/>
        </w:rPr>
      </w:pPr>
      <w:r>
        <w:rPr>
          <w:rFonts w:ascii="Times New Roman" w:hAnsi="Times New Roman"/>
          <w:color w:val="FF0000"/>
          <w:spacing w:val="-8"/>
          <w:w w:val="100"/>
          <w:sz w:val="28"/>
          <w:u w:val="single" w:color="FF0000"/>
        </w:rPr>
        <w:t> </w:t>
      </w:r>
      <w:r>
        <w:rPr>
          <w:b/>
          <w:color w:val="FF0000"/>
          <w:sz w:val="28"/>
          <w:u w:val="single" w:color="FF0000"/>
        </w:rPr>
        <w:t>Míchačka žáruvzdorných hmot</w:t>
      </w:r>
      <w:r>
        <w:rPr>
          <w:b/>
          <w:color w:val="FF0000"/>
          <w:spacing w:val="-7"/>
          <w:sz w:val="28"/>
          <w:u w:val="single" w:color="FF0000"/>
        </w:rPr>
        <w:t> </w:t>
      </w:r>
      <w:r>
        <w:rPr>
          <w:b/>
          <w:color w:val="FF0000"/>
          <w:sz w:val="28"/>
          <w:u w:val="single" w:color="FF0000"/>
        </w:rPr>
        <w:t>HMZ-20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before="57"/>
        <w:ind w:left="116"/>
      </w:pPr>
      <w:r>
        <w:rPr/>
        <w:t>Laboratorní míchačka je určena pro přípravu betonových směsí a malt v objemu do 13 litrů /dle konsistence/ v laboratořích oboru stavebních</w:t>
      </w:r>
      <w:r>
        <w:rPr>
          <w:spacing w:val="-10"/>
        </w:rPr>
        <w:t> </w:t>
      </w:r>
      <w:r>
        <w:rPr/>
        <w:t>hmot.</w:t>
      </w:r>
    </w:p>
    <w:p>
      <w:pPr>
        <w:pStyle w:val="BodyText"/>
        <w:ind w:left="116" w:right="585"/>
      </w:pPr>
      <w:r>
        <w:rPr/>
        <w:t>Míchačka má samostatný pohon lopatky a míchací nádoby. Lopatka je umístěna excentricky vůči nádobě, umožňuje to nastavování technologické mezery mezi lopatkou, dnem a stěnou nádoby v rozsahu cca 2 až 20 mm. Ovládací elektro panel je umístěn na boku míchačky, nebo na</w:t>
      </w:r>
    </w:p>
    <w:p>
      <w:pPr>
        <w:pStyle w:val="BodyText"/>
        <w:spacing w:before="1"/>
        <w:ind w:left="116"/>
      </w:pPr>
      <w:r>
        <w:rPr/>
        <w:t>samostatném stojanu. Elektro panel obsahuje start a stop jednotlivých pohonů, central stop a hlavní vypínač.</w:t>
      </w:r>
    </w:p>
    <w:p>
      <w:pPr>
        <w:pStyle w:val="BodyText"/>
        <w:spacing w:before="128"/>
        <w:ind w:left="116" w:right="110"/>
        <w:jc w:val="both"/>
      </w:pPr>
      <w:r>
        <w:rPr/>
        <w:t>Typ HMZ-20 2f je doplněn o frekvenční měnič ( 2 ks.) pro lopatku a pro nádobu, které plynule regulují otáčky lopatky a nádoby v nastaveném poměru . Lopatku je možno regulovat v rozmezí  15 až 180 ot./ min. a nádobu v rozmezí 5 až 60 ot./</w:t>
      </w:r>
      <w:r>
        <w:rPr>
          <w:spacing w:val="-10"/>
        </w:rPr>
        <w:t> </w:t>
      </w:r>
      <w:r>
        <w:rPr/>
        <w:t>min.</w:t>
      </w:r>
    </w:p>
    <w:p>
      <w:pPr>
        <w:pStyle w:val="BodyText"/>
        <w:spacing w:before="12"/>
        <w:rPr>
          <w:sz w:val="11"/>
        </w:rPr>
      </w:pPr>
    </w:p>
    <w:tbl>
      <w:tblPr>
        <w:tblW w:w="0" w:type="auto"/>
        <w:jc w:val="left"/>
        <w:tblInd w:w="187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0"/>
        <w:gridCol w:w="2128"/>
        <w:gridCol w:w="2257"/>
      </w:tblGrid>
      <w:tr>
        <w:trPr>
          <w:trHeight w:val="273" w:hRule="atLeast"/>
        </w:trPr>
        <w:tc>
          <w:tcPr>
            <w:tcW w:w="3860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239" w:lineRule="exact" w:before="14"/>
              <w:ind w:left="994" w:right="985"/>
              <w:rPr>
                <w:b/>
                <w:sz w:val="20"/>
              </w:rPr>
            </w:pPr>
            <w:r>
              <w:rPr>
                <w:b/>
                <w:sz w:val="20"/>
              </w:rPr>
              <w:t>Technická data</w:t>
            </w:r>
          </w:p>
        </w:tc>
        <w:tc>
          <w:tcPr>
            <w:tcW w:w="2128" w:type="dxa"/>
            <w:tcBorders>
              <w:right w:val="double" w:sz="2" w:space="0" w:color="EFEFEF"/>
            </w:tcBorders>
          </w:tcPr>
          <w:p>
            <w:pPr>
              <w:pStyle w:val="TableParagraph"/>
              <w:spacing w:line="239" w:lineRule="exact" w:before="14"/>
              <w:ind w:right="219"/>
              <w:rPr>
                <w:b/>
                <w:sz w:val="20"/>
              </w:rPr>
            </w:pPr>
            <w:r>
              <w:rPr>
                <w:b/>
                <w:sz w:val="20"/>
              </w:rPr>
              <w:t>HMZ-20</w:t>
            </w:r>
          </w:p>
        </w:tc>
        <w:tc>
          <w:tcPr>
            <w:tcW w:w="225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239" w:lineRule="exact" w:before="14"/>
              <w:ind w:left="70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HMZ-20 2f</w:t>
            </w:r>
          </w:p>
        </w:tc>
      </w:tr>
      <w:tr>
        <w:trPr>
          <w:trHeight w:val="271" w:hRule="atLeast"/>
        </w:trPr>
        <w:tc>
          <w:tcPr>
            <w:tcW w:w="3860" w:type="dxa"/>
            <w:tcBorders>
              <w:left w:val="double" w:sz="2" w:space="0" w:color="EFEFEF"/>
            </w:tcBorders>
          </w:tcPr>
          <w:p>
            <w:pPr>
              <w:pStyle w:val="TableParagraph"/>
              <w:ind w:left="994" w:right="987"/>
              <w:rPr>
                <w:sz w:val="20"/>
              </w:rPr>
            </w:pPr>
            <w:r>
              <w:rPr>
                <w:sz w:val="20"/>
              </w:rPr>
              <w:t>Rozměry ( š x d x v )</w:t>
            </w:r>
          </w:p>
        </w:tc>
        <w:tc>
          <w:tcPr>
            <w:tcW w:w="2128" w:type="dxa"/>
            <w:tcBorders>
              <w:right w:val="double" w:sz="2" w:space="0" w:color="EFEFEF"/>
            </w:tcBorders>
          </w:tcPr>
          <w:p>
            <w:pPr>
              <w:pStyle w:val="TableParagraph"/>
              <w:ind w:right="262"/>
              <w:rPr>
                <w:sz w:val="20"/>
              </w:rPr>
            </w:pPr>
            <w:r>
              <w:rPr>
                <w:sz w:val="20"/>
              </w:rPr>
              <w:t>500x800x1220mm</w:t>
            </w:r>
          </w:p>
        </w:tc>
        <w:tc>
          <w:tcPr>
            <w:tcW w:w="2257" w:type="dxa"/>
            <w:tcBorders>
              <w:left w:val="double" w:sz="2" w:space="0" w:color="EFEFEF"/>
            </w:tcBorders>
          </w:tcPr>
          <w:p>
            <w:pPr>
              <w:pStyle w:val="TableParagraph"/>
              <w:ind w:left="384"/>
              <w:jc w:val="left"/>
              <w:rPr>
                <w:sz w:val="20"/>
              </w:rPr>
            </w:pPr>
            <w:r>
              <w:rPr>
                <w:sz w:val="20"/>
              </w:rPr>
              <w:t>500x800x1220mm</w:t>
            </w:r>
          </w:p>
        </w:tc>
      </w:tr>
      <w:tr>
        <w:trPr>
          <w:trHeight w:val="274" w:hRule="atLeast"/>
        </w:trPr>
        <w:tc>
          <w:tcPr>
            <w:tcW w:w="3860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239" w:lineRule="exact"/>
              <w:ind w:left="994" w:right="986"/>
              <w:rPr>
                <w:sz w:val="20"/>
              </w:rPr>
            </w:pPr>
            <w:r>
              <w:rPr>
                <w:sz w:val="20"/>
              </w:rPr>
              <w:t>Objem nádoby</w:t>
            </w:r>
          </w:p>
        </w:tc>
        <w:tc>
          <w:tcPr>
            <w:tcW w:w="2128" w:type="dxa"/>
            <w:tcBorders>
              <w:right w:val="double" w:sz="2" w:space="0" w:color="EFEFEF"/>
            </w:tcBorders>
          </w:tcPr>
          <w:p>
            <w:pPr>
              <w:pStyle w:val="TableParagraph"/>
              <w:spacing w:line="239" w:lineRule="exact"/>
              <w:ind w:right="215"/>
              <w:rPr>
                <w:sz w:val="20"/>
              </w:rPr>
            </w:pPr>
            <w:r>
              <w:rPr>
                <w:sz w:val="20"/>
              </w:rPr>
              <w:t>20l.</w:t>
            </w:r>
          </w:p>
        </w:tc>
        <w:tc>
          <w:tcPr>
            <w:tcW w:w="225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239" w:lineRule="exact"/>
              <w:ind w:left="833" w:right="771"/>
              <w:rPr>
                <w:sz w:val="20"/>
              </w:rPr>
            </w:pPr>
            <w:r>
              <w:rPr>
                <w:sz w:val="20"/>
              </w:rPr>
              <w:t>20l.</w:t>
            </w:r>
          </w:p>
        </w:tc>
      </w:tr>
      <w:tr>
        <w:trPr>
          <w:trHeight w:val="530" w:hRule="atLeast"/>
        </w:trPr>
        <w:tc>
          <w:tcPr>
            <w:tcW w:w="3860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240" w:lineRule="auto" w:before="142"/>
              <w:ind w:left="994" w:right="987"/>
              <w:rPr>
                <w:sz w:val="20"/>
              </w:rPr>
            </w:pPr>
            <w:r>
              <w:rPr>
                <w:sz w:val="20"/>
              </w:rPr>
              <w:t>Objem míchané směsi</w:t>
            </w:r>
          </w:p>
        </w:tc>
        <w:tc>
          <w:tcPr>
            <w:tcW w:w="2128" w:type="dxa"/>
            <w:tcBorders>
              <w:right w:val="double" w:sz="2" w:space="0" w:color="EFEFEF"/>
            </w:tcBorders>
          </w:tcPr>
          <w:p>
            <w:pPr>
              <w:pStyle w:val="TableParagraph"/>
              <w:spacing w:line="240" w:lineRule="auto"/>
              <w:ind w:right="214"/>
              <w:rPr>
                <w:sz w:val="20"/>
              </w:rPr>
            </w:pPr>
            <w:r>
              <w:rPr>
                <w:sz w:val="20"/>
              </w:rPr>
              <w:t>až 13l.</w:t>
            </w:r>
          </w:p>
        </w:tc>
        <w:tc>
          <w:tcPr>
            <w:tcW w:w="225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240" w:lineRule="auto"/>
              <w:ind w:left="833" w:right="770"/>
              <w:rPr>
                <w:sz w:val="20"/>
              </w:rPr>
            </w:pPr>
            <w:r>
              <w:rPr>
                <w:sz w:val="20"/>
              </w:rPr>
              <w:t>až 13l.</w:t>
            </w:r>
          </w:p>
        </w:tc>
      </w:tr>
      <w:tr>
        <w:trPr>
          <w:trHeight w:val="271" w:hRule="atLeast"/>
        </w:trPr>
        <w:tc>
          <w:tcPr>
            <w:tcW w:w="3860" w:type="dxa"/>
            <w:tcBorders>
              <w:left w:val="double" w:sz="2" w:space="0" w:color="EFEFEF"/>
            </w:tcBorders>
          </w:tcPr>
          <w:p>
            <w:pPr>
              <w:pStyle w:val="TableParagraph"/>
              <w:ind w:left="994" w:right="985"/>
              <w:rPr>
                <w:sz w:val="20"/>
              </w:rPr>
            </w:pPr>
            <w:r>
              <w:rPr>
                <w:sz w:val="20"/>
              </w:rPr>
              <w:t>Otáčky lopatek</w:t>
            </w:r>
          </w:p>
        </w:tc>
        <w:tc>
          <w:tcPr>
            <w:tcW w:w="2128" w:type="dxa"/>
            <w:tcBorders>
              <w:right w:val="double" w:sz="2" w:space="0" w:color="EFEFEF"/>
            </w:tcBorders>
          </w:tcPr>
          <w:p>
            <w:pPr>
              <w:pStyle w:val="TableParagraph"/>
              <w:ind w:right="220"/>
              <w:rPr>
                <w:sz w:val="20"/>
              </w:rPr>
            </w:pPr>
            <w:r>
              <w:rPr>
                <w:sz w:val="20"/>
              </w:rPr>
              <w:t>138 ot./ min</w:t>
            </w:r>
          </w:p>
        </w:tc>
        <w:tc>
          <w:tcPr>
            <w:tcW w:w="2257" w:type="dxa"/>
            <w:tcBorders>
              <w:left w:val="double" w:sz="2" w:space="0" w:color="EFEFEF"/>
            </w:tcBorders>
          </w:tcPr>
          <w:p>
            <w:pPr>
              <w:pStyle w:val="TableParagraph"/>
              <w:ind w:left="446"/>
              <w:jc w:val="left"/>
              <w:rPr>
                <w:sz w:val="20"/>
              </w:rPr>
            </w:pPr>
            <w:r>
              <w:rPr>
                <w:sz w:val="20"/>
              </w:rPr>
              <w:t>15 až 180ot./min</w:t>
            </w:r>
          </w:p>
        </w:tc>
      </w:tr>
      <w:tr>
        <w:trPr>
          <w:trHeight w:val="274" w:hRule="atLeast"/>
        </w:trPr>
        <w:tc>
          <w:tcPr>
            <w:tcW w:w="3860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239" w:lineRule="exact"/>
              <w:ind w:left="994" w:right="986"/>
              <w:rPr>
                <w:sz w:val="20"/>
              </w:rPr>
            </w:pPr>
            <w:r>
              <w:rPr>
                <w:sz w:val="20"/>
              </w:rPr>
              <w:t>Otáčky nádoby</w:t>
            </w:r>
          </w:p>
        </w:tc>
        <w:tc>
          <w:tcPr>
            <w:tcW w:w="2128" w:type="dxa"/>
            <w:tcBorders>
              <w:right w:val="double" w:sz="2" w:space="0" w:color="EFEFEF"/>
            </w:tcBorders>
          </w:tcPr>
          <w:p>
            <w:pPr>
              <w:pStyle w:val="TableParagraph"/>
              <w:spacing w:line="239" w:lineRule="exact"/>
              <w:ind w:right="218"/>
              <w:rPr>
                <w:sz w:val="20"/>
              </w:rPr>
            </w:pPr>
            <w:r>
              <w:rPr>
                <w:sz w:val="20"/>
              </w:rPr>
              <w:t>46 ot./min</w:t>
            </w:r>
          </w:p>
        </w:tc>
        <w:tc>
          <w:tcPr>
            <w:tcW w:w="225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239" w:lineRule="exact"/>
              <w:ind w:left="386"/>
              <w:jc w:val="left"/>
              <w:rPr>
                <w:sz w:val="20"/>
              </w:rPr>
            </w:pPr>
            <w:r>
              <w:rPr>
                <w:sz w:val="20"/>
              </w:rPr>
              <w:t>5 až 60 ot./min</w:t>
            </w:r>
          </w:p>
        </w:tc>
      </w:tr>
      <w:tr>
        <w:trPr>
          <w:trHeight w:val="271" w:hRule="atLeast"/>
        </w:trPr>
        <w:tc>
          <w:tcPr>
            <w:tcW w:w="3860" w:type="dxa"/>
            <w:tcBorders>
              <w:left w:val="double" w:sz="2" w:space="0" w:color="EFEFEF"/>
            </w:tcBorders>
          </w:tcPr>
          <w:p>
            <w:pPr>
              <w:pStyle w:val="TableParagraph"/>
              <w:ind w:left="994" w:right="985"/>
              <w:rPr>
                <w:sz w:val="20"/>
              </w:rPr>
            </w:pPr>
            <w:r>
              <w:rPr>
                <w:sz w:val="20"/>
              </w:rPr>
              <w:t>Příkon</w:t>
            </w:r>
          </w:p>
        </w:tc>
        <w:tc>
          <w:tcPr>
            <w:tcW w:w="2128" w:type="dxa"/>
            <w:tcBorders>
              <w:right w:val="double" w:sz="2" w:space="0" w:color="EFEFEF"/>
            </w:tcBorders>
          </w:tcPr>
          <w:p>
            <w:pPr>
              <w:pStyle w:val="TableParagraph"/>
              <w:ind w:right="215"/>
              <w:rPr>
                <w:sz w:val="20"/>
              </w:rPr>
            </w:pPr>
            <w:r>
              <w:rPr>
                <w:sz w:val="20"/>
              </w:rPr>
              <w:t>2,6 kW</w:t>
            </w:r>
          </w:p>
        </w:tc>
        <w:tc>
          <w:tcPr>
            <w:tcW w:w="2257" w:type="dxa"/>
            <w:tcBorders>
              <w:left w:val="double" w:sz="2" w:space="0" w:color="EFEFEF"/>
            </w:tcBorders>
          </w:tcPr>
          <w:p>
            <w:pPr>
              <w:pStyle w:val="TableParagraph"/>
              <w:ind w:left="833" w:right="771"/>
              <w:rPr>
                <w:sz w:val="20"/>
              </w:rPr>
            </w:pPr>
            <w:r>
              <w:rPr>
                <w:sz w:val="20"/>
              </w:rPr>
              <w:t>2,6 kW</w:t>
            </w:r>
          </w:p>
        </w:tc>
      </w:tr>
      <w:tr>
        <w:trPr>
          <w:trHeight w:val="274" w:hRule="atLeast"/>
        </w:trPr>
        <w:tc>
          <w:tcPr>
            <w:tcW w:w="3860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7"/>
              <w:ind w:left="994" w:right="987"/>
              <w:rPr>
                <w:sz w:val="20"/>
              </w:rPr>
            </w:pPr>
            <w:r>
              <w:rPr>
                <w:sz w:val="20"/>
              </w:rPr>
              <w:t>Napájecí napětí</w:t>
            </w:r>
          </w:p>
        </w:tc>
        <w:tc>
          <w:tcPr>
            <w:tcW w:w="2128" w:type="dxa"/>
            <w:tcBorders>
              <w:right w:val="double" w:sz="2" w:space="0" w:color="EFEFEF"/>
            </w:tcBorders>
          </w:tcPr>
          <w:p>
            <w:pPr>
              <w:pStyle w:val="TableParagraph"/>
              <w:spacing w:before="17"/>
              <w:ind w:right="220"/>
              <w:rPr>
                <w:sz w:val="20"/>
              </w:rPr>
            </w:pPr>
            <w:r>
              <w:rPr>
                <w:sz w:val="20"/>
              </w:rPr>
              <w:t>3x400 / 50 Hz</w:t>
            </w:r>
          </w:p>
        </w:tc>
        <w:tc>
          <w:tcPr>
            <w:tcW w:w="2257" w:type="dxa"/>
            <w:tcBorders>
              <w:left w:val="double" w:sz="2" w:space="0" w:color="EFEFEF"/>
            </w:tcBorders>
          </w:tcPr>
          <w:p>
            <w:pPr>
              <w:pStyle w:val="TableParagraph"/>
              <w:spacing w:before="17"/>
              <w:ind w:left="580"/>
              <w:jc w:val="left"/>
              <w:rPr>
                <w:sz w:val="20"/>
              </w:rPr>
            </w:pPr>
            <w:r>
              <w:rPr>
                <w:sz w:val="20"/>
              </w:rPr>
              <w:t>3x400 / 50 Hz</w:t>
            </w:r>
          </w:p>
        </w:tc>
      </w:tr>
      <w:tr>
        <w:trPr>
          <w:trHeight w:val="273" w:hRule="atLeast"/>
        </w:trPr>
        <w:tc>
          <w:tcPr>
            <w:tcW w:w="3860" w:type="dxa"/>
            <w:tcBorders>
              <w:left w:val="double" w:sz="2" w:space="0" w:color="EFEFEF"/>
            </w:tcBorders>
          </w:tcPr>
          <w:p>
            <w:pPr>
              <w:pStyle w:val="TableParagraph"/>
              <w:spacing w:line="238" w:lineRule="exact"/>
              <w:ind w:left="994" w:right="985"/>
              <w:rPr>
                <w:sz w:val="20"/>
              </w:rPr>
            </w:pPr>
            <w:r>
              <w:rPr>
                <w:sz w:val="20"/>
              </w:rPr>
              <w:t>Hmotnost</w:t>
            </w:r>
          </w:p>
        </w:tc>
        <w:tc>
          <w:tcPr>
            <w:tcW w:w="2128" w:type="dxa"/>
          </w:tcPr>
          <w:p>
            <w:pPr>
              <w:pStyle w:val="TableParagraph"/>
              <w:spacing w:line="238" w:lineRule="exact"/>
              <w:ind w:right="219"/>
              <w:rPr>
                <w:sz w:val="20"/>
              </w:rPr>
            </w:pPr>
            <w:r>
              <w:rPr>
                <w:sz w:val="20"/>
              </w:rPr>
              <w:t>140 kg</w:t>
            </w:r>
          </w:p>
        </w:tc>
        <w:tc>
          <w:tcPr>
            <w:tcW w:w="2257" w:type="dxa"/>
          </w:tcPr>
          <w:p>
            <w:pPr>
              <w:pStyle w:val="TableParagraph"/>
              <w:spacing w:line="238" w:lineRule="exact"/>
              <w:ind w:left="829" w:right="771"/>
              <w:rPr>
                <w:sz w:val="20"/>
              </w:rPr>
            </w:pPr>
            <w:r>
              <w:rPr>
                <w:sz w:val="20"/>
              </w:rPr>
              <w:t>155 kg</w:t>
            </w:r>
          </w:p>
        </w:tc>
      </w:tr>
    </w:tbl>
    <w:p>
      <w:pPr>
        <w:pStyle w:val="BodyText"/>
        <w:spacing w:before="6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937894</wp:posOffset>
            </wp:positionH>
            <wp:positionV relativeFrom="paragraph">
              <wp:posOffset>190169</wp:posOffset>
            </wp:positionV>
            <wp:extent cx="1934593" cy="1450086"/>
            <wp:effectExtent l="0" t="0" r="0" b="0"/>
            <wp:wrapTopAndBottom/>
            <wp:docPr id="3" name="image2.jpeg" descr="M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593" cy="14500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231.899994pt;margin-top:14.506pt;width:278.55pt;height:114.5pt;mso-position-horizontal-relative:page;mso-position-vertical-relative:paragraph;z-index:-251657216;mso-wrap-distance-left:0;mso-wrap-distance-right:0" coordorigin="4638,290" coordsize="5571,2290">
            <v:shape style="position:absolute;left:4638;top:299;width:1930;height:2271" type="#_x0000_t75" alt="různé 010" stroked="false">
              <v:imagedata r:id="rId9" o:title=""/>
            </v:shape>
            <v:shape style="position:absolute;left:6628;top:290;width:2047;height:2289" type="#_x0000_t75" stroked="false">
              <v:imagedata r:id="rId10" o:title=""/>
            </v:shape>
            <v:shape style="position:absolute;left:8735;top:291;width:1474;height:2288" type="#_x0000_t75" stroked="false">
              <v:imagedata r:id="rId11" o:title=""/>
            </v:shape>
            <w10:wrap type="topAndBottom"/>
          </v:group>
        </w:pict>
      </w:r>
    </w:p>
    <w:p>
      <w:pPr>
        <w:tabs>
          <w:tab w:pos="3484" w:val="left" w:leader="none"/>
          <w:tab w:pos="6318" w:val="left" w:leader="none"/>
          <w:tab w:pos="7569" w:val="left" w:leader="none"/>
        </w:tabs>
        <w:spacing w:before="0"/>
        <w:ind w:left="1470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HMZ-20</w:t>
        <w:tab/>
        <w:t>lopatka   HMZ</w:t>
      </w:r>
      <w:r>
        <w:rPr>
          <w:rFonts w:ascii="Times New Roman" w:hAnsi="Times New Roman"/>
          <w:i/>
          <w:spacing w:val="-5"/>
          <w:sz w:val="18"/>
        </w:rPr>
        <w:t> </w:t>
      </w:r>
      <w:r>
        <w:rPr>
          <w:rFonts w:ascii="Times New Roman" w:hAnsi="Times New Roman"/>
          <w:i/>
          <w:sz w:val="18"/>
        </w:rPr>
        <w:t>20,</w:t>
      </w:r>
      <w:r>
        <w:rPr>
          <w:rFonts w:ascii="Times New Roman" w:hAnsi="Times New Roman"/>
          <w:i/>
          <w:spacing w:val="-1"/>
          <w:sz w:val="18"/>
        </w:rPr>
        <w:t> </w:t>
      </w:r>
      <w:r>
        <w:rPr>
          <w:rFonts w:ascii="Times New Roman" w:hAnsi="Times New Roman"/>
          <w:i/>
          <w:sz w:val="18"/>
        </w:rPr>
        <w:t>mísa</w:t>
        <w:tab/>
        <w:t>HMZ</w:t>
      </w:r>
      <w:r>
        <w:rPr>
          <w:rFonts w:ascii="Times New Roman" w:hAnsi="Times New Roman"/>
          <w:i/>
          <w:spacing w:val="-3"/>
          <w:sz w:val="18"/>
        </w:rPr>
        <w:t> </w:t>
      </w:r>
      <w:r>
        <w:rPr>
          <w:rFonts w:ascii="Times New Roman" w:hAnsi="Times New Roman"/>
          <w:i/>
          <w:sz w:val="18"/>
        </w:rPr>
        <w:t>20</w:t>
      </w:r>
      <w:r>
        <w:rPr>
          <w:rFonts w:ascii="Times New Roman" w:hAnsi="Times New Roman"/>
          <w:i/>
          <w:spacing w:val="2"/>
          <w:sz w:val="18"/>
        </w:rPr>
        <w:t> </w:t>
      </w:r>
      <w:r>
        <w:rPr>
          <w:rFonts w:ascii="Times New Roman" w:hAnsi="Times New Roman"/>
          <w:sz w:val="18"/>
        </w:rPr>
        <w:t>2f</w:t>
        <w:tab/>
      </w:r>
      <w:r>
        <w:rPr>
          <w:rFonts w:ascii="Times New Roman" w:hAnsi="Times New Roman"/>
          <w:i/>
          <w:sz w:val="18"/>
        </w:rPr>
        <w:t>rozvaděč HMZ 20</w:t>
      </w:r>
      <w:r>
        <w:rPr>
          <w:rFonts w:ascii="Times New Roman" w:hAnsi="Times New Roman"/>
          <w:i/>
          <w:spacing w:val="-4"/>
          <w:sz w:val="18"/>
        </w:rPr>
        <w:t> </w:t>
      </w:r>
      <w:r>
        <w:rPr>
          <w:rFonts w:ascii="Times New Roman" w:hAnsi="Times New Roman"/>
          <w:i/>
          <w:sz w:val="18"/>
        </w:rPr>
        <w:t>2f</w:t>
      </w:r>
    </w:p>
    <w:p>
      <w:pPr>
        <w:spacing w:after="0"/>
        <w:jc w:val="left"/>
        <w:rPr>
          <w:rFonts w:ascii="Times New Roman" w:hAnsi="Times New Roman"/>
          <w:sz w:val="18"/>
        </w:rPr>
        <w:sectPr>
          <w:headerReference w:type="default" r:id="rId5"/>
          <w:footerReference w:type="default" r:id="rId6"/>
          <w:type w:val="continuous"/>
          <w:pgSz w:w="11910" w:h="16840"/>
          <w:pgMar w:header="497" w:footer="292" w:top="1380" w:bottom="480" w:left="1300" w:right="1300"/>
          <w:pgNumType w:start="1"/>
        </w:sectPr>
      </w:pPr>
    </w:p>
    <w:p>
      <w:pPr>
        <w:spacing w:line="240" w:lineRule="auto"/>
        <w:ind w:left="117" w:right="0" w:firstLine="0"/>
        <w:rPr>
          <w:rFonts w:ascii="Times New Roman"/>
          <w:sz w:val="20"/>
        </w:rPr>
      </w:pPr>
      <w:r>
        <w:rPr>
          <w:rFonts w:ascii="Times New Roman"/>
          <w:position w:val="2"/>
          <w:sz w:val="20"/>
        </w:rPr>
        <w:drawing>
          <wp:inline distT="0" distB="0" distL="0" distR="0">
            <wp:extent cx="1274158" cy="778192"/>
            <wp:effectExtent l="0" t="0" r="0" b="0"/>
            <wp:docPr id="5" name="image6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4158" cy="778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"/>
          <w:sz w:val="20"/>
        </w:rPr>
      </w:r>
      <w:r>
        <w:rPr>
          <w:rFonts w:ascii="Times New Roman"/>
          <w:spacing w:val="103"/>
          <w:position w:val="2"/>
          <w:sz w:val="20"/>
        </w:rPr>
        <w:t> </w:t>
      </w:r>
      <w:r>
        <w:rPr>
          <w:rFonts w:ascii="Times New Roman"/>
          <w:spacing w:val="103"/>
          <w:sz w:val="20"/>
        </w:rPr>
        <w:drawing>
          <wp:inline distT="0" distB="0" distL="0" distR="0">
            <wp:extent cx="1352169" cy="762762"/>
            <wp:effectExtent l="0" t="0" r="0" b="0"/>
            <wp:docPr id="7" name="image7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7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169" cy="762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03"/>
          <w:sz w:val="20"/>
        </w:rPr>
      </w:r>
      <w:r>
        <w:rPr>
          <w:rFonts w:ascii="Times New Roman"/>
          <w:spacing w:val="47"/>
          <w:sz w:val="20"/>
        </w:rPr>
        <w:t> </w:t>
      </w:r>
      <w:r>
        <w:rPr>
          <w:rFonts w:ascii="Times New Roman"/>
          <w:spacing w:val="47"/>
          <w:sz w:val="20"/>
        </w:rPr>
        <w:pict>
          <v:group style="width:188.1pt;height:58.75pt;mso-position-horizontal-relative:char;mso-position-vertical-relative:line" coordorigin="0,0" coordsize="3762,1175">
            <v:shape style="position:absolute;left:0;top:0;width:1927;height:1175" type="#_x0000_t75" stroked="false">
              <v:imagedata r:id="rId14" o:title=""/>
            </v:shape>
            <v:shape style="position:absolute;left:1987;top:4;width:1775;height:1168" type="#_x0000_t75" stroked="false">
              <v:imagedata r:id="rId15" o:title=""/>
            </v:shape>
          </v:group>
        </w:pict>
      </w:r>
      <w:r>
        <w:rPr>
          <w:rFonts w:ascii="Times New Roman"/>
          <w:spacing w:val="47"/>
          <w:sz w:val="20"/>
        </w:rPr>
      </w:r>
    </w:p>
    <w:p>
      <w:pPr>
        <w:tabs>
          <w:tab w:pos="6743" w:val="left" w:leader="none"/>
        </w:tabs>
        <w:spacing w:line="205" w:lineRule="exact" w:before="0"/>
        <w:ind w:left="656" w:right="0" w:firstLine="0"/>
        <w:jc w:val="left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Nastavení vertikální a horizontální  mezery a pojištění</w:t>
      </w:r>
      <w:r>
        <w:rPr>
          <w:rFonts w:ascii="Times New Roman" w:hAnsi="Times New Roman"/>
          <w:i/>
          <w:spacing w:val="-22"/>
          <w:sz w:val="18"/>
        </w:rPr>
        <w:t> </w:t>
      </w:r>
      <w:r>
        <w:rPr>
          <w:rFonts w:ascii="Times New Roman" w:hAnsi="Times New Roman"/>
          <w:i/>
          <w:sz w:val="18"/>
        </w:rPr>
        <w:t>středovým</w:t>
      </w:r>
      <w:r>
        <w:rPr>
          <w:rFonts w:ascii="Times New Roman" w:hAnsi="Times New Roman"/>
          <w:i/>
          <w:spacing w:val="-4"/>
          <w:sz w:val="18"/>
        </w:rPr>
        <w:t> </w:t>
      </w:r>
      <w:r>
        <w:rPr>
          <w:rFonts w:ascii="Times New Roman" w:hAnsi="Times New Roman"/>
          <w:i/>
          <w:sz w:val="18"/>
        </w:rPr>
        <w:t>šroubem</w:t>
        <w:tab/>
        <w:t>Přenášení nádoby</w:t>
      </w:r>
    </w:p>
    <w:p>
      <w:pPr>
        <w:pStyle w:val="BodyText"/>
        <w:rPr>
          <w:rFonts w:ascii="Times New Roman"/>
          <w:i/>
          <w:sz w:val="20"/>
        </w:rPr>
      </w:pPr>
    </w:p>
    <w:p>
      <w:pPr>
        <w:pStyle w:val="BodyText"/>
        <w:spacing w:before="6"/>
        <w:rPr>
          <w:rFonts w:ascii="Times New Roman"/>
          <w:i/>
          <w:sz w:val="23"/>
        </w:rPr>
      </w:pPr>
    </w:p>
    <w:p>
      <w:pPr>
        <w:spacing w:line="293" w:lineRule="exact" w:before="0"/>
        <w:ind w:left="116" w:right="0" w:firstLine="0"/>
        <w:jc w:val="left"/>
        <w:rPr>
          <w:b/>
          <w:sz w:val="24"/>
        </w:rPr>
      </w:pPr>
      <w:r>
        <w:rPr>
          <w:b/>
          <w:sz w:val="24"/>
          <w:u w:val="single"/>
        </w:rPr>
        <w:t>Pozn.- doplnění :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37" w:lineRule="auto" w:before="2" w:after="0"/>
        <w:ind w:left="836" w:right="297" w:hanging="360"/>
        <w:jc w:val="left"/>
        <w:rPr>
          <w:sz w:val="22"/>
        </w:rPr>
      </w:pPr>
      <w:r>
        <w:rPr>
          <w:sz w:val="22"/>
        </w:rPr>
        <w:t>Bezpečnostní kryt s mřížkou pro sypání směsi za chodu, ručně zvedaný, pojištěný koncovým spínačem, možnost</w:t>
      </w:r>
      <w:r>
        <w:rPr>
          <w:spacing w:val="-3"/>
          <w:sz w:val="22"/>
        </w:rPr>
        <w:t> </w:t>
      </w:r>
      <w:r>
        <w:rPr>
          <w:sz w:val="22"/>
        </w:rPr>
        <w:t>překlenutí.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40" w:lineRule="auto" w:before="1" w:after="0"/>
        <w:ind w:left="836" w:right="0" w:hanging="361"/>
        <w:jc w:val="left"/>
        <w:rPr>
          <w:sz w:val="22"/>
        </w:rPr>
      </w:pPr>
      <w:r>
        <w:rPr>
          <w:sz w:val="22"/>
        </w:rPr>
        <w:t>Jednotlivé motory v kombinaci s</w:t>
      </w:r>
      <w:r>
        <w:rPr>
          <w:spacing w:val="-2"/>
          <w:sz w:val="22"/>
        </w:rPr>
        <w:t> </w:t>
      </w:r>
      <w:r>
        <w:rPr>
          <w:sz w:val="22"/>
        </w:rPr>
        <w:t>převodovkou.</w:t>
      </w:r>
    </w:p>
    <w:p>
      <w:pPr>
        <w:pStyle w:val="BodyText"/>
        <w:ind w:left="836"/>
      </w:pPr>
      <w:r>
        <w:rPr/>
        <w:t>Výkon motoru metly, 1,1 kW, výkon motoru nádoby 1,1 kW 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40" w:lineRule="auto" w:before="1" w:after="0"/>
        <w:ind w:left="836" w:right="0" w:hanging="361"/>
        <w:jc w:val="left"/>
        <w:rPr>
          <w:sz w:val="22"/>
        </w:rPr>
      </w:pPr>
      <w:r>
        <w:rPr>
          <w:sz w:val="22"/>
        </w:rPr>
        <w:t>Lopatka a nádoba z nerez oceli</w:t>
      </w:r>
      <w:r>
        <w:rPr>
          <w:spacing w:val="49"/>
          <w:sz w:val="22"/>
        </w:rPr>
        <w:t> </w:t>
      </w:r>
      <w:r>
        <w:rPr>
          <w:sz w:val="22"/>
        </w:rPr>
        <w:t>otěruvzdorné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40" w:lineRule="auto" w:before="0" w:after="0"/>
        <w:ind w:left="836" w:right="0" w:hanging="361"/>
        <w:jc w:val="left"/>
        <w:rPr>
          <w:color w:val="FF0000"/>
          <w:sz w:val="22"/>
        </w:rPr>
      </w:pPr>
      <w:r>
        <w:rPr/>
        <w:pict>
          <v:group style="position:absolute;margin-left:58.400002pt;margin-top:1.823608pt;width:478.15pt;height:343.8pt;mso-position-horizontal-relative:page;mso-position-vertical-relative:paragraph;z-index:-251896832" coordorigin="1168,36" coordsize="9563,6876">
            <v:shape style="position:absolute;left:1168;top:36;width:9467;height:6753" type="#_x0000_t75" alt="úprava loga" stroked="false">
              <v:imagedata r:id="rId16" o:title=""/>
            </v:shape>
            <v:shape style="position:absolute;left:1168;top:121;width:9563;height:6791" type="#_x0000_t75" alt="úprava loga" stroked="false">
              <v:imagedata r:id="rId17" o:title=""/>
            </v:shape>
            <w10:wrap type="none"/>
          </v:group>
        </w:pict>
      </w:r>
      <w:r>
        <w:rPr>
          <w:color w:val="FF0000"/>
          <w:sz w:val="22"/>
        </w:rPr>
        <w:t>Nízko-otáčkový režim při uzavírání mísy je možný s kombinací tlačítek pro obě</w:t>
      </w:r>
      <w:r>
        <w:rPr>
          <w:color w:val="FF0000"/>
          <w:spacing w:val="-10"/>
          <w:sz w:val="22"/>
        </w:rPr>
        <w:t> </w:t>
      </w:r>
      <w:r>
        <w:rPr>
          <w:color w:val="FF0000"/>
          <w:sz w:val="22"/>
        </w:rPr>
        <w:t>ruce.</w:t>
      </w:r>
    </w:p>
    <w:p>
      <w:pPr>
        <w:pStyle w:val="BodyText"/>
        <w:ind w:left="836"/>
      </w:pPr>
      <w:r>
        <w:rPr>
          <w:color w:val="FF0000"/>
        </w:rPr>
        <w:t>PŘÍPLATEK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40" w:lineRule="auto" w:before="1" w:after="0"/>
        <w:ind w:left="836" w:right="0" w:hanging="361"/>
        <w:jc w:val="left"/>
        <w:rPr>
          <w:sz w:val="22"/>
        </w:rPr>
      </w:pPr>
      <w:r>
        <w:rPr>
          <w:sz w:val="22"/>
        </w:rPr>
        <w:t>Otáčky mísy a lopatky</w:t>
      </w:r>
      <w:r>
        <w:rPr>
          <w:spacing w:val="-2"/>
          <w:sz w:val="22"/>
        </w:rPr>
        <w:t> </w:t>
      </w:r>
      <w:r>
        <w:rPr>
          <w:sz w:val="22"/>
        </w:rPr>
        <w:t>regulovatelné.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40" w:lineRule="auto" w:before="0" w:after="0"/>
        <w:ind w:left="836" w:right="0" w:hanging="361"/>
        <w:jc w:val="left"/>
        <w:rPr>
          <w:color w:val="FF0000"/>
          <w:sz w:val="22"/>
        </w:rPr>
      </w:pPr>
      <w:r>
        <w:rPr>
          <w:color w:val="FF0000"/>
          <w:sz w:val="22"/>
        </w:rPr>
        <w:t>Nastavení doby míchání je možné -</w:t>
      </w:r>
      <w:r>
        <w:rPr>
          <w:color w:val="FF0000"/>
          <w:spacing w:val="-9"/>
          <w:sz w:val="22"/>
        </w:rPr>
        <w:t> </w:t>
      </w:r>
      <w:r>
        <w:rPr>
          <w:color w:val="FF0000"/>
          <w:sz w:val="22"/>
        </w:rPr>
        <w:t>PŘÍPLATEK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40" w:lineRule="auto" w:before="0" w:after="0"/>
        <w:ind w:left="836" w:right="312" w:hanging="360"/>
        <w:jc w:val="left"/>
        <w:rPr>
          <w:sz w:val="22"/>
        </w:rPr>
      </w:pPr>
      <w:r>
        <w:rPr>
          <w:sz w:val="22"/>
        </w:rPr>
        <w:t>Směr míchání mísy je daný zámky pro uchycení mísy. Směr točení lopatky je rovněž daný a je proti směru otáčení</w:t>
      </w:r>
      <w:r>
        <w:rPr>
          <w:spacing w:val="-6"/>
          <w:sz w:val="22"/>
        </w:rPr>
        <w:t> </w:t>
      </w:r>
      <w:r>
        <w:rPr>
          <w:sz w:val="22"/>
        </w:rPr>
        <w:t>mísy</w:t>
      </w:r>
    </w:p>
    <w:p>
      <w:pPr>
        <w:pStyle w:val="ListParagraph"/>
        <w:numPr>
          <w:ilvl w:val="0"/>
          <w:numId w:val="1"/>
        </w:numPr>
        <w:tabs>
          <w:tab w:pos="836" w:val="left" w:leader="none"/>
          <w:tab w:pos="837" w:val="left" w:leader="none"/>
        </w:tabs>
        <w:spacing w:line="267" w:lineRule="exact" w:before="0" w:after="0"/>
        <w:ind w:left="836" w:right="0" w:hanging="361"/>
        <w:jc w:val="left"/>
        <w:rPr>
          <w:sz w:val="22"/>
        </w:rPr>
      </w:pPr>
      <w:r>
        <w:rPr>
          <w:sz w:val="22"/>
        </w:rPr>
        <w:t>Manipulace s mísou pomocí ruční</w:t>
      </w:r>
      <w:r>
        <w:rPr>
          <w:spacing w:val="-5"/>
          <w:sz w:val="22"/>
        </w:rPr>
        <w:t> </w:t>
      </w:r>
      <w:r>
        <w:rPr>
          <w:sz w:val="22"/>
        </w:rPr>
        <w:t>tyčky.</w:t>
      </w:r>
    </w:p>
    <w:p>
      <w:pPr>
        <w:pStyle w:val="BodyText"/>
        <w:rPr>
          <w:sz w:val="24"/>
        </w:rPr>
      </w:pPr>
    </w:p>
    <w:p>
      <w:pPr>
        <w:pStyle w:val="Heading1"/>
      </w:pPr>
      <w:r>
        <w:rPr/>
        <w:t>Cenová nabídka: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5781" w:val="left" w:leader="none"/>
        </w:tabs>
        <w:spacing w:line="240" w:lineRule="auto" w:before="1" w:after="0"/>
        <w:ind w:left="399" w:right="0" w:hanging="284"/>
        <w:jc w:val="left"/>
        <w:rPr>
          <w:sz w:val="22"/>
        </w:rPr>
      </w:pPr>
      <w:r>
        <w:rPr>
          <w:sz w:val="22"/>
        </w:rPr>
        <w:t>míchačka</w:t>
      </w:r>
      <w:r>
        <w:rPr>
          <w:spacing w:val="-1"/>
          <w:sz w:val="22"/>
        </w:rPr>
        <w:t> </w:t>
      </w:r>
      <w:r>
        <w:rPr>
          <w:sz w:val="22"/>
        </w:rPr>
        <w:t>HMZ</w:t>
      </w:r>
      <w:r>
        <w:rPr>
          <w:spacing w:val="-3"/>
          <w:sz w:val="22"/>
        </w:rPr>
        <w:t> </w:t>
      </w:r>
      <w:r>
        <w:rPr>
          <w:sz w:val="22"/>
        </w:rPr>
        <w:t>20</w:t>
        <w:tab/>
        <w:t>166 930,00</w:t>
      </w:r>
      <w:r>
        <w:rPr>
          <w:spacing w:val="-6"/>
          <w:sz w:val="22"/>
        </w:rPr>
        <w:t> </w:t>
      </w:r>
      <w:r>
        <w:rPr>
          <w:sz w:val="22"/>
        </w:rPr>
        <w:t>CZK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5781" w:val="left" w:leader="none"/>
        </w:tabs>
        <w:spacing w:line="240" w:lineRule="auto" w:before="0" w:after="0"/>
        <w:ind w:left="399" w:right="0" w:hanging="284"/>
        <w:jc w:val="left"/>
        <w:rPr>
          <w:sz w:val="22"/>
        </w:rPr>
      </w:pPr>
      <w:r>
        <w:rPr>
          <w:sz w:val="22"/>
        </w:rPr>
        <w:t>míchačka HMZ</w:t>
      </w:r>
      <w:r>
        <w:rPr>
          <w:spacing w:val="-4"/>
          <w:sz w:val="22"/>
        </w:rPr>
        <w:t> </w:t>
      </w:r>
      <w:r>
        <w:rPr>
          <w:sz w:val="22"/>
        </w:rPr>
        <w:t>20</w:t>
      </w:r>
      <w:r>
        <w:rPr>
          <w:spacing w:val="-2"/>
          <w:sz w:val="22"/>
        </w:rPr>
        <w:t> </w:t>
      </w:r>
      <w:r>
        <w:rPr>
          <w:sz w:val="22"/>
        </w:rPr>
        <w:t>2f</w:t>
        <w:tab/>
        <w:t>192 020.00</w:t>
      </w:r>
      <w:r>
        <w:rPr>
          <w:spacing w:val="-5"/>
          <w:sz w:val="22"/>
        </w:rPr>
        <w:t> </w:t>
      </w:r>
      <w:r>
        <w:rPr>
          <w:sz w:val="22"/>
        </w:rPr>
        <w:t>CZK</w:t>
      </w:r>
    </w:p>
    <w:p>
      <w:pPr>
        <w:pStyle w:val="BodyText"/>
      </w:pPr>
    </w:p>
    <w:p>
      <w:pPr>
        <w:pStyle w:val="Heading1"/>
      </w:pPr>
      <w:r>
        <w:rPr/>
        <w:t>Volitelné: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5882" w:val="left" w:leader="none"/>
        </w:tabs>
        <w:spacing w:line="240" w:lineRule="auto" w:before="1" w:after="0"/>
        <w:ind w:left="399" w:right="0" w:hanging="284"/>
        <w:jc w:val="left"/>
        <w:rPr>
          <w:sz w:val="22"/>
        </w:rPr>
      </w:pPr>
      <w:r>
        <w:rPr>
          <w:sz w:val="22"/>
        </w:rPr>
        <w:t>nízkootáčkový</w:t>
      </w:r>
      <w:r>
        <w:rPr>
          <w:spacing w:val="-1"/>
          <w:sz w:val="22"/>
        </w:rPr>
        <w:t> </w:t>
      </w:r>
      <w:r>
        <w:rPr>
          <w:sz w:val="22"/>
        </w:rPr>
        <w:t>režim</w:t>
        <w:tab/>
        <w:t>5 500,00</w:t>
      </w:r>
      <w:r>
        <w:rPr>
          <w:spacing w:val="-8"/>
          <w:sz w:val="22"/>
        </w:rPr>
        <w:t> </w:t>
      </w:r>
      <w:r>
        <w:rPr>
          <w:sz w:val="22"/>
        </w:rPr>
        <w:t>CZK</w:t>
      </w:r>
    </w:p>
    <w:p>
      <w:pPr>
        <w:pStyle w:val="ListParagraph"/>
        <w:numPr>
          <w:ilvl w:val="0"/>
          <w:numId w:val="2"/>
        </w:numPr>
        <w:tabs>
          <w:tab w:pos="400" w:val="left" w:leader="none"/>
          <w:tab w:pos="5882" w:val="left" w:leader="none"/>
        </w:tabs>
        <w:spacing w:line="240" w:lineRule="auto" w:before="0" w:after="0"/>
        <w:ind w:left="399" w:right="0" w:hanging="284"/>
        <w:jc w:val="left"/>
        <w:rPr>
          <w:sz w:val="22"/>
        </w:rPr>
      </w:pPr>
      <w:r>
        <w:rPr>
          <w:sz w:val="22"/>
        </w:rPr>
        <w:t>nastavení</w:t>
      </w:r>
      <w:r>
        <w:rPr>
          <w:spacing w:val="-3"/>
          <w:sz w:val="22"/>
        </w:rPr>
        <w:t> </w:t>
      </w:r>
      <w:r>
        <w:rPr>
          <w:sz w:val="22"/>
        </w:rPr>
        <w:t>času</w:t>
      </w:r>
      <w:r>
        <w:rPr>
          <w:spacing w:val="-2"/>
          <w:sz w:val="22"/>
        </w:rPr>
        <w:t> </w:t>
      </w:r>
      <w:r>
        <w:rPr>
          <w:sz w:val="22"/>
        </w:rPr>
        <w:t>míchání</w:t>
        <w:tab/>
        <w:t>4 800,00</w:t>
      </w:r>
      <w:r>
        <w:rPr>
          <w:spacing w:val="-7"/>
          <w:sz w:val="22"/>
        </w:rPr>
        <w:t> </w:t>
      </w:r>
      <w:r>
        <w:rPr>
          <w:sz w:val="22"/>
        </w:rPr>
        <w:t>CZK</w:t>
      </w:r>
    </w:p>
    <w:p>
      <w:pPr>
        <w:pStyle w:val="BodyText"/>
        <w:rPr>
          <w:sz w:val="24"/>
        </w:rPr>
      </w:pPr>
    </w:p>
    <w:p>
      <w:pPr>
        <w:tabs>
          <w:tab w:pos="5781" w:val="left" w:leader="none"/>
        </w:tabs>
        <w:spacing w:before="1"/>
        <w:ind w:left="116" w:right="0" w:firstLine="0"/>
        <w:jc w:val="left"/>
        <w:rPr>
          <w:sz w:val="24"/>
        </w:rPr>
      </w:pPr>
      <w:r>
        <w:rPr>
          <w:b/>
          <w:sz w:val="24"/>
        </w:rPr>
        <w:t>Balné, doprava,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instalace,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zaškolení</w:t>
        <w:tab/>
      </w:r>
      <w:r>
        <w:rPr>
          <w:sz w:val="24"/>
        </w:rPr>
        <w:t>7 500,00</w:t>
      </w:r>
      <w:r>
        <w:rPr>
          <w:spacing w:val="-3"/>
          <w:sz w:val="24"/>
        </w:rPr>
        <w:t> </w:t>
      </w:r>
      <w:r>
        <w:rPr>
          <w:sz w:val="24"/>
        </w:rPr>
        <w:t>CZK</w:t>
      </w:r>
    </w:p>
    <w:p>
      <w:pPr>
        <w:pStyle w:val="BodyText"/>
        <w:spacing w:before="11"/>
        <w:rPr>
          <w:sz w:val="23"/>
        </w:rPr>
      </w:pPr>
    </w:p>
    <w:p>
      <w:pPr>
        <w:pStyle w:val="Heading1"/>
      </w:pPr>
      <w:r>
        <w:rPr/>
        <w:t>Pouznámka:</w:t>
      </w:r>
    </w:p>
    <w:p>
      <w:pPr>
        <w:spacing w:before="1"/>
        <w:ind w:left="116" w:right="799" w:firstLine="0"/>
        <w:jc w:val="left"/>
        <w:rPr>
          <w:b/>
          <w:sz w:val="22"/>
        </w:rPr>
      </w:pPr>
      <w:r>
        <w:rPr>
          <w:b/>
          <w:sz w:val="22"/>
        </w:rPr>
        <w:t>Je možné vyrobit také atypickou míchačku s pevnými otáčkami nádoby a s regulací lopatky . Cena 179 000,- CZK</w:t>
      </w:r>
    </w:p>
    <w:p>
      <w:pPr>
        <w:pStyle w:val="BodyText"/>
        <w:rPr>
          <w:b/>
        </w:rPr>
      </w:pPr>
    </w:p>
    <w:p>
      <w:pPr>
        <w:spacing w:line="267" w:lineRule="exact" w:before="0"/>
        <w:ind w:left="116" w:right="0" w:firstLine="0"/>
        <w:jc w:val="left"/>
        <w:rPr>
          <w:b/>
          <w:sz w:val="22"/>
        </w:rPr>
      </w:pPr>
      <w:r>
        <w:rPr>
          <w:b/>
          <w:sz w:val="22"/>
        </w:rPr>
        <w:t>Obchodní podmínky:</w:t>
      </w: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267" w:lineRule="exact" w:before="0" w:after="0"/>
        <w:ind w:left="543" w:right="0" w:hanging="361"/>
        <w:jc w:val="left"/>
        <w:rPr>
          <w:sz w:val="22"/>
        </w:rPr>
      </w:pPr>
      <w:r>
        <w:rPr>
          <w:sz w:val="22"/>
        </w:rPr>
        <w:t>Ceny jsou uvedeny v CZK, bez</w:t>
      </w:r>
      <w:r>
        <w:rPr>
          <w:spacing w:val="-7"/>
          <w:sz w:val="22"/>
        </w:rPr>
        <w:t> </w:t>
      </w:r>
      <w:r>
        <w:rPr>
          <w:sz w:val="22"/>
        </w:rPr>
        <w:t>DPH</w:t>
      </w: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240" w:lineRule="auto" w:before="1" w:after="0"/>
        <w:ind w:left="543" w:right="0" w:hanging="361"/>
        <w:jc w:val="left"/>
        <w:rPr>
          <w:sz w:val="22"/>
        </w:rPr>
      </w:pPr>
      <w:r>
        <w:rPr>
          <w:sz w:val="22"/>
        </w:rPr>
        <w:t>Dodací lhůta – 10 až 12 týdnů ( dlouhé dodací termíny komponentů, převodovky</w:t>
      </w:r>
      <w:r>
        <w:rPr>
          <w:spacing w:val="-17"/>
          <w:sz w:val="22"/>
        </w:rPr>
        <w:t> </w:t>
      </w:r>
      <w:r>
        <w:rPr>
          <w:sz w:val="22"/>
        </w:rPr>
        <w:t>apod.)</w:t>
      </w: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240" w:lineRule="auto" w:before="0" w:after="0"/>
        <w:ind w:left="543" w:right="0" w:hanging="361"/>
        <w:jc w:val="left"/>
        <w:rPr>
          <w:sz w:val="22"/>
        </w:rPr>
      </w:pPr>
      <w:r>
        <w:rPr>
          <w:sz w:val="22"/>
        </w:rPr>
        <w:t>Způsob platby – záloha 30 %, 70% na fakturu, splatnost 4</w:t>
      </w:r>
      <w:r>
        <w:rPr>
          <w:spacing w:val="-9"/>
          <w:sz w:val="22"/>
        </w:rPr>
        <w:t> </w:t>
      </w:r>
      <w:r>
        <w:rPr>
          <w:sz w:val="22"/>
        </w:rPr>
        <w:t>týdny</w:t>
      </w:r>
    </w:p>
    <w:p>
      <w:pPr>
        <w:pStyle w:val="ListParagraph"/>
        <w:numPr>
          <w:ilvl w:val="0"/>
          <w:numId w:val="2"/>
        </w:numPr>
        <w:tabs>
          <w:tab w:pos="544" w:val="left" w:leader="none"/>
        </w:tabs>
        <w:spacing w:line="240" w:lineRule="auto" w:before="0" w:after="0"/>
        <w:ind w:left="543" w:right="0" w:hanging="361"/>
        <w:jc w:val="left"/>
        <w:rPr>
          <w:sz w:val="22"/>
        </w:rPr>
      </w:pPr>
      <w:r>
        <w:rPr>
          <w:sz w:val="22"/>
        </w:rPr>
        <w:t>Záruka 2</w:t>
      </w:r>
      <w:r>
        <w:rPr>
          <w:spacing w:val="-3"/>
          <w:sz w:val="22"/>
        </w:rPr>
        <w:t> </w:t>
      </w:r>
      <w:r>
        <w:rPr>
          <w:sz w:val="22"/>
        </w:rPr>
        <w:t>roky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spacing w:before="1"/>
        <w:ind w:left="116"/>
      </w:pPr>
      <w:r>
        <w:rPr/>
        <w:t>Těšíme se na spolupráci a rádi zodpovíme Vaše případné dotazy.</w:t>
      </w:r>
    </w:p>
    <w:p>
      <w:pPr>
        <w:pStyle w:val="BodyText"/>
        <w:spacing w:before="9"/>
        <w:rPr>
          <w:sz w:val="28"/>
        </w:rPr>
      </w:pPr>
    </w:p>
    <w:p>
      <w:pPr>
        <w:spacing w:before="0"/>
        <w:ind w:left="116" w:right="0" w:firstLine="0"/>
        <w:jc w:val="left"/>
        <w:rPr>
          <w:i/>
          <w:sz w:val="20"/>
        </w:rPr>
      </w:pPr>
      <w:r>
        <w:rPr>
          <w:i/>
          <w:sz w:val="20"/>
        </w:rPr>
        <w:t>S pozdravem</w:t>
      </w:r>
    </w:p>
    <w:p>
      <w:pPr>
        <w:spacing w:before="1"/>
        <w:ind w:left="116" w:right="0" w:firstLine="0"/>
        <w:jc w:val="left"/>
        <w:rPr>
          <w:b/>
          <w:i/>
          <w:sz w:val="20"/>
        </w:rPr>
      </w:pPr>
      <w:r>
        <w:rPr>
          <w:b/>
          <w:i/>
          <w:sz w:val="20"/>
        </w:rPr>
        <w:t>xxxx</w:t>
      </w:r>
    </w:p>
    <w:p>
      <w:pPr>
        <w:pStyle w:val="BodyText"/>
        <w:spacing w:before="11"/>
        <w:rPr>
          <w:b/>
          <w:i/>
          <w:sz w:val="19"/>
        </w:rPr>
      </w:pPr>
    </w:p>
    <w:p>
      <w:pPr>
        <w:spacing w:before="0"/>
        <w:ind w:left="116" w:right="0" w:firstLine="0"/>
        <w:jc w:val="left"/>
        <w:rPr>
          <w:sz w:val="20"/>
        </w:rPr>
      </w:pPr>
      <w:r>
        <w:rPr>
          <w:sz w:val="20"/>
        </w:rPr>
        <w:t>Brio Hranice s.r.o.</w:t>
      </w:r>
    </w:p>
    <w:p>
      <w:pPr>
        <w:spacing w:before="0"/>
        <w:ind w:left="116" w:right="0" w:firstLine="0"/>
        <w:jc w:val="left"/>
        <w:rPr>
          <w:sz w:val="20"/>
        </w:rPr>
      </w:pPr>
      <w:r>
        <w:rPr>
          <w:sz w:val="20"/>
        </w:rPr>
        <w:t>Teplická 232</w:t>
      </w:r>
    </w:p>
    <w:p>
      <w:pPr>
        <w:spacing w:before="1"/>
        <w:ind w:left="116" w:right="0" w:firstLine="0"/>
        <w:jc w:val="left"/>
        <w:rPr>
          <w:sz w:val="20"/>
        </w:rPr>
      </w:pPr>
      <w:r>
        <w:rPr>
          <w:sz w:val="20"/>
        </w:rPr>
        <w:t>753 01 Hranice</w:t>
      </w:r>
    </w:p>
    <w:p>
      <w:pPr>
        <w:pStyle w:val="BodyText"/>
        <w:spacing w:before="9"/>
        <w:rPr>
          <w:sz w:val="15"/>
        </w:rPr>
      </w:pPr>
    </w:p>
    <w:p>
      <w:pPr>
        <w:spacing w:line="195" w:lineRule="exact" w:before="0"/>
        <w:ind w:left="116" w:right="0" w:firstLine="0"/>
        <w:jc w:val="left"/>
        <w:rPr>
          <w:sz w:val="16"/>
        </w:rPr>
      </w:pPr>
      <w:r>
        <w:rPr>
          <w:sz w:val="16"/>
        </w:rPr>
        <w:t>Mob.: + 420 724 080 133</w:t>
      </w:r>
    </w:p>
    <w:p>
      <w:pPr>
        <w:tabs>
          <w:tab w:pos="653" w:val="left" w:leader="none"/>
        </w:tabs>
        <w:spacing w:before="0"/>
        <w:ind w:left="116" w:right="7317" w:firstLine="0"/>
        <w:jc w:val="left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950500</wp:posOffset>
            </wp:positionH>
            <wp:positionV relativeFrom="paragraph">
              <wp:posOffset>298586</wp:posOffset>
            </wp:positionV>
            <wp:extent cx="957220" cy="251460"/>
            <wp:effectExtent l="0" t="0" r="0" b="0"/>
            <wp:wrapTopAndBottom/>
            <wp:docPr id="9" name="image12.jpeg" descr="cid:image001.jpg@01CDEE55.A576CE70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2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220" cy="251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251895808" from="98.783997pt,8.81719pt" to="164.423997pt,8.81719pt" stroked="true" strokeweight=".48pt" strokecolor="#c00000">
            <v:stroke dashstyle="solid"/>
            <w10:wrap type="none"/>
          </v:line>
        </w:pict>
      </w:r>
      <w:r>
        <w:rPr>
          <w:sz w:val="16"/>
        </w:rPr>
        <w:t>e-mail: </w:t>
      </w:r>
      <w:hyperlink r:id="rId19">
        <w:r>
          <w:rPr>
            <w:color w:val="C00000"/>
            <w:sz w:val="16"/>
          </w:rPr>
          <w:t>info@briohranice.cz</w:t>
        </w:r>
      </w:hyperlink>
      <w:r>
        <w:rPr>
          <w:sz w:val="16"/>
        </w:rPr>
        <w:t> web:</w:t>
        <w:tab/>
      </w:r>
      <w:hyperlink r:id="rId20">
        <w:r>
          <w:rPr>
            <w:color w:val="C00000"/>
            <w:sz w:val="16"/>
            <w:u w:val="single" w:color="C00000"/>
          </w:rPr>
          <w:t>www.briohranice.cz</w:t>
        </w:r>
      </w:hyperlink>
    </w:p>
    <w:sectPr>
      <w:pgSz w:w="11910" w:h="16840"/>
      <w:pgMar w:header="497" w:footer="292" w:top="1380" w:bottom="4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Calibri">
    <w:altName w:val="Calibri"/>
    <w:charset w:val="EE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91.890015pt;margin-top:816.295959pt;width:11.6pt;height:13.05pt;mso-position-horizontal-relative:page;mso-position-vertical-relative:page;z-index:-25189990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60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251415552">
          <wp:simplePos x="0" y="0"/>
          <wp:positionH relativeFrom="page">
            <wp:posOffset>5403215</wp:posOffset>
          </wp:positionH>
          <wp:positionV relativeFrom="page">
            <wp:posOffset>315594</wp:posOffset>
          </wp:positionV>
          <wp:extent cx="1360805" cy="365488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60805" cy="36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"/>
      <w:lvlJc w:val="left"/>
      <w:pPr>
        <w:ind w:left="399" w:hanging="284"/>
      </w:pPr>
      <w:rPr>
        <w:rFonts w:hint="default" w:ascii="Wingdings" w:hAnsi="Wingdings" w:eastAsia="Wingdings" w:cs="Wingdings"/>
        <w:w w:val="100"/>
        <w:sz w:val="22"/>
        <w:szCs w:val="22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290" w:hanging="284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181" w:hanging="284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071" w:hanging="284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3962" w:hanging="284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4853" w:hanging="284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743" w:hanging="284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634" w:hanging="284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525" w:hanging="284"/>
      </w:pPr>
      <w:rPr>
        <w:rFonts w:hint="default"/>
        <w:lang w:val="cs-CZ" w:eastAsia="cs-CZ" w:bidi="cs-CZ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836" w:hanging="360"/>
      </w:pPr>
      <w:rPr>
        <w:rFonts w:hint="default"/>
        <w:w w:val="100"/>
        <w:lang w:val="cs-CZ" w:eastAsia="cs-CZ" w:bidi="cs-CZ"/>
      </w:rPr>
    </w:lvl>
    <w:lvl w:ilvl="1">
      <w:start w:val="0"/>
      <w:numFmt w:val="bullet"/>
      <w:lvlText w:val="•"/>
      <w:lvlJc w:val="left"/>
      <w:pPr>
        <w:ind w:left="1686" w:hanging="360"/>
      </w:pPr>
      <w:rPr>
        <w:rFonts w:hint="default"/>
        <w:lang w:val="cs-CZ" w:eastAsia="cs-CZ" w:bidi="cs-CZ"/>
      </w:rPr>
    </w:lvl>
    <w:lvl w:ilvl="2">
      <w:start w:val="0"/>
      <w:numFmt w:val="bullet"/>
      <w:lvlText w:val="•"/>
      <w:lvlJc w:val="left"/>
      <w:pPr>
        <w:ind w:left="2533" w:hanging="360"/>
      </w:pPr>
      <w:rPr>
        <w:rFonts w:hint="default"/>
        <w:lang w:val="cs-CZ" w:eastAsia="cs-CZ" w:bidi="cs-CZ"/>
      </w:rPr>
    </w:lvl>
    <w:lvl w:ilvl="3">
      <w:start w:val="0"/>
      <w:numFmt w:val="bullet"/>
      <w:lvlText w:val="•"/>
      <w:lvlJc w:val="left"/>
      <w:pPr>
        <w:ind w:left="3379" w:hanging="360"/>
      </w:pPr>
      <w:rPr>
        <w:rFonts w:hint="default"/>
        <w:lang w:val="cs-CZ" w:eastAsia="cs-CZ" w:bidi="cs-CZ"/>
      </w:rPr>
    </w:lvl>
    <w:lvl w:ilvl="4">
      <w:start w:val="0"/>
      <w:numFmt w:val="bullet"/>
      <w:lvlText w:val="•"/>
      <w:lvlJc w:val="left"/>
      <w:pPr>
        <w:ind w:left="4226" w:hanging="360"/>
      </w:pPr>
      <w:rPr>
        <w:rFonts w:hint="default"/>
        <w:lang w:val="cs-CZ" w:eastAsia="cs-CZ" w:bidi="cs-CZ"/>
      </w:rPr>
    </w:lvl>
    <w:lvl w:ilvl="5">
      <w:start w:val="0"/>
      <w:numFmt w:val="bullet"/>
      <w:lvlText w:val="•"/>
      <w:lvlJc w:val="left"/>
      <w:pPr>
        <w:ind w:left="5073" w:hanging="360"/>
      </w:pPr>
      <w:rPr>
        <w:rFonts w:hint="default"/>
        <w:lang w:val="cs-CZ" w:eastAsia="cs-CZ" w:bidi="cs-CZ"/>
      </w:rPr>
    </w:lvl>
    <w:lvl w:ilvl="6">
      <w:start w:val="0"/>
      <w:numFmt w:val="bullet"/>
      <w:lvlText w:val="•"/>
      <w:lvlJc w:val="left"/>
      <w:pPr>
        <w:ind w:left="5919" w:hanging="360"/>
      </w:pPr>
      <w:rPr>
        <w:rFonts w:hint="default"/>
        <w:lang w:val="cs-CZ" w:eastAsia="cs-CZ" w:bidi="cs-CZ"/>
      </w:rPr>
    </w:lvl>
    <w:lvl w:ilvl="7">
      <w:start w:val="0"/>
      <w:numFmt w:val="bullet"/>
      <w:lvlText w:val="•"/>
      <w:lvlJc w:val="left"/>
      <w:pPr>
        <w:ind w:left="6766" w:hanging="360"/>
      </w:pPr>
      <w:rPr>
        <w:rFonts w:hint="default"/>
        <w:lang w:val="cs-CZ" w:eastAsia="cs-CZ" w:bidi="cs-CZ"/>
      </w:rPr>
    </w:lvl>
    <w:lvl w:ilvl="8">
      <w:start w:val="0"/>
      <w:numFmt w:val="bullet"/>
      <w:lvlText w:val="•"/>
      <w:lvlJc w:val="left"/>
      <w:pPr>
        <w:ind w:left="7613" w:hanging="360"/>
      </w:pPr>
      <w:rPr>
        <w:rFonts w:hint="default"/>
        <w:lang w:val="cs-CZ" w:eastAsia="cs-CZ" w:bidi="cs-CZ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cs-CZ" w:eastAsia="cs-CZ" w:bidi="cs-CZ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cs-CZ" w:eastAsia="cs-CZ" w:bidi="cs-CZ"/>
    </w:rPr>
  </w:style>
  <w:style w:styleId="Heading1" w:type="paragraph">
    <w:name w:val="Heading 1"/>
    <w:basedOn w:val="Normal"/>
    <w:uiPriority w:val="1"/>
    <w:qFormat/>
    <w:pPr>
      <w:ind w:left="116"/>
      <w:outlineLvl w:val="1"/>
    </w:pPr>
    <w:rPr>
      <w:rFonts w:ascii="Calibri" w:hAnsi="Calibri" w:eastAsia="Calibri" w:cs="Calibri"/>
      <w:b/>
      <w:bCs/>
      <w:sz w:val="22"/>
      <w:szCs w:val="22"/>
      <w:lang w:val="cs-CZ" w:eastAsia="cs-CZ" w:bidi="cs-CZ"/>
    </w:rPr>
  </w:style>
  <w:style w:styleId="ListParagraph" w:type="paragraph">
    <w:name w:val="List Paragraph"/>
    <w:basedOn w:val="Normal"/>
    <w:uiPriority w:val="1"/>
    <w:qFormat/>
    <w:pPr>
      <w:ind w:left="836" w:hanging="361"/>
    </w:pPr>
    <w:rPr>
      <w:rFonts w:ascii="Calibri" w:hAnsi="Calibri" w:eastAsia="Calibri" w:cs="Calibri"/>
      <w:lang w:val="cs-CZ" w:eastAsia="cs-CZ" w:bidi="cs-CZ"/>
    </w:rPr>
  </w:style>
  <w:style w:styleId="TableParagraph" w:type="paragraph">
    <w:name w:val="Table Paragraph"/>
    <w:basedOn w:val="Normal"/>
    <w:uiPriority w:val="1"/>
    <w:qFormat/>
    <w:pPr>
      <w:spacing w:before="15" w:line="237" w:lineRule="exact"/>
      <w:ind w:left="274"/>
      <w:jc w:val="center"/>
    </w:pPr>
    <w:rPr>
      <w:rFonts w:ascii="Calibri" w:hAnsi="Calibri" w:eastAsia="Calibri" w:cs="Calibri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mailto:sprencl@briohranice.cz" TargetMode="External"/><Relationship Id="rId8" Type="http://schemas.openxmlformats.org/officeDocument/2006/relationships/image" Target="media/image2.jpeg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jpeg"/><Relationship Id="rId13" Type="http://schemas.openxmlformats.org/officeDocument/2006/relationships/image" Target="media/image7.jpeg"/><Relationship Id="rId14" Type="http://schemas.openxmlformats.org/officeDocument/2006/relationships/image" Target="media/image8.jpeg"/><Relationship Id="rId15" Type="http://schemas.openxmlformats.org/officeDocument/2006/relationships/image" Target="media/image9.jpeg"/><Relationship Id="rId16" Type="http://schemas.openxmlformats.org/officeDocument/2006/relationships/image" Target="media/image10.jpeg"/><Relationship Id="rId17" Type="http://schemas.openxmlformats.org/officeDocument/2006/relationships/image" Target="media/image11.jpeg"/><Relationship Id="rId18" Type="http://schemas.openxmlformats.org/officeDocument/2006/relationships/image" Target="media/image12.jpeg"/><Relationship Id="rId19" Type="http://schemas.openxmlformats.org/officeDocument/2006/relationships/hyperlink" Target="mailto:info@briohranice.cz" TargetMode="External"/><Relationship Id="rId20" Type="http://schemas.openxmlformats.org/officeDocument/2006/relationships/hyperlink" Target="http://www.briohranice.cz/" TargetMode="External"/><Relationship Id="rId21" Type="http://schemas.openxmlformats.org/officeDocument/2006/relationships/numbering" Target="numbering.xml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dcterms:created xsi:type="dcterms:W3CDTF">2025-04-02T09:08:05Z</dcterms:created>
  <dcterms:modified xsi:type="dcterms:W3CDTF">2025-04-02T09:08:05Z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2025-04-02T00:00:00Z</vt:filetime>
  </property>
</Properties>
</file>