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2C0E8" w14:textId="77777777" w:rsidR="009A1986" w:rsidRDefault="00D12394">
      <w:pPr>
        <w:spacing w:before="83"/>
        <w:ind w:left="132"/>
        <w:rPr>
          <w:b/>
        </w:rPr>
      </w:pPr>
      <w:r>
        <w:pict w14:anchorId="478FB4BA">
          <v:line id="_x0000_s1038" style="position:absolute;left:0;text-align:left;z-index:251660288;mso-position-horizontal-relative:page" from="433.9pt,5.4pt" to="433.9pt,33.35pt" strokecolor="#ee2722" strokeweight=".33692mm">
            <w10:wrap anchorx="page"/>
          </v:line>
        </w:pict>
      </w:r>
      <w:r>
        <w:pict w14:anchorId="6F151CBC">
          <v:line id="_x0000_s1037" style="position:absolute;left:0;text-align:left;z-index:251661312;mso-position-horizontal-relative:page" from="463.8pt,5.4pt" to="463.8pt,33.35pt" strokecolor="#ee2722" strokeweight=".82392mm">
            <w10:wrap anchorx="page"/>
          </v:line>
        </w:pict>
      </w:r>
      <w:r>
        <w:pict w14:anchorId="17FC37FC">
          <v:line id="_x0000_s1036" style="position:absolute;left:0;text-align:left;z-index:251662336;mso-position-horizontal-relative:page" from="496.1pt,5.4pt" to="496.1pt,33.35pt" strokecolor="#ee2722" strokeweight="1.98506mm">
            <w10:wrap anchorx="page"/>
          </v:line>
        </w:pict>
      </w:r>
      <w:r>
        <w:pict w14:anchorId="41FC7060">
          <v:rect id="_x0000_s1035" style="position:absolute;left:0;text-align:left;margin-left:527.25pt;margin-top:5.4pt;width:9.4pt;height:27.95pt;z-index:251663360;mso-position-horizontal-relative:page" fillcolor="#ee2722" stroked="f">
            <w10:wrap anchorx="page"/>
          </v:rect>
        </w:pict>
      </w:r>
      <w:r w:rsidR="00C45D89">
        <w:rPr>
          <w:noProof/>
        </w:rPr>
        <w:drawing>
          <wp:anchor distT="0" distB="0" distL="0" distR="0" simplePos="0" relativeHeight="251664384" behindDoc="0" locked="0" layoutInCell="1" allowOverlap="1" wp14:anchorId="0C6FE4B3" wp14:editId="3BA567FE">
            <wp:simplePos x="0" y="0"/>
            <wp:positionH relativeFrom="page">
              <wp:posOffset>6027648</wp:posOffset>
            </wp:positionH>
            <wp:positionV relativeFrom="paragraph">
              <wp:posOffset>188123</wp:posOffset>
            </wp:positionV>
            <wp:extent cx="114795" cy="1159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95" cy="115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5D89">
        <w:rPr>
          <w:noProof/>
        </w:rPr>
        <w:drawing>
          <wp:anchor distT="0" distB="0" distL="0" distR="0" simplePos="0" relativeHeight="251665408" behindDoc="0" locked="0" layoutInCell="1" allowOverlap="1" wp14:anchorId="53934141" wp14:editId="533B4D7A">
            <wp:simplePos x="0" y="0"/>
            <wp:positionH relativeFrom="page">
              <wp:posOffset>6455702</wp:posOffset>
            </wp:positionH>
            <wp:positionV relativeFrom="paragraph">
              <wp:posOffset>185875</wp:posOffset>
            </wp:positionV>
            <wp:extent cx="120751" cy="12111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51" cy="121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5D89">
        <w:rPr>
          <w:noProof/>
        </w:rPr>
        <w:drawing>
          <wp:anchor distT="0" distB="0" distL="0" distR="0" simplePos="0" relativeHeight="251666432" behindDoc="0" locked="0" layoutInCell="1" allowOverlap="1" wp14:anchorId="25182C9F" wp14:editId="2B74876F">
            <wp:simplePos x="0" y="0"/>
            <wp:positionH relativeFrom="page">
              <wp:posOffset>5645251</wp:posOffset>
            </wp:positionH>
            <wp:positionV relativeFrom="paragraph">
              <wp:posOffset>188123</wp:posOffset>
            </wp:positionV>
            <wp:extent cx="101866" cy="11591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66" cy="115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5D89">
        <w:rPr>
          <w:noProof/>
        </w:rPr>
        <w:drawing>
          <wp:anchor distT="0" distB="0" distL="0" distR="0" simplePos="0" relativeHeight="251667456" behindDoc="0" locked="0" layoutInCell="1" allowOverlap="1" wp14:anchorId="307C8597" wp14:editId="341DCAA6">
            <wp:simplePos x="0" y="0"/>
            <wp:positionH relativeFrom="page">
              <wp:posOffset>5275034</wp:posOffset>
            </wp:positionH>
            <wp:positionV relativeFrom="paragraph">
              <wp:posOffset>188123</wp:posOffset>
            </wp:positionV>
            <wp:extent cx="99466" cy="115963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66" cy="115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5D89">
        <w:rPr>
          <w:b/>
          <w:color w:val="ED1C24"/>
        </w:rPr>
        <w:t>Magistrát města Brna</w:t>
      </w:r>
    </w:p>
    <w:p w14:paraId="7F0F74E5" w14:textId="77777777" w:rsidR="009A1986" w:rsidRDefault="00C45D89">
      <w:pPr>
        <w:spacing w:before="66"/>
        <w:ind w:left="132"/>
      </w:pPr>
      <w:r>
        <w:t>Odbor památkové péče</w:t>
      </w:r>
    </w:p>
    <w:p w14:paraId="0F0475B2" w14:textId="77777777" w:rsidR="009A1986" w:rsidRDefault="009A1986">
      <w:pPr>
        <w:pStyle w:val="Zkladntext"/>
      </w:pPr>
    </w:p>
    <w:p w14:paraId="3923F4EC" w14:textId="77777777" w:rsidR="009A1986" w:rsidRDefault="009A1986">
      <w:pPr>
        <w:pStyle w:val="Zkladntext"/>
      </w:pPr>
    </w:p>
    <w:p w14:paraId="3377D19C" w14:textId="77777777" w:rsidR="009A1986" w:rsidRDefault="009A1986">
      <w:pPr>
        <w:pStyle w:val="Zkladntext"/>
      </w:pPr>
    </w:p>
    <w:p w14:paraId="16B11947" w14:textId="77777777" w:rsidR="009A1986" w:rsidRDefault="009A1986">
      <w:pPr>
        <w:pStyle w:val="Zkladntext"/>
        <w:spacing w:before="5"/>
        <w:rPr>
          <w:sz w:val="19"/>
        </w:rPr>
      </w:pPr>
    </w:p>
    <w:p w14:paraId="232376D6" w14:textId="77B10227" w:rsidR="009A1986" w:rsidRDefault="00C45D89">
      <w:pPr>
        <w:tabs>
          <w:tab w:val="left" w:pos="3820"/>
          <w:tab w:val="left" w:pos="4897"/>
          <w:tab w:val="left" w:pos="8448"/>
        </w:tabs>
        <w:spacing w:before="97"/>
        <w:ind w:left="132"/>
        <w:rPr>
          <w:sz w:val="18"/>
        </w:rPr>
      </w:pPr>
      <w:r>
        <w:rPr>
          <w:b/>
          <w:color w:val="ED1C24"/>
          <w:position w:val="2"/>
          <w:sz w:val="16"/>
        </w:rPr>
        <w:t>SP.</w:t>
      </w:r>
      <w:r>
        <w:rPr>
          <w:b/>
          <w:color w:val="ED1C24"/>
          <w:spacing w:val="-2"/>
          <w:position w:val="2"/>
          <w:sz w:val="16"/>
        </w:rPr>
        <w:t xml:space="preserve"> </w:t>
      </w:r>
      <w:r>
        <w:rPr>
          <w:b/>
          <w:color w:val="ED1C24"/>
          <w:position w:val="2"/>
          <w:sz w:val="16"/>
        </w:rPr>
        <w:t>ZN.:</w:t>
      </w:r>
      <w:r>
        <w:rPr>
          <w:b/>
          <w:color w:val="ED1C24"/>
          <w:spacing w:val="18"/>
          <w:position w:val="2"/>
          <w:sz w:val="16"/>
        </w:rPr>
        <w:t xml:space="preserve"> </w:t>
      </w:r>
      <w:r>
        <w:rPr>
          <w:sz w:val="18"/>
        </w:rPr>
        <w:t>7500/OPP/MMB/0336134/2024/4</w:t>
      </w:r>
      <w:r>
        <w:rPr>
          <w:sz w:val="18"/>
        </w:rPr>
        <w:tab/>
      </w:r>
      <w:r>
        <w:rPr>
          <w:b/>
          <w:color w:val="FF0000"/>
          <w:position w:val="2"/>
          <w:sz w:val="16"/>
        </w:rPr>
        <w:t>VYŘIZUJE:</w:t>
      </w:r>
      <w:r>
        <w:rPr>
          <w:b/>
          <w:color w:val="FF0000"/>
          <w:position w:val="2"/>
          <w:sz w:val="16"/>
        </w:rPr>
        <w:tab/>
      </w:r>
      <w:r w:rsidRPr="00C45D89">
        <w:rPr>
          <w:sz w:val="18"/>
          <w:highlight w:val="black"/>
        </w:rPr>
        <w:t>XXXXXXXXXXXXXXXXXX</w:t>
      </w:r>
      <w:r>
        <w:rPr>
          <w:sz w:val="18"/>
        </w:rPr>
        <w:tab/>
        <w:t>Brno 07.08.2024</w:t>
      </w:r>
    </w:p>
    <w:p w14:paraId="2292B281" w14:textId="34C85FE4" w:rsidR="009A1986" w:rsidRDefault="00C45D89">
      <w:pPr>
        <w:tabs>
          <w:tab w:val="left" w:pos="814"/>
          <w:tab w:val="left" w:pos="3820"/>
        </w:tabs>
        <w:spacing w:before="48"/>
        <w:ind w:left="132"/>
        <w:rPr>
          <w:sz w:val="18"/>
        </w:rPr>
      </w:pPr>
      <w:r>
        <w:rPr>
          <w:b/>
          <w:color w:val="ED1C24"/>
          <w:position w:val="2"/>
          <w:sz w:val="16"/>
        </w:rPr>
        <w:t>Č. J.:</w:t>
      </w:r>
      <w:r>
        <w:rPr>
          <w:b/>
          <w:color w:val="ED1C24"/>
          <w:position w:val="2"/>
          <w:sz w:val="16"/>
        </w:rPr>
        <w:tab/>
      </w:r>
      <w:r>
        <w:rPr>
          <w:sz w:val="18"/>
        </w:rPr>
        <w:t>MMB/0616148/2024/M/r</w:t>
      </w:r>
      <w:r>
        <w:rPr>
          <w:sz w:val="18"/>
        </w:rPr>
        <w:tab/>
      </w:r>
      <w:r>
        <w:rPr>
          <w:b/>
          <w:color w:val="FF0000"/>
          <w:position w:val="2"/>
          <w:sz w:val="16"/>
        </w:rPr>
        <w:t xml:space="preserve">TEL./E-MAIL: </w:t>
      </w:r>
      <w:r w:rsidRPr="00C45D89">
        <w:rPr>
          <w:sz w:val="18"/>
          <w:highlight w:val="black"/>
        </w:rPr>
        <w:t>XXXXXXXXXXXXXXXXXXXXXXXXXXX</w:t>
      </w:r>
    </w:p>
    <w:p w14:paraId="70D6D2A1" w14:textId="77777777" w:rsidR="009A1986" w:rsidRDefault="009A1986">
      <w:pPr>
        <w:pStyle w:val="Zkladntext"/>
      </w:pPr>
    </w:p>
    <w:p w14:paraId="7C5B6D89" w14:textId="77777777" w:rsidR="009A1986" w:rsidRDefault="009A1986">
      <w:pPr>
        <w:pStyle w:val="Zkladntext"/>
      </w:pPr>
    </w:p>
    <w:p w14:paraId="5A861522" w14:textId="77777777" w:rsidR="009A1986" w:rsidRDefault="00D12394">
      <w:pPr>
        <w:pStyle w:val="Zkladntext"/>
        <w:spacing w:before="6"/>
        <w:rPr>
          <w:sz w:val="11"/>
        </w:rPr>
      </w:pPr>
      <w:r>
        <w:pict w14:anchorId="75F3FF25">
          <v:shape id="_x0000_s1034" style="position:absolute;margin-left:55.2pt;margin-top:8.85pt;width:484.9pt;height:.1pt;z-index:-251658240;mso-wrap-distance-left:0;mso-wrap-distance-right:0;mso-position-horizontal-relative:page" coordorigin="1104,177" coordsize="9698,0" path="m1104,177r9698,e" filled="f" strokecolor="#ed1c24" strokeweight=".16936mm">
            <v:path arrowok="t"/>
            <w10:wrap type="topAndBottom" anchorx="page"/>
          </v:shape>
        </w:pict>
      </w:r>
    </w:p>
    <w:p w14:paraId="64E596A3" w14:textId="77777777" w:rsidR="009A1986" w:rsidRDefault="00C45D89">
      <w:pPr>
        <w:pStyle w:val="Nadpis1"/>
        <w:spacing w:after="122"/>
      </w:pPr>
      <w:r>
        <w:rPr>
          <w:color w:val="ED1C24"/>
        </w:rPr>
        <w:t>ROZHODNUTÍ</w:t>
      </w:r>
    </w:p>
    <w:p w14:paraId="56D0CA86" w14:textId="77777777" w:rsidR="009A1986" w:rsidRDefault="00D12394">
      <w:pPr>
        <w:pStyle w:val="Zkladntext"/>
        <w:spacing w:line="20" w:lineRule="exact"/>
        <w:ind w:left="99"/>
        <w:rPr>
          <w:sz w:val="2"/>
        </w:rPr>
      </w:pPr>
      <w:r>
        <w:rPr>
          <w:sz w:val="2"/>
        </w:rPr>
      </w:r>
      <w:r>
        <w:rPr>
          <w:sz w:val="2"/>
        </w:rPr>
        <w:pict w14:anchorId="2F6EE350">
          <v:group id="_x0000_s1032" style="width:484.9pt;height:.5pt;mso-position-horizontal-relative:char;mso-position-vertical-relative:line" coordsize="9698,10">
            <v:line id="_x0000_s1033" style="position:absolute" from="0,5" to="9698,5" strokecolor="#ed1c24" strokeweight=".16922mm"/>
            <w10:anchorlock/>
          </v:group>
        </w:pict>
      </w:r>
    </w:p>
    <w:p w14:paraId="22F65252" w14:textId="77777777" w:rsidR="009A1986" w:rsidRDefault="009A1986">
      <w:pPr>
        <w:pStyle w:val="Zkladntext"/>
        <w:spacing w:before="9"/>
        <w:rPr>
          <w:b/>
          <w:sz w:val="15"/>
        </w:rPr>
      </w:pPr>
    </w:p>
    <w:p w14:paraId="5EC0CCE2" w14:textId="77777777" w:rsidR="009A1986" w:rsidRDefault="00C45D89">
      <w:pPr>
        <w:pStyle w:val="Zkladntext"/>
        <w:spacing w:before="93" w:line="300" w:lineRule="auto"/>
        <w:ind w:left="132" w:right="131"/>
        <w:jc w:val="both"/>
      </w:pPr>
      <w:r>
        <w:t>Odbor památkové péče Magistrátu města Brna (OPP MMB), jako věcně a místně příslušný správní orgán ve smyslu</w:t>
      </w:r>
      <w:r>
        <w:rPr>
          <w:spacing w:val="-14"/>
        </w:rPr>
        <w:t xml:space="preserve"> </w:t>
      </w:r>
      <w:r>
        <w:t>§</w:t>
      </w:r>
      <w:r>
        <w:rPr>
          <w:spacing w:val="-12"/>
        </w:rPr>
        <w:t xml:space="preserve"> </w:t>
      </w:r>
      <w:r>
        <w:t>61</w:t>
      </w:r>
      <w:r>
        <w:rPr>
          <w:spacing w:val="-12"/>
        </w:rPr>
        <w:t xml:space="preserve"> </w:t>
      </w:r>
      <w:r>
        <w:t>zákona</w:t>
      </w:r>
      <w:r>
        <w:rPr>
          <w:spacing w:val="-14"/>
        </w:rPr>
        <w:t xml:space="preserve"> </w:t>
      </w:r>
      <w:r>
        <w:t>č.</w:t>
      </w:r>
      <w:r>
        <w:rPr>
          <w:spacing w:val="-14"/>
        </w:rPr>
        <w:t xml:space="preserve"> </w:t>
      </w:r>
      <w:r>
        <w:t>128/2000</w:t>
      </w:r>
      <w:r>
        <w:rPr>
          <w:spacing w:val="-12"/>
        </w:rPr>
        <w:t xml:space="preserve"> </w:t>
      </w:r>
      <w:r>
        <w:t>Sb.,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obcích,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znění</w:t>
      </w:r>
      <w:r>
        <w:rPr>
          <w:spacing w:val="-14"/>
        </w:rPr>
        <w:t xml:space="preserve"> </w:t>
      </w:r>
      <w:r>
        <w:t>pozdějších</w:t>
      </w:r>
      <w:r>
        <w:rPr>
          <w:spacing w:val="-14"/>
        </w:rPr>
        <w:t xml:space="preserve"> </w:t>
      </w:r>
      <w:r>
        <w:t>předpisů,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§</w:t>
      </w:r>
      <w:r>
        <w:rPr>
          <w:spacing w:val="-12"/>
        </w:rPr>
        <w:t xml:space="preserve"> </w:t>
      </w:r>
      <w:r>
        <w:t>10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§</w:t>
      </w:r>
      <w:r>
        <w:rPr>
          <w:spacing w:val="-13"/>
        </w:rPr>
        <w:t xml:space="preserve"> </w:t>
      </w:r>
      <w:r>
        <w:rPr>
          <w:spacing w:val="-8"/>
        </w:rPr>
        <w:t>11</w:t>
      </w:r>
      <w:r>
        <w:rPr>
          <w:spacing w:val="-12"/>
        </w:rPr>
        <w:t xml:space="preserve"> </w:t>
      </w:r>
      <w:r>
        <w:t>zákona</w:t>
      </w:r>
      <w:r>
        <w:rPr>
          <w:spacing w:val="-13"/>
        </w:rPr>
        <w:t xml:space="preserve"> </w:t>
      </w:r>
      <w:r>
        <w:t>č.</w:t>
      </w:r>
      <w:r>
        <w:rPr>
          <w:spacing w:val="-14"/>
        </w:rPr>
        <w:t xml:space="preserve"> </w:t>
      </w:r>
      <w:r>
        <w:t xml:space="preserve">500/2004 Sb., správního řádu, ve znění pozdějších předpisů, (dále jen „správní řád“) po provedeném správním </w:t>
      </w:r>
      <w:r>
        <w:rPr>
          <w:spacing w:val="-60"/>
        </w:rPr>
        <w:t>řízení</w:t>
      </w:r>
      <w:r>
        <w:rPr>
          <w:spacing w:val="73"/>
        </w:rPr>
        <w:t xml:space="preserve"> </w:t>
      </w:r>
      <w:r>
        <w:t>na základě žádosti Nejvyššího soudu, IČO 48510190, Burešova 20, Brno, doručené na OPP MMB dne 19.06.2024, tímto v souladu s ustanovením § 14 odst. 1 zákona č. 20/1987 Sb., o státní památkové péči, ve znění pozdějších předpisů (dále jen „zákon o státní památkové péči“) a § 67 správního</w:t>
      </w:r>
      <w:r>
        <w:rPr>
          <w:spacing w:val="-26"/>
        </w:rPr>
        <w:t xml:space="preserve"> </w:t>
      </w:r>
      <w:r>
        <w:t>řádu</w:t>
      </w:r>
    </w:p>
    <w:p w14:paraId="2580E3AD" w14:textId="77777777" w:rsidR="009A1986" w:rsidRDefault="009A1986">
      <w:pPr>
        <w:pStyle w:val="Zkladntext"/>
        <w:rPr>
          <w:sz w:val="22"/>
        </w:rPr>
      </w:pPr>
    </w:p>
    <w:p w14:paraId="5CAB3B10" w14:textId="77777777" w:rsidR="009A1986" w:rsidRDefault="009A1986">
      <w:pPr>
        <w:pStyle w:val="Zkladntext"/>
        <w:spacing w:before="9"/>
        <w:rPr>
          <w:sz w:val="27"/>
        </w:rPr>
      </w:pPr>
    </w:p>
    <w:p w14:paraId="3005BF23" w14:textId="77777777" w:rsidR="009A1986" w:rsidRDefault="00C45D89">
      <w:pPr>
        <w:pStyle w:val="Nadpis2"/>
      </w:pPr>
      <w:r>
        <w:t>ve věci:</w:t>
      </w:r>
    </w:p>
    <w:p w14:paraId="678271E3" w14:textId="77777777" w:rsidR="009A1986" w:rsidRDefault="00C45D89">
      <w:pPr>
        <w:spacing w:before="58"/>
        <w:ind w:left="132"/>
        <w:rPr>
          <w:b/>
          <w:sz w:val="20"/>
        </w:rPr>
      </w:pPr>
      <w:r>
        <w:rPr>
          <w:b/>
          <w:color w:val="00000A"/>
          <w:sz w:val="20"/>
        </w:rPr>
        <w:t>Burešova 20, č. p. 571, pozemek p. č. 1277, k. ú. Veveří</w:t>
      </w:r>
    </w:p>
    <w:p w14:paraId="1257F8F2" w14:textId="77777777" w:rsidR="009A1986" w:rsidRDefault="00C45D89">
      <w:pPr>
        <w:pStyle w:val="Odstavecseseznamem"/>
        <w:numPr>
          <w:ilvl w:val="0"/>
          <w:numId w:val="2"/>
        </w:numPr>
        <w:tabs>
          <w:tab w:val="left" w:pos="493"/>
          <w:tab w:val="left" w:pos="494"/>
        </w:tabs>
        <w:spacing w:before="59"/>
        <w:ind w:hanging="362"/>
        <w:rPr>
          <w:i/>
          <w:sz w:val="20"/>
        </w:rPr>
      </w:pPr>
      <w:r>
        <w:rPr>
          <w:i/>
          <w:sz w:val="20"/>
        </w:rPr>
        <w:t>objekt je vedený v Ústředním seznamu kulturních památek ČR pod rejstř. č.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28839/7-96</w:t>
      </w:r>
    </w:p>
    <w:p w14:paraId="53F60978" w14:textId="77777777" w:rsidR="009A1986" w:rsidRDefault="00C45D89">
      <w:pPr>
        <w:pStyle w:val="Odstavecseseznamem"/>
        <w:numPr>
          <w:ilvl w:val="0"/>
          <w:numId w:val="2"/>
        </w:numPr>
        <w:tabs>
          <w:tab w:val="left" w:pos="493"/>
          <w:tab w:val="left" w:pos="494"/>
        </w:tabs>
        <w:spacing w:before="55"/>
        <w:ind w:hanging="362"/>
        <w:rPr>
          <w:i/>
          <w:sz w:val="20"/>
        </w:rPr>
      </w:pPr>
      <w:r>
        <w:rPr>
          <w:i/>
          <w:sz w:val="20"/>
        </w:rPr>
        <w:t>Památková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zóna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Brno,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prohlášená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opatřením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Ministerstva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kultury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obecné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povahy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č.j.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MK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71265/2022</w:t>
      </w:r>
    </w:p>
    <w:p w14:paraId="20D62B38" w14:textId="77777777" w:rsidR="009A1986" w:rsidRDefault="00C45D89">
      <w:pPr>
        <w:spacing w:before="57"/>
        <w:ind w:left="493"/>
        <w:rPr>
          <w:i/>
          <w:sz w:val="20"/>
        </w:rPr>
      </w:pPr>
      <w:r>
        <w:rPr>
          <w:i/>
          <w:sz w:val="20"/>
        </w:rPr>
        <w:t>OPP</w:t>
      </w:r>
    </w:p>
    <w:p w14:paraId="5344C907" w14:textId="77777777" w:rsidR="009A1986" w:rsidRDefault="00C45D89">
      <w:pPr>
        <w:pStyle w:val="Odstavecseseznamem"/>
        <w:numPr>
          <w:ilvl w:val="0"/>
          <w:numId w:val="2"/>
        </w:numPr>
        <w:tabs>
          <w:tab w:val="left" w:pos="493"/>
          <w:tab w:val="left" w:pos="494"/>
        </w:tabs>
        <w:spacing w:before="56"/>
        <w:ind w:hanging="362"/>
        <w:rPr>
          <w:i/>
          <w:sz w:val="20"/>
        </w:rPr>
      </w:pPr>
      <w:r>
        <w:rPr>
          <w:i/>
          <w:sz w:val="20"/>
        </w:rPr>
        <w:t>Ochranné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pásmo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Městské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památkové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rezervace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(OP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MPR)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Brno,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ustanovené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rozhodnutím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OK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NVmB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č.j.</w:t>
      </w:r>
    </w:p>
    <w:p w14:paraId="10E0E88A" w14:textId="77777777" w:rsidR="009A1986" w:rsidRDefault="00C45D89">
      <w:pPr>
        <w:spacing w:before="57"/>
        <w:ind w:left="493"/>
        <w:rPr>
          <w:i/>
          <w:sz w:val="20"/>
        </w:rPr>
      </w:pPr>
      <w:r>
        <w:rPr>
          <w:i/>
          <w:sz w:val="20"/>
        </w:rPr>
        <w:t>KULT/402/90/Sev.</w:t>
      </w:r>
    </w:p>
    <w:p w14:paraId="1F45A531" w14:textId="77777777" w:rsidR="009A1986" w:rsidRDefault="00C45D89">
      <w:pPr>
        <w:pStyle w:val="Nadpis2"/>
        <w:spacing w:before="58"/>
      </w:pPr>
      <w:r>
        <w:t>Nejvyšší soud</w:t>
      </w:r>
    </w:p>
    <w:p w14:paraId="4DDEFEF9" w14:textId="77777777" w:rsidR="009A1986" w:rsidRDefault="00C45D89">
      <w:pPr>
        <w:spacing w:before="37"/>
        <w:ind w:left="132"/>
        <w:rPr>
          <w:b/>
          <w:sz w:val="20"/>
        </w:rPr>
      </w:pPr>
      <w:r>
        <w:rPr>
          <w:b/>
          <w:sz w:val="20"/>
        </w:rPr>
        <w:t>– oprava vnějších vchodových dveří – udržovací práce</w:t>
      </w:r>
    </w:p>
    <w:p w14:paraId="7EE87CCE" w14:textId="77777777" w:rsidR="009A1986" w:rsidRDefault="009A1986">
      <w:pPr>
        <w:pStyle w:val="Zkladntext"/>
        <w:spacing w:before="8"/>
        <w:rPr>
          <w:b/>
          <w:sz w:val="25"/>
        </w:rPr>
      </w:pPr>
    </w:p>
    <w:p w14:paraId="3808EFAF" w14:textId="77777777" w:rsidR="009A1986" w:rsidRDefault="00C45D89">
      <w:pPr>
        <w:ind w:left="1251" w:right="908"/>
        <w:jc w:val="center"/>
        <w:rPr>
          <w:b/>
          <w:sz w:val="20"/>
        </w:rPr>
      </w:pPr>
      <w:r>
        <w:rPr>
          <w:b/>
          <w:sz w:val="20"/>
        </w:rPr>
        <w:t>r o z h o d l  t a k t o :</w:t>
      </w:r>
    </w:p>
    <w:p w14:paraId="49DFE85C" w14:textId="77777777" w:rsidR="009A1986" w:rsidRDefault="009A1986">
      <w:pPr>
        <w:pStyle w:val="Zkladntext"/>
        <w:spacing w:before="3"/>
        <w:rPr>
          <w:b/>
          <w:sz w:val="30"/>
        </w:rPr>
      </w:pPr>
    </w:p>
    <w:p w14:paraId="2DE1FED2" w14:textId="77777777" w:rsidR="009A1986" w:rsidRDefault="00C45D89">
      <w:pPr>
        <w:pStyle w:val="Zkladntext"/>
        <w:spacing w:line="300" w:lineRule="auto"/>
        <w:ind w:left="132" w:right="130"/>
        <w:jc w:val="both"/>
      </w:pPr>
      <w:r>
        <w:t>Provedení</w:t>
      </w:r>
      <w:r>
        <w:rPr>
          <w:spacing w:val="-10"/>
        </w:rPr>
        <w:t xml:space="preserve"> </w:t>
      </w:r>
      <w:r>
        <w:t>udržovacích</w:t>
      </w:r>
      <w:r>
        <w:rPr>
          <w:spacing w:val="-8"/>
        </w:rPr>
        <w:t xml:space="preserve"> </w:t>
      </w:r>
      <w:r>
        <w:t>prací</w:t>
      </w:r>
      <w:r>
        <w:rPr>
          <w:spacing w:val="-9"/>
        </w:rPr>
        <w:t xml:space="preserve"> </w:t>
      </w:r>
      <w:r>
        <w:t>souvisejících</w:t>
      </w:r>
      <w:r>
        <w:rPr>
          <w:spacing w:val="-10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opravou</w:t>
      </w:r>
      <w:r>
        <w:rPr>
          <w:spacing w:val="-7"/>
        </w:rPr>
        <w:t xml:space="preserve"> </w:t>
      </w:r>
      <w:r>
        <w:t>vnějších</w:t>
      </w:r>
      <w:r>
        <w:rPr>
          <w:spacing w:val="-10"/>
        </w:rPr>
        <w:t xml:space="preserve"> </w:t>
      </w:r>
      <w:r>
        <w:t>vchodových</w:t>
      </w:r>
      <w:r>
        <w:rPr>
          <w:spacing w:val="-5"/>
        </w:rPr>
        <w:t xml:space="preserve"> </w:t>
      </w:r>
      <w:r>
        <w:t>dveří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budovy</w:t>
      </w:r>
      <w:r>
        <w:rPr>
          <w:spacing w:val="-12"/>
        </w:rPr>
        <w:t xml:space="preserve"> </w:t>
      </w:r>
      <w:r>
        <w:t>Nejvyššího</w:t>
      </w:r>
      <w:r>
        <w:rPr>
          <w:spacing w:val="-8"/>
        </w:rPr>
        <w:t xml:space="preserve"> </w:t>
      </w:r>
      <w:r>
        <w:t xml:space="preserve">soudu v ulici Burešova 1, v rozsahu podle popisu prací v žádosti, restaurátorského průzkumu a záměru </w:t>
      </w:r>
      <w:r>
        <w:rPr>
          <w:spacing w:val="-22"/>
        </w:rPr>
        <w:t xml:space="preserve">„Vstupní </w:t>
      </w:r>
      <w:r>
        <w:t>dveře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budovy</w:t>
      </w:r>
      <w:r>
        <w:rPr>
          <w:spacing w:val="-7"/>
        </w:rPr>
        <w:t xml:space="preserve"> </w:t>
      </w:r>
      <w:r>
        <w:t>Nejvyššího</w:t>
      </w:r>
      <w:r>
        <w:rPr>
          <w:spacing w:val="-7"/>
        </w:rPr>
        <w:t xml:space="preserve"> </w:t>
      </w:r>
      <w:r>
        <w:t>soudu</w:t>
      </w:r>
      <w:r>
        <w:rPr>
          <w:spacing w:val="-7"/>
        </w:rPr>
        <w:t xml:space="preserve"> </w:t>
      </w:r>
      <w:r>
        <w:t>v Brně“</w:t>
      </w:r>
      <w:r>
        <w:rPr>
          <w:spacing w:val="-4"/>
        </w:rPr>
        <w:t xml:space="preserve"> </w:t>
      </w:r>
      <w:r>
        <w:t>zpracovaného</w:t>
      </w:r>
      <w:r>
        <w:rPr>
          <w:spacing w:val="-7"/>
        </w:rPr>
        <w:t xml:space="preserve"> </w:t>
      </w:r>
      <w:r>
        <w:t>spol.</w:t>
      </w:r>
      <w:r>
        <w:rPr>
          <w:spacing w:val="-4"/>
        </w:rPr>
        <w:t xml:space="preserve"> </w:t>
      </w:r>
      <w:r>
        <w:t>Pasířství</w:t>
      </w:r>
      <w:r>
        <w:rPr>
          <w:spacing w:val="-6"/>
        </w:rPr>
        <w:t xml:space="preserve"> </w:t>
      </w:r>
      <w:r>
        <w:t>Houska</w:t>
      </w:r>
      <w:r>
        <w:rPr>
          <w:spacing w:val="-7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Douda</w:t>
      </w:r>
      <w:r>
        <w:rPr>
          <w:spacing w:val="-5"/>
        </w:rPr>
        <w:t xml:space="preserve"> </w:t>
      </w:r>
      <w:r>
        <w:t>s.r.o.,</w:t>
      </w:r>
      <w:r>
        <w:rPr>
          <w:spacing w:val="-4"/>
        </w:rPr>
        <w:t xml:space="preserve"> </w:t>
      </w:r>
      <w:r>
        <w:t>Pražská</w:t>
      </w:r>
      <w:r>
        <w:rPr>
          <w:spacing w:val="-7"/>
        </w:rPr>
        <w:t xml:space="preserve"> </w:t>
      </w:r>
      <w:r>
        <w:rPr>
          <w:spacing w:val="-55"/>
        </w:rPr>
        <w:t xml:space="preserve">71, </w:t>
      </w:r>
      <w:r>
        <w:t xml:space="preserve">Buštěhrad v květnu 2024, technologického listu „Pohon křídlových dveří ASSA ABLOY SW300“ a </w:t>
      </w:r>
      <w:r>
        <w:rPr>
          <w:spacing w:val="-43"/>
        </w:rPr>
        <w:t xml:space="preserve">výkresové </w:t>
      </w:r>
      <w:r>
        <w:t>dokumentace, ve smyslu § 14 odst. 3 zákona o státní památkové</w:t>
      </w:r>
      <w:r>
        <w:rPr>
          <w:spacing w:val="-5"/>
        </w:rPr>
        <w:t xml:space="preserve"> </w:t>
      </w:r>
      <w:r>
        <w:t>péči</w:t>
      </w:r>
    </w:p>
    <w:p w14:paraId="51F97942" w14:textId="77777777" w:rsidR="009A1986" w:rsidRDefault="009A1986">
      <w:pPr>
        <w:pStyle w:val="Zkladntext"/>
        <w:rPr>
          <w:sz w:val="22"/>
        </w:rPr>
      </w:pPr>
    </w:p>
    <w:p w14:paraId="6AADB0F1" w14:textId="77777777" w:rsidR="009A1986" w:rsidRDefault="009A1986">
      <w:pPr>
        <w:pStyle w:val="Zkladntext"/>
        <w:spacing w:before="9"/>
        <w:rPr>
          <w:sz w:val="27"/>
        </w:rPr>
      </w:pPr>
    </w:p>
    <w:p w14:paraId="2469F0D5" w14:textId="77777777" w:rsidR="009A1986" w:rsidRDefault="00C45D89">
      <w:pPr>
        <w:pStyle w:val="Nadpis2"/>
        <w:ind w:left="1328" w:right="908"/>
        <w:jc w:val="center"/>
      </w:pPr>
      <w:r>
        <w:t>j e  p ř í p u s t n é</w:t>
      </w:r>
    </w:p>
    <w:p w14:paraId="0F48E8B5" w14:textId="77777777" w:rsidR="009A1986" w:rsidRDefault="009A1986">
      <w:pPr>
        <w:pStyle w:val="Zkladntext"/>
        <w:rPr>
          <w:b/>
          <w:sz w:val="22"/>
        </w:rPr>
      </w:pPr>
    </w:p>
    <w:p w14:paraId="7B142C9C" w14:textId="77777777" w:rsidR="009A1986" w:rsidRDefault="009A1986">
      <w:pPr>
        <w:pStyle w:val="Zkladntext"/>
        <w:rPr>
          <w:b/>
          <w:sz w:val="22"/>
        </w:rPr>
      </w:pPr>
    </w:p>
    <w:p w14:paraId="50005A1A" w14:textId="77777777" w:rsidR="009A1986" w:rsidRDefault="00C45D89">
      <w:pPr>
        <w:pStyle w:val="Zkladntext"/>
        <w:spacing w:before="128"/>
        <w:ind w:left="132"/>
      </w:pPr>
      <w:r>
        <w:t>při dodržení upřesňující podmínky určené v souladu s ustanovením § 9 vyhlášky č. 66/1988 Sb., kterou se</w:t>
      </w:r>
    </w:p>
    <w:p w14:paraId="388D73FC" w14:textId="77777777" w:rsidR="009A1986" w:rsidRDefault="00C45D89">
      <w:pPr>
        <w:pStyle w:val="Zkladntext"/>
        <w:spacing w:before="58"/>
        <w:ind w:left="132"/>
      </w:pPr>
      <w:r>
        <w:t>provádí zákon o státní památkové péči:</w:t>
      </w:r>
    </w:p>
    <w:p w14:paraId="25A74A8A" w14:textId="77777777" w:rsidR="009A1986" w:rsidRDefault="009A1986">
      <w:pPr>
        <w:pStyle w:val="Zkladntext"/>
        <w:spacing w:before="1"/>
        <w:rPr>
          <w:sz w:val="30"/>
        </w:rPr>
      </w:pPr>
    </w:p>
    <w:p w14:paraId="1DE34842" w14:textId="77777777" w:rsidR="009A1986" w:rsidRDefault="00C45D89">
      <w:pPr>
        <w:pStyle w:val="Zkladntext"/>
        <w:spacing w:line="300" w:lineRule="auto"/>
        <w:ind w:left="416" w:right="143" w:hanging="284"/>
        <w:jc w:val="both"/>
      </w:pPr>
      <w:r>
        <w:t>1. Před zahájením prací a v jejich průběhu budou svolávány kontrolní dny, na které bude zván Národní památkový ústav, územní odborné pracoviště (NPÚ ÚOP) v Brně a OPP MMB, přičemž na vstupním kontrolním dnu bude projednán harmonogram prací a detaily stavby.</w:t>
      </w:r>
    </w:p>
    <w:p w14:paraId="3357C154" w14:textId="77777777" w:rsidR="009A1986" w:rsidRDefault="009A1986">
      <w:pPr>
        <w:spacing w:line="300" w:lineRule="auto"/>
        <w:jc w:val="both"/>
        <w:sectPr w:rsidR="009A1986">
          <w:footerReference w:type="default" r:id="rId11"/>
          <w:type w:val="continuous"/>
          <w:pgSz w:w="11910" w:h="16840"/>
          <w:pgMar w:top="1000" w:right="1000" w:bottom="1160" w:left="1000" w:header="708" w:footer="963" w:gutter="0"/>
          <w:pgNumType w:start="1"/>
          <w:cols w:space="708"/>
        </w:sectPr>
      </w:pPr>
    </w:p>
    <w:p w14:paraId="48A07394" w14:textId="77777777" w:rsidR="009A1986" w:rsidRDefault="00D12394">
      <w:pPr>
        <w:pStyle w:val="Zkladntext"/>
        <w:spacing w:line="20" w:lineRule="exact"/>
        <w:ind w:left="99"/>
        <w:rPr>
          <w:sz w:val="2"/>
        </w:rPr>
      </w:pPr>
      <w:r>
        <w:rPr>
          <w:sz w:val="2"/>
        </w:rPr>
      </w:r>
      <w:r>
        <w:rPr>
          <w:sz w:val="2"/>
        </w:rPr>
        <w:pict w14:anchorId="1C3301FF">
          <v:group id="_x0000_s1030" style="width:477.85pt;height:.5pt;mso-position-horizontal-relative:char;mso-position-vertical-relative:line" coordsize="9557,10">
            <v:line id="_x0000_s1031" style="position:absolute" from="0,5" to="9556,5" strokecolor="#ed1c24" strokeweight=".16936mm"/>
            <w10:anchorlock/>
          </v:group>
        </w:pict>
      </w:r>
    </w:p>
    <w:p w14:paraId="4E7EDA38" w14:textId="77777777" w:rsidR="009A1986" w:rsidRDefault="00D12394">
      <w:pPr>
        <w:pStyle w:val="Nadpis1"/>
        <w:spacing w:before="107"/>
        <w:ind w:left="1166"/>
      </w:pPr>
      <w:r>
        <w:pict w14:anchorId="6BE05AAB">
          <v:shape id="_x0000_s1029" style="position:absolute;left:0;text-align:left;margin-left:55.2pt;margin-top:25.5pt;width:477.85pt;height:.1pt;z-index:-251646976;mso-wrap-distance-left:0;mso-wrap-distance-right:0;mso-position-horizontal-relative:page" coordorigin="1104,510" coordsize="9557,0" path="m1104,510r9556,e" filled="f" strokecolor="#ed1c24" strokeweight=".16936mm">
            <v:path arrowok="t"/>
            <w10:wrap type="topAndBottom" anchorx="page"/>
          </v:shape>
        </w:pict>
      </w:r>
      <w:r w:rsidR="00C45D89">
        <w:rPr>
          <w:color w:val="ED1C24"/>
        </w:rPr>
        <w:t>Odůvodnění</w:t>
      </w:r>
    </w:p>
    <w:p w14:paraId="73866DEF" w14:textId="77777777" w:rsidR="009A1986" w:rsidRDefault="009A1986">
      <w:pPr>
        <w:pStyle w:val="Zkladntext"/>
        <w:spacing w:before="2"/>
        <w:rPr>
          <w:b/>
          <w:sz w:val="14"/>
        </w:rPr>
      </w:pPr>
    </w:p>
    <w:p w14:paraId="073450A1" w14:textId="77777777" w:rsidR="009A1986" w:rsidRDefault="00C45D89">
      <w:pPr>
        <w:pStyle w:val="Zkladntext"/>
        <w:spacing w:before="93" w:line="300" w:lineRule="auto"/>
        <w:ind w:left="132" w:right="137"/>
        <w:jc w:val="both"/>
      </w:pPr>
      <w:r>
        <w:t>Odbor památkové péče Magistrátu města Brna obdržel dne 19.06.2024 žádost Nejvyššího soudu, IČO 48510190, Burešova 20, Brno, o vydání závazného stanoviska ve výše uvedené věci.</w:t>
      </w:r>
    </w:p>
    <w:p w14:paraId="7D05EC0E" w14:textId="77777777" w:rsidR="009A1986" w:rsidRDefault="009A1986">
      <w:pPr>
        <w:pStyle w:val="Zkladntext"/>
        <w:spacing w:before="10"/>
        <w:rPr>
          <w:sz w:val="24"/>
        </w:rPr>
      </w:pPr>
    </w:p>
    <w:p w14:paraId="673DBE6F" w14:textId="77777777" w:rsidR="009A1986" w:rsidRDefault="00C45D89">
      <w:pPr>
        <w:pStyle w:val="Zkladntext"/>
        <w:spacing w:line="300" w:lineRule="auto"/>
        <w:ind w:left="132" w:right="133"/>
        <w:jc w:val="both"/>
      </w:pPr>
      <w:r>
        <w:t xml:space="preserve">Objekt Burešova 20 – Nejvyšší soud je evidován ve smyslu zákona o státní památkové péči v </w:t>
      </w:r>
      <w:r>
        <w:rPr>
          <w:spacing w:val="-15"/>
        </w:rPr>
        <w:t xml:space="preserve">Ústředním </w:t>
      </w:r>
      <w:r>
        <w:t xml:space="preserve">seznamu nemovitých kulturních památek ČR pod </w:t>
      </w:r>
      <w:r>
        <w:rPr>
          <w:color w:val="00000A"/>
        </w:rPr>
        <w:t>rejstř. č. 28839/7-96 a n</w:t>
      </w:r>
      <w:r>
        <w:t>achází se na území Ochranného pásma</w:t>
      </w:r>
      <w:r>
        <w:rPr>
          <w:spacing w:val="-15"/>
        </w:rPr>
        <w:t xml:space="preserve"> </w:t>
      </w:r>
      <w:r>
        <w:t>Městské</w:t>
      </w:r>
      <w:r>
        <w:rPr>
          <w:spacing w:val="-14"/>
        </w:rPr>
        <w:t xml:space="preserve"> </w:t>
      </w:r>
      <w:r>
        <w:t>památkové</w:t>
      </w:r>
      <w:r>
        <w:rPr>
          <w:spacing w:val="-13"/>
        </w:rPr>
        <w:t xml:space="preserve"> </w:t>
      </w:r>
      <w:r>
        <w:t>rezervace</w:t>
      </w:r>
      <w:r>
        <w:rPr>
          <w:spacing w:val="-12"/>
        </w:rPr>
        <w:t xml:space="preserve"> </w:t>
      </w:r>
      <w:r>
        <w:t>(OP</w:t>
      </w:r>
      <w:r>
        <w:rPr>
          <w:spacing w:val="-13"/>
        </w:rPr>
        <w:t xml:space="preserve"> </w:t>
      </w:r>
      <w:r>
        <w:t>MPR)</w:t>
      </w:r>
      <w:r>
        <w:rPr>
          <w:spacing w:val="-10"/>
        </w:rPr>
        <w:t xml:space="preserve"> </w:t>
      </w:r>
      <w:r>
        <w:t>Brno,</w:t>
      </w:r>
      <w:r>
        <w:rPr>
          <w:spacing w:val="-12"/>
        </w:rPr>
        <w:t xml:space="preserve"> </w:t>
      </w:r>
      <w:r>
        <w:t>ustanoveného</w:t>
      </w:r>
      <w:r>
        <w:rPr>
          <w:spacing w:val="-14"/>
        </w:rPr>
        <w:t xml:space="preserve"> </w:t>
      </w:r>
      <w:r>
        <w:t>rozhodnutím</w:t>
      </w:r>
      <w:r>
        <w:rPr>
          <w:spacing w:val="-12"/>
        </w:rPr>
        <w:t xml:space="preserve"> </w:t>
      </w:r>
      <w:r>
        <w:t>Odboru</w:t>
      </w:r>
      <w:r>
        <w:rPr>
          <w:spacing w:val="-12"/>
        </w:rPr>
        <w:t xml:space="preserve"> </w:t>
      </w:r>
      <w:r>
        <w:t>kultury</w:t>
      </w:r>
      <w:r>
        <w:rPr>
          <w:spacing w:val="-15"/>
        </w:rPr>
        <w:t xml:space="preserve"> </w:t>
      </w:r>
      <w:r>
        <w:t>NVmB</w:t>
      </w:r>
      <w:r>
        <w:rPr>
          <w:spacing w:val="-15"/>
        </w:rPr>
        <w:t xml:space="preserve"> </w:t>
      </w:r>
      <w:r>
        <w:t>dne</w:t>
      </w:r>
    </w:p>
    <w:p w14:paraId="46BF9126" w14:textId="77777777" w:rsidR="009A1986" w:rsidRDefault="00C45D89">
      <w:pPr>
        <w:pStyle w:val="Zkladntext"/>
        <w:spacing w:before="2" w:line="300" w:lineRule="auto"/>
        <w:ind w:left="132" w:right="130"/>
        <w:jc w:val="both"/>
      </w:pPr>
      <w:r>
        <w:t>6.</w:t>
      </w:r>
      <w:r>
        <w:rPr>
          <w:spacing w:val="-10"/>
        </w:rPr>
        <w:t xml:space="preserve"> </w:t>
      </w:r>
      <w:r>
        <w:t>4.</w:t>
      </w:r>
      <w:r>
        <w:rPr>
          <w:spacing w:val="-10"/>
        </w:rPr>
        <w:t xml:space="preserve"> </w:t>
      </w:r>
      <w:r>
        <w:t>1990</w:t>
      </w:r>
      <w:r>
        <w:rPr>
          <w:spacing w:val="-7"/>
        </w:rPr>
        <w:t xml:space="preserve"> </w:t>
      </w:r>
      <w:r>
        <w:t>pod</w:t>
      </w:r>
      <w:r>
        <w:rPr>
          <w:spacing w:val="-10"/>
        </w:rPr>
        <w:t xml:space="preserve"> </w:t>
      </w:r>
      <w:r>
        <w:t>č.</w:t>
      </w:r>
      <w:r>
        <w:rPr>
          <w:spacing w:val="-9"/>
        </w:rPr>
        <w:t xml:space="preserve"> </w:t>
      </w:r>
      <w:r>
        <w:t>j.</w:t>
      </w:r>
      <w:r>
        <w:rPr>
          <w:spacing w:val="39"/>
        </w:rPr>
        <w:t xml:space="preserve"> </w:t>
      </w:r>
      <w:r>
        <w:t>KULT/402/90/Sev.</w:t>
      </w:r>
      <w:r>
        <w:rPr>
          <w:spacing w:val="-7"/>
        </w:rPr>
        <w:t xml:space="preserve"> </w:t>
      </w:r>
      <w:r>
        <w:t>Předmětem</w:t>
      </w:r>
      <w:r>
        <w:rPr>
          <w:spacing w:val="-5"/>
        </w:rPr>
        <w:t xml:space="preserve"> </w:t>
      </w:r>
      <w:r>
        <w:t>památkové</w:t>
      </w:r>
      <w:r>
        <w:rPr>
          <w:spacing w:val="-9"/>
        </w:rPr>
        <w:t xml:space="preserve"> </w:t>
      </w:r>
      <w:r>
        <w:t>ochrany</w:t>
      </w:r>
      <w:r>
        <w:rPr>
          <w:spacing w:val="-12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budova</w:t>
      </w:r>
      <w:r>
        <w:rPr>
          <w:spacing w:val="-8"/>
        </w:rPr>
        <w:t xml:space="preserve"> </w:t>
      </w:r>
      <w:r>
        <w:t>Nejvyššího</w:t>
      </w:r>
      <w:r>
        <w:rPr>
          <w:spacing w:val="-9"/>
        </w:rPr>
        <w:t xml:space="preserve"> </w:t>
      </w:r>
      <w:r>
        <w:t>soudu</w:t>
      </w:r>
      <w:r>
        <w:rPr>
          <w:spacing w:val="-10"/>
        </w:rPr>
        <w:t xml:space="preserve"> </w:t>
      </w:r>
      <w:r>
        <w:t>umístěná na</w:t>
      </w:r>
      <w:r>
        <w:rPr>
          <w:spacing w:val="-18"/>
        </w:rPr>
        <w:t xml:space="preserve"> </w:t>
      </w:r>
      <w:r>
        <w:t>výše</w:t>
      </w:r>
      <w:r>
        <w:rPr>
          <w:spacing w:val="-16"/>
        </w:rPr>
        <w:t xml:space="preserve"> </w:t>
      </w:r>
      <w:r>
        <w:t>uvedené</w:t>
      </w:r>
      <w:r>
        <w:rPr>
          <w:spacing w:val="-17"/>
        </w:rPr>
        <w:t xml:space="preserve"> </w:t>
      </w:r>
      <w:r>
        <w:t>parcele.</w:t>
      </w:r>
      <w:r>
        <w:rPr>
          <w:spacing w:val="-14"/>
        </w:rPr>
        <w:t xml:space="preserve"> </w:t>
      </w:r>
      <w:r>
        <w:t>Budova</w:t>
      </w:r>
      <w:r>
        <w:rPr>
          <w:spacing w:val="-17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nachází</w:t>
      </w:r>
      <w:r>
        <w:rPr>
          <w:spacing w:val="-1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pohledově</w:t>
      </w:r>
      <w:r>
        <w:rPr>
          <w:spacing w:val="-17"/>
        </w:rPr>
        <w:t xml:space="preserve"> </w:t>
      </w:r>
      <w:r>
        <w:t>významné</w:t>
      </w:r>
      <w:r>
        <w:rPr>
          <w:spacing w:val="-19"/>
        </w:rPr>
        <w:t xml:space="preserve"> </w:t>
      </w:r>
      <w:r>
        <w:t>poloze</w:t>
      </w:r>
      <w:r>
        <w:rPr>
          <w:spacing w:val="-16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ose</w:t>
      </w:r>
      <w:r>
        <w:rPr>
          <w:spacing w:val="-16"/>
        </w:rPr>
        <w:t xml:space="preserve"> </w:t>
      </w:r>
      <w:r>
        <w:t>ulic</w:t>
      </w:r>
      <w:r>
        <w:rPr>
          <w:spacing w:val="-15"/>
        </w:rPr>
        <w:t xml:space="preserve"> </w:t>
      </w:r>
      <w:r>
        <w:t>Botanické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 xml:space="preserve">Cihlářská. Je důležitou dominantou této lokality, ve které se nachází další významné funkcionalistické objekty </w:t>
      </w:r>
      <w:r>
        <w:rPr>
          <w:spacing w:val="-122"/>
        </w:rPr>
        <w:t>–</w:t>
      </w:r>
      <w:r>
        <w:rPr>
          <w:spacing w:val="-54"/>
        </w:rPr>
        <w:t xml:space="preserve"> </w:t>
      </w:r>
      <w:r>
        <w:t>Masarykův domov mládeže, Husův sbor, sportovní areál Sokolského stadionu a četné bytové domy z tohoto období.</w:t>
      </w:r>
    </w:p>
    <w:p w14:paraId="3E303D11" w14:textId="77777777" w:rsidR="009A1986" w:rsidRDefault="009A1986">
      <w:pPr>
        <w:pStyle w:val="Zkladntext"/>
        <w:spacing w:before="10"/>
        <w:rPr>
          <w:sz w:val="24"/>
        </w:rPr>
      </w:pPr>
    </w:p>
    <w:p w14:paraId="5BA37BFB" w14:textId="77777777" w:rsidR="009A1986" w:rsidRDefault="00C45D89">
      <w:pPr>
        <w:pStyle w:val="Zkladntext"/>
        <w:spacing w:line="300" w:lineRule="auto"/>
        <w:ind w:left="132" w:right="130"/>
        <w:jc w:val="both"/>
      </w:pPr>
      <w:r>
        <w:t>Předmětem opravy jsou vnější dvoukřídlé vstupní dveře, které jsou osazeny v hlavním portálu budovy. Dle restaurátorského průzkumu jsou vnější dveře pravděpodobně zhotoveny jako kopie, a to z důvodu různého provedení</w:t>
      </w:r>
      <w:r>
        <w:rPr>
          <w:spacing w:val="-17"/>
        </w:rPr>
        <w:t xml:space="preserve"> </w:t>
      </w:r>
      <w:r>
        <w:t>materiálu</w:t>
      </w:r>
      <w:r>
        <w:rPr>
          <w:spacing w:val="-16"/>
        </w:rPr>
        <w:t xml:space="preserve"> </w:t>
      </w:r>
      <w:r>
        <w:t>konstrukce.</w:t>
      </w:r>
      <w:r>
        <w:rPr>
          <w:spacing w:val="-15"/>
        </w:rPr>
        <w:t xml:space="preserve"> </w:t>
      </w:r>
      <w:r>
        <w:t>Konstrukce</w:t>
      </w:r>
      <w:r>
        <w:rPr>
          <w:spacing w:val="-17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oproti</w:t>
      </w:r>
      <w:r>
        <w:rPr>
          <w:spacing w:val="-17"/>
        </w:rPr>
        <w:t xml:space="preserve"> </w:t>
      </w:r>
      <w:r>
        <w:t>vnitřním</w:t>
      </w:r>
      <w:r>
        <w:rPr>
          <w:spacing w:val="-13"/>
        </w:rPr>
        <w:t xml:space="preserve"> </w:t>
      </w:r>
      <w:r>
        <w:t>dveří</w:t>
      </w:r>
      <w:r>
        <w:rPr>
          <w:spacing w:val="-16"/>
        </w:rPr>
        <w:t xml:space="preserve"> </w:t>
      </w:r>
      <w:r>
        <w:t>tvořena</w:t>
      </w:r>
      <w:r>
        <w:rPr>
          <w:spacing w:val="-15"/>
        </w:rPr>
        <w:t xml:space="preserve"> </w:t>
      </w:r>
      <w:r>
        <w:t>železným</w:t>
      </w:r>
      <w:r>
        <w:rPr>
          <w:spacing w:val="-12"/>
        </w:rPr>
        <w:t xml:space="preserve"> </w:t>
      </w:r>
      <w:r>
        <w:t>jaklovým</w:t>
      </w:r>
      <w:r>
        <w:rPr>
          <w:spacing w:val="-6"/>
        </w:rPr>
        <w:t xml:space="preserve"> </w:t>
      </w:r>
      <w:r>
        <w:t>profilem</w:t>
      </w:r>
      <w:r>
        <w:rPr>
          <w:spacing w:val="-12"/>
        </w:rPr>
        <w:t xml:space="preserve"> </w:t>
      </w:r>
      <w:r>
        <w:t>60x30 obloženým plechem z bílé mosazi, zasklívací L profily jsou ohýbané z plechu, obvodová klapačka křídla je osazena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žluté</w:t>
      </w:r>
      <w:r>
        <w:rPr>
          <w:spacing w:val="-5"/>
        </w:rPr>
        <w:t xml:space="preserve"> </w:t>
      </w:r>
      <w:r>
        <w:t>mosazi,</w:t>
      </w:r>
      <w:r>
        <w:rPr>
          <w:spacing w:val="-5"/>
        </w:rPr>
        <w:t xml:space="preserve"> </w:t>
      </w:r>
      <w:r>
        <w:t>použitý</w:t>
      </w:r>
      <w:r>
        <w:rPr>
          <w:spacing w:val="-8"/>
        </w:rPr>
        <w:t xml:space="preserve"> </w:t>
      </w:r>
      <w:r>
        <w:t>obkladový</w:t>
      </w:r>
      <w:r>
        <w:rPr>
          <w:spacing w:val="-7"/>
        </w:rPr>
        <w:t xml:space="preserve"> </w:t>
      </w:r>
      <w:r>
        <w:t>materiál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pravděpodobné</w:t>
      </w:r>
      <w:r>
        <w:rPr>
          <w:spacing w:val="-5"/>
        </w:rPr>
        <w:t xml:space="preserve"> </w:t>
      </w:r>
      <w:r>
        <w:t>jiného</w:t>
      </w:r>
      <w:r>
        <w:rPr>
          <w:spacing w:val="-5"/>
        </w:rPr>
        <w:t xml:space="preserve"> </w:t>
      </w:r>
      <w:r>
        <w:t>složení</w:t>
      </w:r>
      <w:r>
        <w:rPr>
          <w:spacing w:val="-5"/>
        </w:rPr>
        <w:t xml:space="preserve"> </w:t>
      </w:r>
      <w:r>
        <w:t>než</w:t>
      </w:r>
      <w:r>
        <w:rPr>
          <w:spacing w:val="-6"/>
        </w:rPr>
        <w:t xml:space="preserve"> </w:t>
      </w:r>
      <w:r>
        <w:t>původní</w:t>
      </w:r>
      <w:r>
        <w:rPr>
          <w:spacing w:val="-3"/>
        </w:rPr>
        <w:t xml:space="preserve"> </w:t>
      </w:r>
      <w:r>
        <w:t>obklady</w:t>
      </w:r>
      <w:r>
        <w:rPr>
          <w:spacing w:val="-6"/>
        </w:rPr>
        <w:t xml:space="preserve"> </w:t>
      </w:r>
      <w:r>
        <w:t xml:space="preserve">a tím i oxiduje do tmavšího odstínu. Rozměry každého z křídel jsou š. 1185, v. 2300 </w:t>
      </w:r>
      <w:r>
        <w:rPr>
          <w:spacing w:val="2"/>
        </w:rPr>
        <w:t xml:space="preserve">mm, </w:t>
      </w:r>
      <w:r>
        <w:t>obě křídla mají svislá trubková madla průměru 35 mm. Usazení křídel je provedeno na podlahový zavírač, horní uložení je na čep do rámu stěny. Jsou zde osazeny jednoduché zámky s el. ovládaným protikusem zámku. Oprava má dle projektové dokumentace (navrženého restaurátorského postupu)</w:t>
      </w:r>
      <w:r>
        <w:rPr>
          <w:spacing w:val="-7"/>
        </w:rPr>
        <w:t xml:space="preserve"> </w:t>
      </w:r>
      <w:r>
        <w:t>obsahovat:</w:t>
      </w:r>
    </w:p>
    <w:p w14:paraId="29D83EFA" w14:textId="77777777" w:rsidR="009A1986" w:rsidRDefault="00C45D89">
      <w:pPr>
        <w:pStyle w:val="Odstavecseseznamem"/>
        <w:numPr>
          <w:ilvl w:val="0"/>
          <w:numId w:val="1"/>
        </w:numPr>
        <w:tabs>
          <w:tab w:val="left" w:pos="494"/>
        </w:tabs>
        <w:spacing w:line="300" w:lineRule="auto"/>
        <w:ind w:right="132"/>
        <w:jc w:val="both"/>
        <w:rPr>
          <w:sz w:val="20"/>
        </w:rPr>
      </w:pPr>
      <w:r>
        <w:rPr>
          <w:sz w:val="20"/>
        </w:rPr>
        <w:t>fotodokumentace,</w:t>
      </w:r>
      <w:r>
        <w:rPr>
          <w:spacing w:val="-11"/>
          <w:sz w:val="20"/>
        </w:rPr>
        <w:t xml:space="preserve"> </w:t>
      </w:r>
      <w:r>
        <w:rPr>
          <w:sz w:val="20"/>
        </w:rPr>
        <w:t>zaměření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kontrola</w:t>
      </w:r>
      <w:r>
        <w:rPr>
          <w:spacing w:val="-13"/>
          <w:sz w:val="20"/>
        </w:rPr>
        <w:t xml:space="preserve"> </w:t>
      </w:r>
      <w:r>
        <w:rPr>
          <w:sz w:val="20"/>
        </w:rPr>
        <w:t>svislých</w:t>
      </w:r>
      <w:r>
        <w:rPr>
          <w:spacing w:val="-13"/>
          <w:sz w:val="20"/>
        </w:rPr>
        <w:t xml:space="preserve"> </w:t>
      </w:r>
      <w:r>
        <w:rPr>
          <w:sz w:val="20"/>
        </w:rPr>
        <w:t>os</w:t>
      </w:r>
      <w:r>
        <w:rPr>
          <w:spacing w:val="-11"/>
          <w:sz w:val="20"/>
        </w:rPr>
        <w:t xml:space="preserve"> </w:t>
      </w:r>
      <w:r>
        <w:rPr>
          <w:sz w:val="20"/>
        </w:rPr>
        <w:t>pantů,</w:t>
      </w:r>
      <w:r>
        <w:rPr>
          <w:spacing w:val="-13"/>
          <w:sz w:val="20"/>
        </w:rPr>
        <w:t xml:space="preserve"> </w:t>
      </w:r>
      <w:r>
        <w:rPr>
          <w:sz w:val="20"/>
        </w:rPr>
        <w:t>konzultace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zástupci</w:t>
      </w:r>
      <w:r>
        <w:rPr>
          <w:spacing w:val="-11"/>
          <w:sz w:val="20"/>
        </w:rPr>
        <w:t xml:space="preserve"> </w:t>
      </w:r>
      <w:r>
        <w:rPr>
          <w:sz w:val="20"/>
        </w:rPr>
        <w:t>provozovatele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zástupci památkové péče a stanovení způsobu opravy, usazení křídel, provedení zajištění otevřených křídel, osazení pomocných zavíračů a</w:t>
      </w:r>
      <w:r>
        <w:rPr>
          <w:spacing w:val="-3"/>
          <w:sz w:val="20"/>
        </w:rPr>
        <w:t xml:space="preserve"> </w:t>
      </w:r>
      <w:r>
        <w:rPr>
          <w:sz w:val="20"/>
        </w:rPr>
        <w:t>zámků,</w:t>
      </w:r>
    </w:p>
    <w:p w14:paraId="67F4BAC9" w14:textId="77777777" w:rsidR="009A1986" w:rsidRDefault="00C45D89">
      <w:pPr>
        <w:pStyle w:val="Odstavecseseznamem"/>
        <w:numPr>
          <w:ilvl w:val="0"/>
          <w:numId w:val="1"/>
        </w:numPr>
        <w:tabs>
          <w:tab w:val="left" w:pos="494"/>
        </w:tabs>
        <w:spacing w:before="2"/>
        <w:ind w:hanging="362"/>
        <w:jc w:val="both"/>
        <w:rPr>
          <w:sz w:val="20"/>
        </w:rPr>
      </w:pPr>
      <w:r>
        <w:rPr>
          <w:sz w:val="20"/>
        </w:rPr>
        <w:t>demontáž skel a křídel, zaměření, dokumentace stavu, demontáže, transport křídel do dílny,</w:t>
      </w:r>
      <w:r>
        <w:rPr>
          <w:spacing w:val="38"/>
          <w:sz w:val="20"/>
        </w:rPr>
        <w:t xml:space="preserve"> </w:t>
      </w:r>
      <w:r>
        <w:rPr>
          <w:sz w:val="20"/>
        </w:rPr>
        <w:t>podrobný</w:t>
      </w:r>
    </w:p>
    <w:p w14:paraId="32AE932D" w14:textId="77777777" w:rsidR="009A1986" w:rsidRDefault="00C45D89">
      <w:pPr>
        <w:pStyle w:val="Zkladntext"/>
        <w:spacing w:before="56"/>
        <w:ind w:left="493"/>
        <w:jc w:val="both"/>
      </w:pPr>
      <w:r>
        <w:t>průzkum na dílně,</w:t>
      </w:r>
    </w:p>
    <w:p w14:paraId="6E50FD3C" w14:textId="77777777" w:rsidR="009A1986" w:rsidRDefault="00C45D89">
      <w:pPr>
        <w:pStyle w:val="Odstavecseseznamem"/>
        <w:numPr>
          <w:ilvl w:val="0"/>
          <w:numId w:val="1"/>
        </w:numPr>
        <w:tabs>
          <w:tab w:val="left" w:pos="493"/>
          <w:tab w:val="left" w:pos="494"/>
        </w:tabs>
        <w:spacing w:before="58" w:line="300" w:lineRule="auto"/>
        <w:ind w:right="132"/>
        <w:rPr>
          <w:sz w:val="20"/>
        </w:rPr>
      </w:pPr>
      <w:r>
        <w:rPr>
          <w:sz w:val="20"/>
        </w:rPr>
        <w:t>vyrovnání rámu (případně zhotovení kopie) včetně provedení povrchové úpravy rámu, čištění a mechanické opravy</w:t>
      </w:r>
      <w:r>
        <w:rPr>
          <w:spacing w:val="-6"/>
          <w:sz w:val="20"/>
        </w:rPr>
        <w:t xml:space="preserve"> </w:t>
      </w:r>
      <w:r>
        <w:rPr>
          <w:sz w:val="20"/>
        </w:rPr>
        <w:t>částí,</w:t>
      </w:r>
    </w:p>
    <w:p w14:paraId="340FE979" w14:textId="77777777" w:rsidR="009A1986" w:rsidRDefault="00C45D89">
      <w:pPr>
        <w:pStyle w:val="Odstavecseseznamem"/>
        <w:numPr>
          <w:ilvl w:val="0"/>
          <w:numId w:val="1"/>
        </w:numPr>
        <w:tabs>
          <w:tab w:val="left" w:pos="493"/>
          <w:tab w:val="left" w:pos="494"/>
        </w:tabs>
        <w:spacing w:before="1" w:line="300" w:lineRule="auto"/>
        <w:ind w:right="138"/>
        <w:rPr>
          <w:sz w:val="20"/>
        </w:rPr>
      </w:pPr>
      <w:r>
        <w:rPr>
          <w:sz w:val="20"/>
        </w:rPr>
        <w:t>odstranění</w:t>
      </w:r>
      <w:r>
        <w:rPr>
          <w:spacing w:val="-16"/>
          <w:sz w:val="20"/>
        </w:rPr>
        <w:t xml:space="preserve"> </w:t>
      </w:r>
      <w:r>
        <w:rPr>
          <w:sz w:val="20"/>
        </w:rPr>
        <w:t>neopravitelných</w:t>
      </w:r>
      <w:r>
        <w:rPr>
          <w:spacing w:val="-14"/>
          <w:sz w:val="20"/>
        </w:rPr>
        <w:t xml:space="preserve"> </w:t>
      </w:r>
      <w:r>
        <w:rPr>
          <w:sz w:val="20"/>
        </w:rPr>
        <w:t>částí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zhotovení</w:t>
      </w:r>
      <w:r>
        <w:rPr>
          <w:spacing w:val="-11"/>
          <w:sz w:val="20"/>
        </w:rPr>
        <w:t xml:space="preserve"> </w:t>
      </w:r>
      <w:r>
        <w:rPr>
          <w:sz w:val="20"/>
        </w:rPr>
        <w:t>chybějících</w:t>
      </w:r>
      <w:r>
        <w:rPr>
          <w:spacing w:val="-15"/>
          <w:sz w:val="20"/>
        </w:rPr>
        <w:t xml:space="preserve"> </w:t>
      </w:r>
      <w:r>
        <w:rPr>
          <w:sz w:val="20"/>
        </w:rPr>
        <w:t>částí</w:t>
      </w:r>
      <w:r>
        <w:rPr>
          <w:spacing w:val="-15"/>
          <w:sz w:val="20"/>
        </w:rPr>
        <w:t xml:space="preserve"> </w:t>
      </w:r>
      <w:r>
        <w:rPr>
          <w:sz w:val="20"/>
        </w:rPr>
        <w:t>dle</w:t>
      </w:r>
      <w:r>
        <w:rPr>
          <w:spacing w:val="-16"/>
          <w:sz w:val="20"/>
        </w:rPr>
        <w:t xml:space="preserve"> </w:t>
      </w:r>
      <w:r>
        <w:rPr>
          <w:sz w:val="20"/>
        </w:rPr>
        <w:t>originálu</w:t>
      </w:r>
      <w:r>
        <w:rPr>
          <w:spacing w:val="-15"/>
          <w:sz w:val="20"/>
        </w:rPr>
        <w:t xml:space="preserve"> </w:t>
      </w:r>
      <w:r>
        <w:rPr>
          <w:sz w:val="20"/>
        </w:rPr>
        <w:t>(např.</w:t>
      </w:r>
      <w:r>
        <w:rPr>
          <w:spacing w:val="-13"/>
          <w:sz w:val="20"/>
        </w:rPr>
        <w:t xml:space="preserve"> </w:t>
      </w:r>
      <w:r>
        <w:rPr>
          <w:sz w:val="20"/>
        </w:rPr>
        <w:t>zástrč</w:t>
      </w:r>
      <w:r>
        <w:rPr>
          <w:spacing w:val="-14"/>
          <w:sz w:val="20"/>
        </w:rPr>
        <w:t xml:space="preserve"> </w:t>
      </w:r>
      <w:r>
        <w:rPr>
          <w:sz w:val="20"/>
        </w:rPr>
        <w:t>otevřených</w:t>
      </w:r>
      <w:r>
        <w:rPr>
          <w:spacing w:val="-13"/>
          <w:sz w:val="20"/>
        </w:rPr>
        <w:t xml:space="preserve"> </w:t>
      </w:r>
      <w:r>
        <w:rPr>
          <w:sz w:val="20"/>
        </w:rPr>
        <w:t>dveří, zasklívací lišty),</w:t>
      </w:r>
    </w:p>
    <w:p w14:paraId="617C9867" w14:textId="77777777" w:rsidR="009A1986" w:rsidRDefault="00C45D89">
      <w:pPr>
        <w:pStyle w:val="Odstavecseseznamem"/>
        <w:numPr>
          <w:ilvl w:val="0"/>
          <w:numId w:val="1"/>
        </w:numPr>
        <w:tabs>
          <w:tab w:val="left" w:pos="493"/>
          <w:tab w:val="left" w:pos="494"/>
        </w:tabs>
        <w:spacing w:line="300" w:lineRule="auto"/>
        <w:ind w:right="133"/>
        <w:rPr>
          <w:sz w:val="20"/>
        </w:rPr>
      </w:pPr>
      <w:r>
        <w:rPr>
          <w:sz w:val="20"/>
        </w:rPr>
        <w:t>nové zasklení sklem tl. 8 mm s bezpečnostní fólií, osazení nových zástrčí a zámků, nové osazení čepu (horní čepy do pouzder s ložisky), konzervace pakfonových obkladů je navržena voskem (ne</w:t>
      </w:r>
      <w:r>
        <w:rPr>
          <w:spacing w:val="-37"/>
          <w:sz w:val="20"/>
        </w:rPr>
        <w:t xml:space="preserve"> </w:t>
      </w:r>
      <w:r>
        <w:rPr>
          <w:sz w:val="20"/>
        </w:rPr>
        <w:t>lakem),</w:t>
      </w:r>
    </w:p>
    <w:p w14:paraId="03EF9245" w14:textId="77777777" w:rsidR="009A1986" w:rsidRDefault="00C45D89">
      <w:pPr>
        <w:pStyle w:val="Odstavecseseznamem"/>
        <w:numPr>
          <w:ilvl w:val="0"/>
          <w:numId w:val="1"/>
        </w:numPr>
        <w:tabs>
          <w:tab w:val="left" w:pos="493"/>
          <w:tab w:val="left" w:pos="494"/>
        </w:tabs>
        <w:ind w:hanging="362"/>
        <w:rPr>
          <w:sz w:val="20"/>
        </w:rPr>
      </w:pPr>
      <w:r>
        <w:rPr>
          <w:sz w:val="20"/>
        </w:rPr>
        <w:t>montáž dveřních křídel na místě, osazení zavírače (na horní interiérovou část křídla),</w:t>
      </w:r>
      <w:r>
        <w:rPr>
          <w:spacing w:val="-22"/>
          <w:sz w:val="20"/>
        </w:rPr>
        <w:t xml:space="preserve"> </w:t>
      </w:r>
      <w:r>
        <w:rPr>
          <w:sz w:val="20"/>
        </w:rPr>
        <w:t>seřízení.</w:t>
      </w:r>
    </w:p>
    <w:p w14:paraId="18CB154B" w14:textId="77777777" w:rsidR="009A1986" w:rsidRDefault="009A1986">
      <w:pPr>
        <w:pStyle w:val="Zkladntext"/>
        <w:spacing w:before="1"/>
        <w:rPr>
          <w:sz w:val="30"/>
        </w:rPr>
      </w:pPr>
    </w:p>
    <w:p w14:paraId="41FCA8E0" w14:textId="77777777" w:rsidR="009A1986" w:rsidRDefault="00C45D89">
      <w:pPr>
        <w:spacing w:line="300" w:lineRule="auto"/>
        <w:ind w:left="132" w:right="131"/>
        <w:jc w:val="both"/>
        <w:rPr>
          <w:i/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souladu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ustanovením</w:t>
      </w:r>
      <w:r>
        <w:rPr>
          <w:spacing w:val="-6"/>
          <w:sz w:val="20"/>
        </w:rPr>
        <w:t xml:space="preserve"> </w:t>
      </w:r>
      <w:r>
        <w:rPr>
          <w:sz w:val="20"/>
        </w:rPr>
        <w:t>§</w:t>
      </w:r>
      <w:r>
        <w:rPr>
          <w:spacing w:val="-9"/>
          <w:sz w:val="20"/>
        </w:rPr>
        <w:t xml:space="preserve"> </w:t>
      </w:r>
      <w:r>
        <w:rPr>
          <w:sz w:val="20"/>
        </w:rPr>
        <w:t>14</w:t>
      </w:r>
      <w:r>
        <w:rPr>
          <w:spacing w:val="-11"/>
          <w:sz w:val="20"/>
        </w:rPr>
        <w:t xml:space="preserve"> </w:t>
      </w:r>
      <w:r>
        <w:rPr>
          <w:sz w:val="20"/>
        </w:rPr>
        <w:t>odst.</w:t>
      </w:r>
      <w:r>
        <w:rPr>
          <w:spacing w:val="-10"/>
          <w:sz w:val="20"/>
        </w:rPr>
        <w:t xml:space="preserve"> </w:t>
      </w:r>
      <w:r>
        <w:rPr>
          <w:sz w:val="20"/>
        </w:rPr>
        <w:t>6</w:t>
      </w:r>
      <w:r>
        <w:rPr>
          <w:spacing w:val="-7"/>
          <w:sz w:val="20"/>
        </w:rPr>
        <w:t xml:space="preserve"> </w:t>
      </w:r>
      <w:r>
        <w:rPr>
          <w:sz w:val="20"/>
        </w:rPr>
        <w:t>zákona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státní</w:t>
      </w:r>
      <w:r>
        <w:rPr>
          <w:spacing w:val="-9"/>
          <w:sz w:val="20"/>
        </w:rPr>
        <w:t xml:space="preserve"> </w:t>
      </w:r>
      <w:r>
        <w:rPr>
          <w:sz w:val="20"/>
        </w:rPr>
        <w:t>památkové</w:t>
      </w:r>
      <w:r>
        <w:rPr>
          <w:spacing w:val="-11"/>
          <w:sz w:val="20"/>
        </w:rPr>
        <w:t xml:space="preserve"> </w:t>
      </w:r>
      <w:r>
        <w:rPr>
          <w:sz w:val="20"/>
        </w:rPr>
        <w:t>péči</w:t>
      </w:r>
      <w:r>
        <w:rPr>
          <w:spacing w:val="-11"/>
          <w:sz w:val="20"/>
        </w:rPr>
        <w:t xml:space="preserve"> </w:t>
      </w:r>
      <w:r>
        <w:rPr>
          <w:sz w:val="20"/>
        </w:rPr>
        <w:t>si</w:t>
      </w:r>
      <w:r>
        <w:rPr>
          <w:spacing w:val="-12"/>
          <w:sz w:val="20"/>
        </w:rPr>
        <w:t xml:space="preserve"> </w:t>
      </w:r>
      <w:r>
        <w:rPr>
          <w:sz w:val="20"/>
        </w:rPr>
        <w:t>OPP</w:t>
      </w:r>
      <w:r>
        <w:rPr>
          <w:spacing w:val="-9"/>
          <w:sz w:val="20"/>
        </w:rPr>
        <w:t xml:space="preserve"> </w:t>
      </w:r>
      <w:r>
        <w:rPr>
          <w:sz w:val="20"/>
        </w:rPr>
        <w:t>MMB</w:t>
      </w:r>
      <w:r>
        <w:rPr>
          <w:spacing w:val="-9"/>
          <w:sz w:val="20"/>
        </w:rPr>
        <w:t xml:space="preserve"> </w:t>
      </w:r>
      <w:r>
        <w:rPr>
          <w:sz w:val="20"/>
        </w:rPr>
        <w:t>vyžádal</w:t>
      </w:r>
      <w:r>
        <w:rPr>
          <w:spacing w:val="-9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odborné vyjádření</w:t>
      </w:r>
      <w:r>
        <w:rPr>
          <w:spacing w:val="-9"/>
          <w:sz w:val="20"/>
        </w:rPr>
        <w:t xml:space="preserve"> </w:t>
      </w:r>
      <w:r>
        <w:rPr>
          <w:sz w:val="20"/>
        </w:rPr>
        <w:t>Národního</w:t>
      </w:r>
      <w:r>
        <w:rPr>
          <w:spacing w:val="-6"/>
          <w:sz w:val="20"/>
        </w:rPr>
        <w:t xml:space="preserve"> </w:t>
      </w:r>
      <w:r>
        <w:rPr>
          <w:sz w:val="20"/>
        </w:rPr>
        <w:t>památkového</w:t>
      </w:r>
      <w:r>
        <w:rPr>
          <w:spacing w:val="-9"/>
          <w:sz w:val="20"/>
        </w:rPr>
        <w:t xml:space="preserve"> </w:t>
      </w:r>
      <w:r>
        <w:rPr>
          <w:sz w:val="20"/>
        </w:rPr>
        <w:t>ústavu,</w:t>
      </w:r>
      <w:r>
        <w:rPr>
          <w:spacing w:val="-6"/>
          <w:sz w:val="20"/>
        </w:rPr>
        <w:t xml:space="preserve"> </w:t>
      </w:r>
      <w:r>
        <w:rPr>
          <w:sz w:val="20"/>
        </w:rPr>
        <w:t>územního</w:t>
      </w:r>
      <w:r>
        <w:rPr>
          <w:spacing w:val="-9"/>
          <w:sz w:val="20"/>
        </w:rPr>
        <w:t xml:space="preserve"> </w:t>
      </w:r>
      <w:r>
        <w:rPr>
          <w:sz w:val="20"/>
        </w:rPr>
        <w:t>odborného</w:t>
      </w:r>
      <w:r>
        <w:rPr>
          <w:spacing w:val="-9"/>
          <w:sz w:val="20"/>
        </w:rPr>
        <w:t xml:space="preserve"> </w:t>
      </w:r>
      <w:r>
        <w:rPr>
          <w:sz w:val="20"/>
        </w:rPr>
        <w:t>pracoviště</w:t>
      </w:r>
      <w:r>
        <w:rPr>
          <w:spacing w:val="-8"/>
          <w:sz w:val="20"/>
        </w:rPr>
        <w:t xml:space="preserve"> </w:t>
      </w:r>
      <w:r>
        <w:rPr>
          <w:sz w:val="20"/>
        </w:rPr>
        <w:t>(NPÚ</w:t>
      </w:r>
      <w:r>
        <w:rPr>
          <w:spacing w:val="-8"/>
          <w:sz w:val="20"/>
        </w:rPr>
        <w:t xml:space="preserve"> </w:t>
      </w:r>
      <w:r>
        <w:rPr>
          <w:sz w:val="20"/>
        </w:rPr>
        <w:t>ÚOP)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Brně,</w:t>
      </w:r>
      <w:r>
        <w:rPr>
          <w:spacing w:val="-8"/>
          <w:sz w:val="20"/>
        </w:rPr>
        <w:t xml:space="preserve"> </w:t>
      </w:r>
      <w:r>
        <w:rPr>
          <w:sz w:val="20"/>
        </w:rPr>
        <w:t>jako</w:t>
      </w:r>
      <w:r>
        <w:rPr>
          <w:spacing w:val="-9"/>
          <w:sz w:val="20"/>
        </w:rPr>
        <w:t xml:space="preserve"> </w:t>
      </w:r>
      <w:r>
        <w:rPr>
          <w:sz w:val="20"/>
        </w:rPr>
        <w:t>odborné organizace státní památkové péče, které bylo vyhotoveno dne 11.07.2024 pod č.j. NPÚ-371/57416/2024 (B.P.) a doručeno na OPP MMB dne 12.07.2024. NPÚ ÚOP v Brně ve svém odborném vyjádření konstatuje, že „</w:t>
      </w:r>
      <w:r>
        <w:rPr>
          <w:i/>
          <w:sz w:val="20"/>
        </w:rPr>
        <w:t xml:space="preserve">oprava vnějších vchodových dveří bude v souladu s uvedenými kulturně historickými hodnotami </w:t>
      </w:r>
      <w:r>
        <w:rPr>
          <w:i/>
          <w:spacing w:val="-55"/>
          <w:sz w:val="20"/>
        </w:rPr>
        <w:t xml:space="preserve">při </w:t>
      </w:r>
      <w:r>
        <w:rPr>
          <w:i/>
          <w:sz w:val="20"/>
        </w:rPr>
        <w:t>dodržení podmínky:</w:t>
      </w:r>
    </w:p>
    <w:p w14:paraId="14E76FEC" w14:textId="77777777" w:rsidR="009A1986" w:rsidRDefault="00C45D89">
      <w:pPr>
        <w:spacing w:line="300" w:lineRule="auto"/>
        <w:ind w:left="132" w:right="131"/>
        <w:jc w:val="both"/>
        <w:rPr>
          <w:i/>
          <w:sz w:val="20"/>
        </w:rPr>
      </w:pPr>
      <w:r>
        <w:rPr>
          <w:i/>
          <w:sz w:val="20"/>
        </w:rPr>
        <w:t>Před zahájením opravy bude investorem svolána kontrolní prohlídka, na kterou budou pozváni zástupci odborné organizace státní památkové péče a orgánu státní památkové péče, přičemž na vstupním jednání bude dohodnut harmonogram dalších místních šetření za účelem sledování a kontroly prací, které jsou tímto vyjádřením exaktně určeny.“</w:t>
      </w:r>
    </w:p>
    <w:p w14:paraId="0DBD5C59" w14:textId="77777777" w:rsidR="009A1986" w:rsidRDefault="009A1986">
      <w:pPr>
        <w:pStyle w:val="Zkladntext"/>
        <w:spacing w:before="8"/>
        <w:rPr>
          <w:i/>
          <w:sz w:val="24"/>
        </w:rPr>
      </w:pPr>
    </w:p>
    <w:p w14:paraId="348C6ADF" w14:textId="77777777" w:rsidR="009A1986" w:rsidRDefault="00C45D89">
      <w:pPr>
        <w:ind w:left="132"/>
        <w:rPr>
          <w:i/>
          <w:sz w:val="20"/>
        </w:rPr>
      </w:pPr>
      <w:r>
        <w:rPr>
          <w:sz w:val="20"/>
        </w:rPr>
        <w:t xml:space="preserve">NPÚ, ÚOP v Brně své vyhodnocení zdůvodnil: </w:t>
      </w:r>
      <w:r>
        <w:rPr>
          <w:i/>
          <w:sz w:val="20"/>
        </w:rPr>
        <w:t>„Oprava vnějších vchodových dveří je možná. Aby nebyla v</w:t>
      </w:r>
    </w:p>
    <w:p w14:paraId="09ECAAC2" w14:textId="77777777" w:rsidR="009A1986" w:rsidRDefault="009A1986">
      <w:pPr>
        <w:rPr>
          <w:sz w:val="20"/>
        </w:rPr>
        <w:sectPr w:rsidR="009A1986">
          <w:pgSz w:w="11910" w:h="16840"/>
          <w:pgMar w:top="1400" w:right="1000" w:bottom="1160" w:left="1000" w:header="0" w:footer="963" w:gutter="0"/>
          <w:cols w:space="708"/>
        </w:sectPr>
      </w:pPr>
    </w:p>
    <w:p w14:paraId="575F7B5D" w14:textId="77777777" w:rsidR="009A1986" w:rsidRDefault="00C45D89">
      <w:pPr>
        <w:spacing w:before="75" w:line="300" w:lineRule="auto"/>
        <w:ind w:left="132" w:right="132"/>
        <w:jc w:val="both"/>
        <w:rPr>
          <w:i/>
          <w:sz w:val="20"/>
        </w:rPr>
      </w:pPr>
      <w:r>
        <w:rPr>
          <w:i/>
          <w:sz w:val="20"/>
        </w:rPr>
        <w:lastRenderedPageBreak/>
        <w:t>rozporu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výše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uvedenými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kulturně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historickými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hodnotami,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byla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stanovena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usměrňující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podmínka.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Realizace nebude mít vliv na pohledové vazby ve směrech z ochranného pásma městské památkové rezervace Brno  k Městské památkové rezervaci Brno. Požadavek na svolávání kontrolních prohlídek má oporu v zákoně č. 20/1987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Sb.,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státní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památkové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péči,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ve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znění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pozdějších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předpisů,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zejména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§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29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32,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kde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je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stanoven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dozor orgánu památkové péče a odborný dohled odborné organizace státní památkové péče. Zároveň plyne z povahy věci, že případné dílčí usměrnění – upřesnění, může být uplatněno pouze v přítomnosti dotčených stran. Kontrolní prohlídky lze považovat za jeden ze základních mechanismů účinného dohledu všech složek státní památkové péče. Další usměrňující podmínky nebyly stanoveny, neboť žadatel počítá s dalším upřesněním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postupu.“</w:t>
      </w:r>
    </w:p>
    <w:p w14:paraId="050C830B" w14:textId="77777777" w:rsidR="009A1986" w:rsidRDefault="009A1986">
      <w:pPr>
        <w:pStyle w:val="Zkladntext"/>
        <w:rPr>
          <w:i/>
          <w:sz w:val="25"/>
        </w:rPr>
      </w:pPr>
    </w:p>
    <w:p w14:paraId="4C0BF1D2" w14:textId="77777777" w:rsidR="009A1986" w:rsidRDefault="00C45D89">
      <w:pPr>
        <w:spacing w:line="300" w:lineRule="auto"/>
        <w:ind w:left="132" w:right="138"/>
        <w:jc w:val="both"/>
        <w:rPr>
          <w:i/>
          <w:sz w:val="20"/>
        </w:rPr>
      </w:pPr>
      <w:r>
        <w:rPr>
          <w:sz w:val="20"/>
        </w:rPr>
        <w:t>NPÚ, ÚOP v Brně ve svém vyjádření sděluje: „</w:t>
      </w:r>
      <w:r>
        <w:rPr>
          <w:i/>
          <w:sz w:val="20"/>
        </w:rPr>
        <w:t xml:space="preserve">Dvoukřídlové prosklené dveře jsou situovány v centrální </w:t>
      </w:r>
      <w:r>
        <w:rPr>
          <w:i/>
          <w:spacing w:val="-29"/>
          <w:sz w:val="20"/>
        </w:rPr>
        <w:t xml:space="preserve">partii </w:t>
      </w:r>
      <w:r>
        <w:rPr>
          <w:i/>
          <w:sz w:val="20"/>
        </w:rPr>
        <w:t>proskleného portálu zádveří. Z restaurátorského průzkumu vyplývá, že křídla jsou tvarové kopie původních křídel, opláštění křídel je plechy z bílé mosazi.“</w:t>
      </w:r>
    </w:p>
    <w:p w14:paraId="0148E14E" w14:textId="77777777" w:rsidR="009A1986" w:rsidRDefault="00C45D89">
      <w:pPr>
        <w:spacing w:line="229" w:lineRule="exact"/>
        <w:ind w:left="132"/>
        <w:jc w:val="both"/>
        <w:rPr>
          <w:i/>
          <w:sz w:val="20"/>
        </w:rPr>
      </w:pPr>
      <w:r>
        <w:rPr>
          <w:i/>
          <w:sz w:val="20"/>
        </w:rPr>
        <w:t>„Současný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stav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poznání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dotčených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chráněných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kulturně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historických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hodnot: Objekt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je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situován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ochranném</w:t>
      </w:r>
    </w:p>
    <w:p w14:paraId="63F822E8" w14:textId="77777777" w:rsidR="009A1986" w:rsidRDefault="00C45D89">
      <w:pPr>
        <w:spacing w:before="59"/>
        <w:ind w:left="132"/>
        <w:jc w:val="both"/>
        <w:rPr>
          <w:i/>
          <w:sz w:val="20"/>
        </w:rPr>
      </w:pPr>
      <w:r>
        <w:rPr>
          <w:i/>
          <w:sz w:val="20"/>
        </w:rPr>
        <w:t>pásmu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Městské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památkové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rezervace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Brno,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vyhlášeném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Odborem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kultury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Národního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výboru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města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Brna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dne</w:t>
      </w:r>
    </w:p>
    <w:p w14:paraId="4160199D" w14:textId="77777777" w:rsidR="009A1986" w:rsidRDefault="00C45D89">
      <w:pPr>
        <w:spacing w:before="58" w:line="300" w:lineRule="auto"/>
        <w:ind w:left="132" w:right="130"/>
        <w:jc w:val="both"/>
        <w:rPr>
          <w:i/>
          <w:sz w:val="20"/>
        </w:rPr>
      </w:pPr>
      <w:r>
        <w:rPr>
          <w:i/>
          <w:sz w:val="20"/>
        </w:rPr>
        <w:t>6. 4. 1990 pod č. j. kult.402/90/sev. Rovněž je situován v plošně chráněném území památkové zóny Brno, prohlášené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Ministerstvem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kultury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ČR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„Opatřením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obecné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povahy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3/2021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prohlášení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památkové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zóny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Brno a určení podmínek ochrany“ pod č. j. MK 71265/2022 OPP účinným 3. 3. 2023. Dům se nachází v části A památkové zóny Brno (území utvářející charakter památkové zóny). Původní budovu užíval Všeobecný penzijní ústav, v současnosti slouží Nejvyššímu soudu, budova je evidována v ÚSKP ČR s r. č. 28839/7-96. Ač nejsou křídla původní, jsou tvarovými kopiemi původních, opláštění křídel odpovídá typem materiálu (bílá mosaz) původnímu opláštění.“</w:t>
      </w:r>
    </w:p>
    <w:p w14:paraId="1EC38097" w14:textId="77777777" w:rsidR="009A1986" w:rsidRDefault="009A1986">
      <w:pPr>
        <w:pStyle w:val="Zkladntext"/>
        <w:spacing w:before="2"/>
        <w:rPr>
          <w:i/>
          <w:sz w:val="25"/>
        </w:rPr>
      </w:pPr>
    </w:p>
    <w:p w14:paraId="4D28F18E" w14:textId="77777777" w:rsidR="009A1986" w:rsidRDefault="00C45D89">
      <w:pPr>
        <w:pStyle w:val="Zkladntext"/>
        <w:spacing w:line="300" w:lineRule="auto"/>
        <w:ind w:left="132" w:right="135"/>
        <w:jc w:val="both"/>
      </w:pPr>
      <w:r>
        <w:t>Jedná se o udržovací práce stávajících vnějších hlavních vchodových dveří, které jsou opotřebené a poškozené.  Vstupní portál s vchodovými dveřmi je výraznou součástí architektonického vzhledu budovy.     V rámci udržovacích prací dojde k opravě otvírání dveří a k obnově původního vzhledu</w:t>
      </w:r>
      <w:r>
        <w:rPr>
          <w:spacing w:val="-20"/>
        </w:rPr>
        <w:t xml:space="preserve"> </w:t>
      </w:r>
      <w:r>
        <w:t>křídel.</w:t>
      </w:r>
    </w:p>
    <w:p w14:paraId="36C7A01D" w14:textId="77777777" w:rsidR="009A1986" w:rsidRDefault="009A1986">
      <w:pPr>
        <w:pStyle w:val="Zkladntext"/>
        <w:rPr>
          <w:sz w:val="25"/>
        </w:rPr>
      </w:pPr>
    </w:p>
    <w:p w14:paraId="235655F9" w14:textId="77777777" w:rsidR="009A1986" w:rsidRDefault="00C45D89">
      <w:pPr>
        <w:pStyle w:val="Zkladntext"/>
        <w:spacing w:line="300" w:lineRule="auto"/>
        <w:ind w:left="132" w:right="131"/>
        <w:jc w:val="both"/>
      </w:pPr>
      <w:r>
        <w:t>Z</w:t>
      </w:r>
      <w:r>
        <w:rPr>
          <w:spacing w:val="-4"/>
        </w:rPr>
        <w:t xml:space="preserve"> </w:t>
      </w:r>
      <w:r>
        <w:t>hlediska</w:t>
      </w:r>
      <w:r>
        <w:rPr>
          <w:spacing w:val="-4"/>
        </w:rPr>
        <w:t xml:space="preserve"> </w:t>
      </w:r>
      <w:r>
        <w:t>podmínek</w:t>
      </w:r>
      <w:r>
        <w:rPr>
          <w:spacing w:val="-1"/>
        </w:rPr>
        <w:t xml:space="preserve"> </w:t>
      </w:r>
      <w:r>
        <w:t>ochrany</w:t>
      </w:r>
      <w:r>
        <w:rPr>
          <w:spacing w:val="-4"/>
        </w:rPr>
        <w:t xml:space="preserve"> </w:t>
      </w:r>
      <w:r>
        <w:t>opatření</w:t>
      </w:r>
      <w:r>
        <w:rPr>
          <w:spacing w:val="-5"/>
        </w:rPr>
        <w:t xml:space="preserve"> </w:t>
      </w:r>
      <w:r>
        <w:t>Ministerstva</w:t>
      </w:r>
      <w:r>
        <w:rPr>
          <w:spacing w:val="-4"/>
        </w:rPr>
        <w:t xml:space="preserve"> </w:t>
      </w:r>
      <w:r>
        <w:t>kultury</w:t>
      </w:r>
      <w:r>
        <w:rPr>
          <w:spacing w:val="-7"/>
        </w:rPr>
        <w:t xml:space="preserve"> </w:t>
      </w:r>
      <w:r>
        <w:t>obecné</w:t>
      </w:r>
      <w:r>
        <w:rPr>
          <w:spacing w:val="-6"/>
        </w:rPr>
        <w:t xml:space="preserve"> </w:t>
      </w:r>
      <w:r>
        <w:t>povahy</w:t>
      </w:r>
      <w:r>
        <w:rPr>
          <w:spacing w:val="-6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3/2021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prohlášení</w:t>
      </w:r>
      <w:r>
        <w:rPr>
          <w:spacing w:val="-5"/>
        </w:rPr>
        <w:t xml:space="preserve"> </w:t>
      </w:r>
      <w:r>
        <w:t>památkové zóny</w:t>
      </w:r>
      <w:r>
        <w:rPr>
          <w:spacing w:val="21"/>
        </w:rPr>
        <w:t xml:space="preserve"> </w:t>
      </w:r>
      <w:r>
        <w:t>Brno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určení</w:t>
      </w:r>
      <w:r>
        <w:rPr>
          <w:spacing w:val="24"/>
        </w:rPr>
        <w:t xml:space="preserve"> </w:t>
      </w:r>
      <w:r>
        <w:t>podmínek</w:t>
      </w:r>
      <w:r>
        <w:rPr>
          <w:spacing w:val="26"/>
        </w:rPr>
        <w:t xml:space="preserve"> </w:t>
      </w:r>
      <w:r>
        <w:t>ochrany,</w:t>
      </w:r>
      <w:r>
        <w:rPr>
          <w:spacing w:val="27"/>
        </w:rPr>
        <w:t xml:space="preserve"> </w:t>
      </w:r>
      <w:r>
        <w:t>platné</w:t>
      </w:r>
      <w:r>
        <w:rPr>
          <w:spacing w:val="24"/>
        </w:rPr>
        <w:t xml:space="preserve"> </w:t>
      </w:r>
      <w:r>
        <w:t>pro</w:t>
      </w:r>
      <w:r>
        <w:rPr>
          <w:spacing w:val="25"/>
        </w:rPr>
        <w:t xml:space="preserve"> </w:t>
      </w:r>
      <w:r>
        <w:t>část</w:t>
      </w:r>
      <w:r>
        <w:rPr>
          <w:spacing w:val="22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památkové</w:t>
      </w:r>
      <w:r>
        <w:rPr>
          <w:spacing w:val="24"/>
        </w:rPr>
        <w:t xml:space="preserve"> </w:t>
      </w:r>
      <w:r>
        <w:t>zóny,</w:t>
      </w:r>
      <w:r>
        <w:rPr>
          <w:spacing w:val="25"/>
        </w:rPr>
        <w:t xml:space="preserve"> </w:t>
      </w:r>
      <w:r>
        <w:t>čl.</w:t>
      </w:r>
      <w:r>
        <w:rPr>
          <w:spacing w:val="30"/>
        </w:rPr>
        <w:t xml:space="preserve"> </w:t>
      </w:r>
      <w:r>
        <w:t>2</w:t>
      </w:r>
      <w:r>
        <w:rPr>
          <w:spacing w:val="25"/>
        </w:rPr>
        <w:t xml:space="preserve"> </w:t>
      </w:r>
      <w:r>
        <w:t>bod</w:t>
      </w:r>
      <w:r>
        <w:rPr>
          <w:spacing w:val="25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písm.</w:t>
      </w:r>
      <w:r>
        <w:rPr>
          <w:spacing w:val="25"/>
        </w:rPr>
        <w:t xml:space="preserve"> </w:t>
      </w:r>
      <w:r>
        <w:t>c)</w:t>
      </w:r>
      <w:r>
        <w:rPr>
          <w:spacing w:val="24"/>
        </w:rPr>
        <w:t xml:space="preserve"> </w:t>
      </w:r>
      <w:r>
        <w:t>platí,</w:t>
      </w:r>
      <w:r>
        <w:rPr>
          <w:spacing w:val="27"/>
        </w:rPr>
        <w:t xml:space="preserve"> </w:t>
      </w:r>
      <w:r>
        <w:t>že:</w:t>
      </w:r>
    </w:p>
    <w:p w14:paraId="422CF857" w14:textId="77777777" w:rsidR="009A1986" w:rsidRDefault="00C45D89">
      <w:pPr>
        <w:spacing w:line="300" w:lineRule="auto"/>
        <w:ind w:left="132" w:right="135"/>
        <w:jc w:val="both"/>
        <w:rPr>
          <w:i/>
          <w:sz w:val="20"/>
        </w:rPr>
      </w:pPr>
      <w:r>
        <w:rPr>
          <w:i/>
          <w:sz w:val="20"/>
        </w:rPr>
        <w:t>„veškeré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úpravy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pozemků,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veřejných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prostranství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dřevin,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stavební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úpravy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udržovací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práce,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které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projeví ve vnějším vzhledu nemovitosti, musí směřovat k zachování, resp. posilování zmíněných hodnot památkové zóny a musí být prováděny v souladu s architektonicko-urbanistickými, výtvarnými a kulturními kvalitami památkové zóny; umístění zařízení musí respektovat hodnoty památkové zóny."</w:t>
      </w:r>
    </w:p>
    <w:p w14:paraId="523FF500" w14:textId="77777777" w:rsidR="009A1986" w:rsidRDefault="009A1986">
      <w:pPr>
        <w:pStyle w:val="Zkladntext"/>
        <w:spacing w:before="10"/>
        <w:rPr>
          <w:i/>
          <w:sz w:val="24"/>
        </w:rPr>
      </w:pPr>
    </w:p>
    <w:p w14:paraId="7AA6E134" w14:textId="77777777" w:rsidR="009A1986" w:rsidRDefault="00C45D89">
      <w:pPr>
        <w:pStyle w:val="Zkladntext"/>
        <w:spacing w:line="300" w:lineRule="auto"/>
        <w:ind w:left="132" w:right="127"/>
        <w:jc w:val="both"/>
      </w:pPr>
      <w:r>
        <w:t>Navržené udržovací práce dle popisu v předložené žádosti budou mít pozitivní vliv na zachování kulturně- historických hodnot památky a prostředí památkové zóny. Předmětné úpravy nemají vliv na pohledové vazby na  městskou  památkovou  rezervaci  ani  její   dominanty.   Předmětnými  úpravami  nedochází   ke  kolizi  s hodnotami, které je třeba prostřednictvím ochranného pásma z pohledu státní památkové péče</w:t>
      </w:r>
      <w:r>
        <w:rPr>
          <w:spacing w:val="-35"/>
        </w:rPr>
        <w:t xml:space="preserve"> </w:t>
      </w:r>
      <w:r>
        <w:t>chránit.</w:t>
      </w:r>
    </w:p>
    <w:p w14:paraId="6F1A90C8" w14:textId="77777777" w:rsidR="009A1986" w:rsidRDefault="009A1986">
      <w:pPr>
        <w:pStyle w:val="Zkladntext"/>
        <w:spacing w:before="1"/>
        <w:rPr>
          <w:sz w:val="25"/>
        </w:rPr>
      </w:pPr>
    </w:p>
    <w:p w14:paraId="69314376" w14:textId="77777777" w:rsidR="009A1986" w:rsidRDefault="00C45D89">
      <w:pPr>
        <w:pStyle w:val="Zkladntext"/>
        <w:spacing w:line="300" w:lineRule="auto"/>
        <w:ind w:left="132" w:right="129"/>
        <w:jc w:val="both"/>
      </w:pPr>
      <w:r>
        <w:t>V</w:t>
      </w:r>
      <w:r>
        <w:rPr>
          <w:spacing w:val="-13"/>
        </w:rPr>
        <w:t xml:space="preserve"> </w:t>
      </w:r>
      <w:r>
        <w:t>souladu</w:t>
      </w:r>
      <w:r>
        <w:rPr>
          <w:spacing w:val="-1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odborným</w:t>
      </w:r>
      <w:r>
        <w:rPr>
          <w:spacing w:val="-8"/>
        </w:rPr>
        <w:t xml:space="preserve"> </w:t>
      </w:r>
      <w:r>
        <w:t>vyjádřením</w:t>
      </w:r>
      <w:r>
        <w:rPr>
          <w:spacing w:val="-8"/>
        </w:rPr>
        <w:t xml:space="preserve"> </w:t>
      </w:r>
      <w:r>
        <w:t>NPÚ</w:t>
      </w:r>
      <w:r>
        <w:rPr>
          <w:spacing w:val="-11"/>
        </w:rPr>
        <w:t xml:space="preserve"> </w:t>
      </w:r>
      <w:r>
        <w:t>ÚOP</w:t>
      </w:r>
      <w:r>
        <w:rPr>
          <w:spacing w:val="-1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Brně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při</w:t>
      </w:r>
      <w:r>
        <w:rPr>
          <w:spacing w:val="-10"/>
        </w:rPr>
        <w:t xml:space="preserve"> </w:t>
      </w:r>
      <w:r>
        <w:t>znalosti</w:t>
      </w:r>
      <w:r>
        <w:rPr>
          <w:spacing w:val="-12"/>
        </w:rPr>
        <w:t xml:space="preserve"> </w:t>
      </w:r>
      <w:r>
        <w:t>poměrů</w:t>
      </w:r>
      <w:r>
        <w:rPr>
          <w:spacing w:val="-12"/>
        </w:rPr>
        <w:t xml:space="preserve"> </w:t>
      </w:r>
      <w:r>
        <w:t>nemovitosti</w:t>
      </w:r>
      <w:r>
        <w:rPr>
          <w:spacing w:val="-10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vlastní</w:t>
      </w:r>
      <w:r>
        <w:rPr>
          <w:spacing w:val="-10"/>
        </w:rPr>
        <w:t xml:space="preserve"> </w:t>
      </w:r>
      <w:r>
        <w:t>úřední</w:t>
      </w:r>
      <w:r>
        <w:rPr>
          <w:spacing w:val="-12"/>
        </w:rPr>
        <w:t xml:space="preserve"> </w:t>
      </w:r>
      <w:r>
        <w:t>činnosti dospěl k závěru, že předmětné práce související s opravou vchodových dveří v objektu Burešova 20 jsou přípustné. Zamýšlené práce lze provádět při dodržení základní podmínky tohoto závazného stanoviska, za které</w:t>
      </w:r>
      <w:r>
        <w:rPr>
          <w:spacing w:val="-7"/>
        </w:rPr>
        <w:t xml:space="preserve"> </w:t>
      </w:r>
      <w:r>
        <w:t>lze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věci</w:t>
      </w:r>
      <w:r>
        <w:rPr>
          <w:spacing w:val="-5"/>
        </w:rPr>
        <w:t xml:space="preserve"> </w:t>
      </w:r>
      <w:r>
        <w:t>postupovat</w:t>
      </w:r>
      <w:r>
        <w:rPr>
          <w:spacing w:val="-6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smyslu</w:t>
      </w:r>
      <w:r>
        <w:rPr>
          <w:spacing w:val="-4"/>
        </w:rPr>
        <w:t xml:space="preserve"> </w:t>
      </w:r>
      <w:r>
        <w:t>zachování</w:t>
      </w:r>
      <w:r>
        <w:rPr>
          <w:spacing w:val="-7"/>
        </w:rPr>
        <w:t xml:space="preserve"> </w:t>
      </w:r>
      <w:r>
        <w:t>historických</w:t>
      </w:r>
      <w:r>
        <w:rPr>
          <w:spacing w:val="-5"/>
        </w:rPr>
        <w:t xml:space="preserve"> </w:t>
      </w:r>
      <w:r>
        <w:t>hodnot</w:t>
      </w:r>
      <w:r>
        <w:rPr>
          <w:spacing w:val="-6"/>
        </w:rPr>
        <w:t xml:space="preserve"> </w:t>
      </w:r>
      <w:r>
        <w:t>kulturní</w:t>
      </w:r>
      <w:r>
        <w:rPr>
          <w:spacing w:val="-7"/>
        </w:rPr>
        <w:t xml:space="preserve"> </w:t>
      </w:r>
      <w:r>
        <w:t>památky.</w:t>
      </w:r>
      <w:r>
        <w:rPr>
          <w:spacing w:val="-2"/>
        </w:rPr>
        <w:t xml:space="preserve"> </w:t>
      </w:r>
      <w:r>
        <w:t>Stanovená</w:t>
      </w:r>
      <w:r>
        <w:rPr>
          <w:spacing w:val="-7"/>
        </w:rPr>
        <w:t xml:space="preserve"> </w:t>
      </w:r>
      <w:r>
        <w:t>podmínka má zajistit, aby nedošlo k takovému zásahu do autenticity vzhledu památky a materiálové kontinuity, která by měla za následek narušení kulturně-historických hodnot objektu a prostředí památkové</w:t>
      </w:r>
      <w:r>
        <w:rPr>
          <w:spacing w:val="-13"/>
        </w:rPr>
        <w:t xml:space="preserve"> </w:t>
      </w:r>
      <w:r>
        <w:t>zóny.</w:t>
      </w:r>
    </w:p>
    <w:p w14:paraId="21F5FAFB" w14:textId="77777777" w:rsidR="009A1986" w:rsidRDefault="009A1986">
      <w:pPr>
        <w:pStyle w:val="Zkladntext"/>
        <w:spacing w:before="1"/>
        <w:rPr>
          <w:sz w:val="25"/>
        </w:rPr>
      </w:pPr>
    </w:p>
    <w:p w14:paraId="74AA4559" w14:textId="77777777" w:rsidR="009A1986" w:rsidRDefault="00C45D89">
      <w:pPr>
        <w:pStyle w:val="Zkladntext"/>
        <w:spacing w:line="300" w:lineRule="auto"/>
        <w:ind w:left="132" w:right="134"/>
        <w:jc w:val="both"/>
      </w:pPr>
      <w:r>
        <w:rPr>
          <w:color w:val="00000A"/>
        </w:rPr>
        <w:t>Pro podmínku 1. platí, že požadavek na svolávání kontrolních dnů má oporu v zákoně, zejména v § 29 a 32, kde je stanoven odborný dohled odborné organizace a dohled orgánu státní památkové péče. Zároveň plyne z povahy věci, že případné dílčí usměrnění – upřesnění, může být uplatněno pouze v přítomnosti</w:t>
      </w:r>
      <w:r>
        <w:rPr>
          <w:color w:val="00000A"/>
          <w:spacing w:val="51"/>
        </w:rPr>
        <w:t xml:space="preserve"> </w:t>
      </w:r>
      <w:r>
        <w:rPr>
          <w:color w:val="00000A"/>
          <w:spacing w:val="-14"/>
        </w:rPr>
        <w:t>dotčených</w:t>
      </w:r>
    </w:p>
    <w:p w14:paraId="43336330" w14:textId="77777777" w:rsidR="009A1986" w:rsidRDefault="009A1986">
      <w:pPr>
        <w:spacing w:line="300" w:lineRule="auto"/>
        <w:jc w:val="both"/>
        <w:sectPr w:rsidR="009A1986">
          <w:pgSz w:w="11910" w:h="16840"/>
          <w:pgMar w:top="1320" w:right="1000" w:bottom="1160" w:left="1000" w:header="0" w:footer="963" w:gutter="0"/>
          <w:cols w:space="708"/>
        </w:sectPr>
      </w:pPr>
    </w:p>
    <w:p w14:paraId="25710C05" w14:textId="77777777" w:rsidR="009A1986" w:rsidRDefault="00C45D89">
      <w:pPr>
        <w:pStyle w:val="Zkladntext"/>
        <w:spacing w:before="77" w:line="300" w:lineRule="auto"/>
        <w:ind w:left="132" w:right="131"/>
        <w:jc w:val="both"/>
      </w:pPr>
      <w:r>
        <w:rPr>
          <w:color w:val="00000A"/>
        </w:rPr>
        <w:lastRenderedPageBreak/>
        <w:t>stran.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Kontrolní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dny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lze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považovat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za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jeden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ze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základních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mechanismů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účinného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dohledu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všech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složek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státní památkové péče ve smyslu platné legislativy. </w:t>
      </w:r>
      <w:r>
        <w:t xml:space="preserve">Na základě předvedených vzorků (materiálů, prvků) lze vybrat nejvhodnější druh pro realizaci. </w:t>
      </w:r>
      <w:r>
        <w:rPr>
          <w:color w:val="00000A"/>
        </w:rPr>
        <w:t>To platí rovněž pro detailní řešení, upřesnění postupů, materiálového řešení a technologií. Drobné detaily udržovacích prací, které se objeví v jejich průběhu, lze řešit přímo na místě      v rámci kontrolních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dní.</w:t>
      </w:r>
    </w:p>
    <w:p w14:paraId="7CE6DEA6" w14:textId="77777777" w:rsidR="009A1986" w:rsidRDefault="009A1986">
      <w:pPr>
        <w:pStyle w:val="Zkladntext"/>
        <w:spacing w:before="1"/>
        <w:rPr>
          <w:sz w:val="25"/>
        </w:rPr>
      </w:pPr>
    </w:p>
    <w:p w14:paraId="3FF88768" w14:textId="77777777" w:rsidR="009A1986" w:rsidRDefault="00C45D89">
      <w:pPr>
        <w:pStyle w:val="Zkladntext"/>
        <w:ind w:left="132"/>
        <w:jc w:val="both"/>
      </w:pPr>
      <w:r>
        <w:t>Z uvedených důvodů OPP MMB rozhodl tak, jak je uvedeno ve výroku tohoto rozhodnutí.</w:t>
      </w:r>
    </w:p>
    <w:p w14:paraId="3C6F796C" w14:textId="77777777" w:rsidR="009A1986" w:rsidRDefault="00D12394">
      <w:pPr>
        <w:pStyle w:val="Zkladntext"/>
        <w:spacing w:before="8"/>
        <w:rPr>
          <w:sz w:val="16"/>
        </w:rPr>
      </w:pPr>
      <w:r>
        <w:pict w14:anchorId="19033375">
          <v:shape id="_x0000_s1028" style="position:absolute;margin-left:55.2pt;margin-top:11.8pt;width:484.9pt;height:.1pt;z-index:-251645952;mso-wrap-distance-left:0;mso-wrap-distance-right:0;mso-position-horizontal-relative:page" coordorigin="1104,236" coordsize="9698,0" path="m1104,236r9698,e" filled="f" strokecolor="#ed1c24" strokeweight=".16936mm">
            <v:path arrowok="t"/>
            <w10:wrap type="topAndBottom" anchorx="page"/>
          </v:shape>
        </w:pict>
      </w:r>
    </w:p>
    <w:p w14:paraId="1B91F981" w14:textId="77777777" w:rsidR="009A1986" w:rsidRDefault="00C45D89">
      <w:pPr>
        <w:pStyle w:val="Nadpis1"/>
        <w:spacing w:after="122"/>
        <w:ind w:left="908"/>
      </w:pPr>
      <w:r>
        <w:rPr>
          <w:color w:val="ED1C24"/>
        </w:rPr>
        <w:t>Poučení</w:t>
      </w:r>
    </w:p>
    <w:p w14:paraId="4A1D9876" w14:textId="77777777" w:rsidR="009A1986" w:rsidRDefault="00D12394">
      <w:pPr>
        <w:pStyle w:val="Zkladntext"/>
        <w:spacing w:line="20" w:lineRule="exact"/>
        <w:ind w:left="99"/>
        <w:rPr>
          <w:sz w:val="2"/>
        </w:rPr>
      </w:pPr>
      <w:r>
        <w:rPr>
          <w:sz w:val="2"/>
        </w:rPr>
      </w:r>
      <w:r>
        <w:rPr>
          <w:sz w:val="2"/>
        </w:rPr>
        <w:pict w14:anchorId="7ED4EBF5">
          <v:group id="_x0000_s1026" style="width:484.9pt;height:.5pt;mso-position-horizontal-relative:char;mso-position-vertical-relative:line" coordsize="9698,10">
            <v:line id="_x0000_s1027" style="position:absolute" from="0,5" to="9698,5" strokecolor="#ed1c24" strokeweight=".16936mm"/>
            <w10:anchorlock/>
          </v:group>
        </w:pict>
      </w:r>
    </w:p>
    <w:p w14:paraId="6C6ED575" w14:textId="77777777" w:rsidR="009A1986" w:rsidRDefault="009A1986">
      <w:pPr>
        <w:pStyle w:val="Zkladntext"/>
        <w:spacing w:before="9"/>
        <w:rPr>
          <w:b/>
          <w:sz w:val="15"/>
        </w:rPr>
      </w:pPr>
    </w:p>
    <w:p w14:paraId="72FFED9A" w14:textId="77777777" w:rsidR="009A1986" w:rsidRDefault="00C45D89">
      <w:pPr>
        <w:pStyle w:val="Zkladntext"/>
        <w:spacing w:before="93" w:line="300" w:lineRule="auto"/>
        <w:ind w:left="132" w:right="133"/>
        <w:jc w:val="both"/>
      </w:pPr>
      <w:r>
        <w:t>Proti tomuto rozhodnutí lze podat podle § 81 zákona č. 500/2004 Sb. správního řádu, ve znění pozdějších předpisů,</w:t>
      </w:r>
      <w:r>
        <w:rPr>
          <w:spacing w:val="-8"/>
        </w:rPr>
        <w:t xml:space="preserve"> </w:t>
      </w:r>
      <w:r>
        <w:t>odvolání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lhůtě</w:t>
      </w:r>
      <w:r>
        <w:rPr>
          <w:spacing w:val="-5"/>
        </w:rPr>
        <w:t xml:space="preserve"> </w:t>
      </w:r>
      <w:r>
        <w:t>15</w:t>
      </w:r>
      <w:r>
        <w:rPr>
          <w:spacing w:val="-8"/>
        </w:rPr>
        <w:t xml:space="preserve"> </w:t>
      </w:r>
      <w:r>
        <w:t>dnů</w:t>
      </w:r>
      <w:r>
        <w:rPr>
          <w:spacing w:val="-7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doručení</w:t>
      </w:r>
      <w:r>
        <w:rPr>
          <w:spacing w:val="-5"/>
        </w:rPr>
        <w:t xml:space="preserve"> </w:t>
      </w:r>
      <w:r>
        <w:t>tohoto</w:t>
      </w:r>
      <w:r>
        <w:rPr>
          <w:spacing w:val="-4"/>
        </w:rPr>
        <w:t xml:space="preserve"> </w:t>
      </w:r>
      <w:r>
        <w:t>rozhodnutí</w:t>
      </w:r>
      <w:r>
        <w:rPr>
          <w:spacing w:val="-7"/>
        </w:rPr>
        <w:t xml:space="preserve"> </w:t>
      </w:r>
      <w:r>
        <w:t>ke</w:t>
      </w:r>
      <w:r>
        <w:rPr>
          <w:spacing w:val="-8"/>
        </w:rPr>
        <w:t xml:space="preserve"> </w:t>
      </w:r>
      <w:r>
        <w:t>Krajskému</w:t>
      </w:r>
      <w:r>
        <w:rPr>
          <w:spacing w:val="-7"/>
        </w:rPr>
        <w:t xml:space="preserve"> </w:t>
      </w:r>
      <w:r>
        <w:t>úřadu</w:t>
      </w:r>
      <w:r>
        <w:rPr>
          <w:spacing w:val="-8"/>
        </w:rPr>
        <w:t xml:space="preserve"> </w:t>
      </w:r>
      <w:r>
        <w:t>Jihomoravského</w:t>
      </w:r>
      <w:r>
        <w:rPr>
          <w:spacing w:val="-7"/>
        </w:rPr>
        <w:t xml:space="preserve"> </w:t>
      </w:r>
      <w:r>
        <w:t>kraje, a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prostřednictvím</w:t>
      </w:r>
      <w:r>
        <w:rPr>
          <w:spacing w:val="1"/>
        </w:rPr>
        <w:t xml:space="preserve"> </w:t>
      </w:r>
      <w:r>
        <w:t>OPP</w:t>
      </w:r>
      <w:r>
        <w:rPr>
          <w:spacing w:val="-4"/>
        </w:rPr>
        <w:t xml:space="preserve"> </w:t>
      </w:r>
      <w:r>
        <w:t>MMB,</w:t>
      </w:r>
      <w:r>
        <w:rPr>
          <w:spacing w:val="-4"/>
        </w:rPr>
        <w:t xml:space="preserve"> </w:t>
      </w:r>
      <w:r>
        <w:t>Malinovského</w:t>
      </w:r>
      <w:r>
        <w:rPr>
          <w:spacing w:val="-4"/>
        </w:rPr>
        <w:t xml:space="preserve"> </w:t>
      </w:r>
      <w:r>
        <w:t>nám.</w:t>
      </w:r>
      <w:r>
        <w:rPr>
          <w:spacing w:val="-5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601</w:t>
      </w:r>
      <w:r>
        <w:rPr>
          <w:spacing w:val="-5"/>
        </w:rPr>
        <w:t xml:space="preserve"> </w:t>
      </w:r>
      <w:r>
        <w:t>67</w:t>
      </w:r>
      <w:r>
        <w:rPr>
          <w:spacing w:val="-4"/>
        </w:rPr>
        <w:t xml:space="preserve"> </w:t>
      </w:r>
      <w:r>
        <w:t>Brno.</w:t>
      </w:r>
      <w:r>
        <w:rPr>
          <w:spacing w:val="-5"/>
        </w:rPr>
        <w:t xml:space="preserve"> </w:t>
      </w:r>
      <w:r>
        <w:t>Lhůta</w:t>
      </w:r>
      <w:r>
        <w:rPr>
          <w:spacing w:val="-5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podání</w:t>
      </w:r>
      <w:r>
        <w:rPr>
          <w:spacing w:val="-4"/>
        </w:rPr>
        <w:t xml:space="preserve"> </w:t>
      </w:r>
      <w:r>
        <w:t>odvolání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počítá</w:t>
      </w:r>
      <w:r>
        <w:rPr>
          <w:spacing w:val="-5"/>
        </w:rPr>
        <w:t xml:space="preserve"> </w:t>
      </w:r>
      <w:r>
        <w:t>ode dne následujícího po doručení písemného vyhotovení rozhodnutí, nejpozději však po uplynutí desátého dne ode dne, kdy bylo nedoručené a uložené rozhodnutí připraveno k</w:t>
      </w:r>
      <w:r>
        <w:rPr>
          <w:spacing w:val="-8"/>
        </w:rPr>
        <w:t xml:space="preserve"> </w:t>
      </w:r>
      <w:r>
        <w:t>vyzvednutí.</w:t>
      </w:r>
    </w:p>
    <w:p w14:paraId="5F4B0FC6" w14:textId="77777777" w:rsidR="009A1986" w:rsidRDefault="009A1986">
      <w:pPr>
        <w:pStyle w:val="Zkladntext"/>
        <w:rPr>
          <w:sz w:val="22"/>
        </w:rPr>
      </w:pPr>
    </w:p>
    <w:p w14:paraId="5DA90F3F" w14:textId="77777777" w:rsidR="009A1986" w:rsidRDefault="009A1986">
      <w:pPr>
        <w:pStyle w:val="Zkladntext"/>
        <w:rPr>
          <w:sz w:val="22"/>
        </w:rPr>
      </w:pPr>
    </w:p>
    <w:p w14:paraId="39BAC871" w14:textId="77777777" w:rsidR="009A1986" w:rsidRDefault="009A1986">
      <w:pPr>
        <w:pStyle w:val="Zkladntext"/>
        <w:rPr>
          <w:sz w:val="22"/>
        </w:rPr>
      </w:pPr>
    </w:p>
    <w:p w14:paraId="4DA867BF" w14:textId="77777777" w:rsidR="009A1986" w:rsidRDefault="009A1986">
      <w:pPr>
        <w:pStyle w:val="Zkladntext"/>
        <w:rPr>
          <w:sz w:val="22"/>
        </w:rPr>
      </w:pPr>
    </w:p>
    <w:p w14:paraId="50A0FC47" w14:textId="3AC78C82" w:rsidR="009A1986" w:rsidRDefault="00C45D89">
      <w:pPr>
        <w:pStyle w:val="Zkladntext"/>
        <w:spacing w:before="139"/>
        <w:ind w:left="5440" w:right="908"/>
        <w:jc w:val="center"/>
      </w:pPr>
      <w:r w:rsidRPr="00C45D89">
        <w:rPr>
          <w:highlight w:val="black"/>
        </w:rPr>
        <w:t>XXXXXXXXXXXXX</w:t>
      </w:r>
    </w:p>
    <w:p w14:paraId="4AFB0D3A" w14:textId="77777777" w:rsidR="009A1986" w:rsidRDefault="00C45D89">
      <w:pPr>
        <w:pStyle w:val="Zkladntext"/>
        <w:spacing w:before="58"/>
        <w:ind w:left="5492" w:right="908"/>
        <w:jc w:val="center"/>
      </w:pPr>
      <w:r>
        <w:t>vedoucí Odboru památkové péče MMB</w:t>
      </w:r>
    </w:p>
    <w:p w14:paraId="1C375751" w14:textId="77777777" w:rsidR="009A1986" w:rsidRDefault="009A1986">
      <w:pPr>
        <w:pStyle w:val="Zkladntext"/>
        <w:rPr>
          <w:sz w:val="22"/>
        </w:rPr>
      </w:pPr>
    </w:p>
    <w:p w14:paraId="121D91D3" w14:textId="77777777" w:rsidR="009A1986" w:rsidRDefault="009A1986">
      <w:pPr>
        <w:pStyle w:val="Zkladntext"/>
        <w:rPr>
          <w:sz w:val="22"/>
        </w:rPr>
      </w:pPr>
    </w:p>
    <w:p w14:paraId="13700580" w14:textId="77777777" w:rsidR="009A1986" w:rsidRDefault="009A1986">
      <w:pPr>
        <w:pStyle w:val="Zkladntext"/>
        <w:rPr>
          <w:sz w:val="22"/>
        </w:rPr>
      </w:pPr>
    </w:p>
    <w:p w14:paraId="4B8FBBAB" w14:textId="77777777" w:rsidR="009A1986" w:rsidRDefault="009A1986">
      <w:pPr>
        <w:pStyle w:val="Zkladntext"/>
        <w:rPr>
          <w:sz w:val="22"/>
        </w:rPr>
      </w:pPr>
    </w:p>
    <w:p w14:paraId="641F637D" w14:textId="77777777" w:rsidR="009A1986" w:rsidRDefault="009A1986">
      <w:pPr>
        <w:pStyle w:val="Zkladntext"/>
        <w:rPr>
          <w:sz w:val="22"/>
        </w:rPr>
      </w:pPr>
    </w:p>
    <w:p w14:paraId="2338A07B" w14:textId="77777777" w:rsidR="009A1986" w:rsidRDefault="00C45D89">
      <w:pPr>
        <w:spacing w:before="171"/>
        <w:ind w:left="132"/>
        <w:jc w:val="both"/>
        <w:rPr>
          <w:sz w:val="20"/>
        </w:rPr>
      </w:pPr>
      <w:r>
        <w:rPr>
          <w:b/>
          <w:color w:val="FF0000"/>
          <w:sz w:val="16"/>
        </w:rPr>
        <w:t>POČET LISTŮ</w:t>
      </w:r>
      <w:r>
        <w:rPr>
          <w:b/>
          <w:color w:val="FF0000"/>
          <w:sz w:val="20"/>
        </w:rPr>
        <w:t xml:space="preserve">: </w:t>
      </w:r>
      <w:r>
        <w:rPr>
          <w:sz w:val="20"/>
        </w:rPr>
        <w:t>02</w:t>
      </w:r>
    </w:p>
    <w:p w14:paraId="4E716201" w14:textId="77777777" w:rsidR="009A1986" w:rsidRDefault="00C45D89">
      <w:pPr>
        <w:tabs>
          <w:tab w:val="left" w:pos="1549"/>
        </w:tabs>
        <w:spacing w:before="58"/>
        <w:ind w:left="132"/>
        <w:rPr>
          <w:b/>
          <w:sz w:val="20"/>
        </w:rPr>
      </w:pPr>
      <w:r>
        <w:rPr>
          <w:b/>
          <w:color w:val="FF0000"/>
          <w:sz w:val="16"/>
        </w:rPr>
        <w:t>OBDRŽÍ:</w:t>
      </w:r>
      <w:r>
        <w:rPr>
          <w:b/>
          <w:color w:val="FF0000"/>
          <w:sz w:val="16"/>
        </w:rPr>
        <w:tab/>
      </w:r>
      <w:r>
        <w:rPr>
          <w:sz w:val="20"/>
        </w:rPr>
        <w:t xml:space="preserve">Nejvyšší soud, IČO 48510190, Burešova 571/20, 602 00 Brno, </w:t>
      </w:r>
      <w:r>
        <w:rPr>
          <w:b/>
          <w:sz w:val="20"/>
          <w:u w:val="thick"/>
        </w:rPr>
        <w:t>DS:</w:t>
      </w:r>
      <w:r>
        <w:rPr>
          <w:b/>
          <w:spacing w:val="-9"/>
          <w:sz w:val="20"/>
          <w:u w:val="thick"/>
        </w:rPr>
        <w:t xml:space="preserve"> </w:t>
      </w:r>
      <w:r>
        <w:rPr>
          <w:b/>
          <w:sz w:val="20"/>
          <w:u w:val="thick"/>
        </w:rPr>
        <w:t>kccaa9t</w:t>
      </w:r>
    </w:p>
    <w:p w14:paraId="6EC9999A" w14:textId="77777777" w:rsidR="009A1986" w:rsidRDefault="00C45D89">
      <w:pPr>
        <w:pStyle w:val="Zkladntext"/>
        <w:spacing w:before="58"/>
        <w:ind w:left="1549"/>
      </w:pPr>
      <w:r>
        <w:t>spis</w:t>
      </w:r>
    </w:p>
    <w:p w14:paraId="47168F99" w14:textId="77777777" w:rsidR="009A1986" w:rsidRDefault="00C45D89">
      <w:pPr>
        <w:tabs>
          <w:tab w:val="left" w:pos="1549"/>
        </w:tabs>
        <w:spacing w:before="58"/>
        <w:ind w:left="132"/>
        <w:rPr>
          <w:sz w:val="20"/>
        </w:rPr>
      </w:pPr>
      <w:r>
        <w:rPr>
          <w:b/>
          <w:color w:val="FF0000"/>
          <w:sz w:val="16"/>
        </w:rPr>
        <w:t>NA</w:t>
      </w:r>
      <w:r>
        <w:rPr>
          <w:b/>
          <w:color w:val="FF0000"/>
          <w:spacing w:val="-5"/>
          <w:sz w:val="16"/>
        </w:rPr>
        <w:t xml:space="preserve"> </w:t>
      </w:r>
      <w:r>
        <w:rPr>
          <w:b/>
          <w:color w:val="FF0000"/>
          <w:sz w:val="16"/>
        </w:rPr>
        <w:t>VĚDOMÍ:</w:t>
      </w:r>
      <w:r>
        <w:rPr>
          <w:b/>
          <w:color w:val="FF0000"/>
          <w:sz w:val="16"/>
        </w:rPr>
        <w:tab/>
      </w:r>
      <w:r>
        <w:rPr>
          <w:sz w:val="20"/>
        </w:rPr>
        <w:t>NPÚ ÚOP v</w:t>
      </w:r>
      <w:r>
        <w:rPr>
          <w:spacing w:val="-2"/>
          <w:sz w:val="20"/>
        </w:rPr>
        <w:t xml:space="preserve"> </w:t>
      </w:r>
      <w:r>
        <w:rPr>
          <w:sz w:val="20"/>
        </w:rPr>
        <w:t>Brně</w:t>
      </w:r>
    </w:p>
    <w:sectPr w:rsidR="009A1986">
      <w:pgSz w:w="11910" w:h="16840"/>
      <w:pgMar w:top="1320" w:right="1000" w:bottom="1160" w:left="1000" w:header="0" w:footer="9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42215" w14:textId="77777777" w:rsidR="00C45D89" w:rsidRDefault="00C45D89">
      <w:r>
        <w:separator/>
      </w:r>
    </w:p>
  </w:endnote>
  <w:endnote w:type="continuationSeparator" w:id="0">
    <w:p w14:paraId="0806762F" w14:textId="77777777" w:rsidR="00C45D89" w:rsidRDefault="00C4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7BB7" w14:textId="77777777" w:rsidR="009A1986" w:rsidRDefault="00D12394">
    <w:pPr>
      <w:pStyle w:val="Zkladntext"/>
      <w:spacing w:line="14" w:lineRule="auto"/>
    </w:pPr>
    <w:r>
      <w:pict w14:anchorId="455560D4">
        <v:line id="_x0000_s2050" style="position:absolute;z-index:-251832320;mso-position-horizontal-relative:page;mso-position-vertical-relative:page" from="57pt,780pt" to="534.75pt,780pt" strokecolor="#ed1c24" strokeweight=".48pt">
          <w10:wrap anchorx="page" anchory="page"/>
        </v:line>
      </w:pict>
    </w:r>
    <w:r>
      <w:pict w14:anchorId="7770906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787.3pt;width:297.4pt;height:38.65pt;z-index:-251831296;mso-position-horizontal-relative:page;mso-position-vertical-relative:page" filled="f" stroked="f">
          <v:textbox inset="0,0,0,0">
            <w:txbxContent>
              <w:p w14:paraId="34600AF8" w14:textId="77777777" w:rsidR="009A1986" w:rsidRDefault="00C45D89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Magistrát města Brna </w:t>
                </w:r>
                <w:r>
                  <w:rPr>
                    <w:color w:val="ED1C24"/>
                    <w:sz w:val="16"/>
                  </w:rPr>
                  <w:t xml:space="preserve">| </w:t>
                </w:r>
                <w:r>
                  <w:rPr>
                    <w:sz w:val="16"/>
                  </w:rPr>
                  <w:t>Odbor památkové péče</w:t>
                </w:r>
              </w:p>
              <w:p w14:paraId="6391A03D" w14:textId="77777777" w:rsidR="009A1986" w:rsidRDefault="00C45D89">
                <w:pPr>
                  <w:spacing w:before="9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Malinovského náměstí 3 </w:t>
                </w:r>
                <w:r>
                  <w:rPr>
                    <w:color w:val="ED1C24"/>
                    <w:sz w:val="16"/>
                  </w:rPr>
                  <w:t xml:space="preserve">| </w:t>
                </w:r>
                <w:r>
                  <w:rPr>
                    <w:sz w:val="16"/>
                  </w:rPr>
                  <w:t xml:space="preserve">601 67 Brno </w:t>
                </w:r>
                <w:r>
                  <w:rPr>
                    <w:color w:val="ED1C24"/>
                    <w:sz w:val="16"/>
                  </w:rPr>
                  <w:t xml:space="preserve">| </w:t>
                </w:r>
                <w:r>
                  <w:rPr>
                    <w:sz w:val="16"/>
                  </w:rPr>
                  <w:t xml:space="preserve">ID datové schránky: a7kbrrn </w:t>
                </w:r>
                <w:r>
                  <w:rPr>
                    <w:color w:val="ED1C24"/>
                    <w:sz w:val="16"/>
                  </w:rPr>
                  <w:t xml:space="preserve">| </w:t>
                </w:r>
                <w:hyperlink r:id="rId1">
                  <w:r>
                    <w:rPr>
                      <w:sz w:val="16"/>
                    </w:rPr>
                    <w:t>www.brno.cz</w:t>
                  </w:r>
                </w:hyperlink>
              </w:p>
              <w:p w14:paraId="64BD1D53" w14:textId="77777777" w:rsidR="009A1986" w:rsidRDefault="00C45D89">
                <w:pPr>
                  <w:spacing w:before="92"/>
                  <w:ind w:right="776"/>
                  <w:jc w:val="right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B9DB5" w14:textId="77777777" w:rsidR="00C45D89" w:rsidRDefault="00C45D89">
      <w:r>
        <w:separator/>
      </w:r>
    </w:p>
  </w:footnote>
  <w:footnote w:type="continuationSeparator" w:id="0">
    <w:p w14:paraId="5A6FEF83" w14:textId="77777777" w:rsidR="00C45D89" w:rsidRDefault="00C4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4347B"/>
    <w:multiLevelType w:val="hybridMultilevel"/>
    <w:tmpl w:val="0B924CF0"/>
    <w:lvl w:ilvl="0" w:tplc="FD38DE9E">
      <w:numFmt w:val="bullet"/>
      <w:lvlText w:val=""/>
      <w:lvlJc w:val="left"/>
      <w:pPr>
        <w:ind w:left="493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CC50B844">
      <w:numFmt w:val="bullet"/>
      <w:lvlText w:val="•"/>
      <w:lvlJc w:val="left"/>
      <w:pPr>
        <w:ind w:left="1440" w:hanging="361"/>
      </w:pPr>
      <w:rPr>
        <w:rFonts w:hint="default"/>
      </w:rPr>
    </w:lvl>
    <w:lvl w:ilvl="2" w:tplc="8E584970">
      <w:numFmt w:val="bullet"/>
      <w:lvlText w:val="•"/>
      <w:lvlJc w:val="left"/>
      <w:pPr>
        <w:ind w:left="2381" w:hanging="361"/>
      </w:pPr>
      <w:rPr>
        <w:rFonts w:hint="default"/>
      </w:rPr>
    </w:lvl>
    <w:lvl w:ilvl="3" w:tplc="DB2C9F7A">
      <w:numFmt w:val="bullet"/>
      <w:lvlText w:val="•"/>
      <w:lvlJc w:val="left"/>
      <w:pPr>
        <w:ind w:left="3321" w:hanging="361"/>
      </w:pPr>
      <w:rPr>
        <w:rFonts w:hint="default"/>
      </w:rPr>
    </w:lvl>
    <w:lvl w:ilvl="4" w:tplc="A04ADDD0">
      <w:numFmt w:val="bullet"/>
      <w:lvlText w:val="•"/>
      <w:lvlJc w:val="left"/>
      <w:pPr>
        <w:ind w:left="4262" w:hanging="361"/>
      </w:pPr>
      <w:rPr>
        <w:rFonts w:hint="default"/>
      </w:rPr>
    </w:lvl>
    <w:lvl w:ilvl="5" w:tplc="0F707D08">
      <w:numFmt w:val="bullet"/>
      <w:lvlText w:val="•"/>
      <w:lvlJc w:val="left"/>
      <w:pPr>
        <w:ind w:left="5203" w:hanging="361"/>
      </w:pPr>
      <w:rPr>
        <w:rFonts w:hint="default"/>
      </w:rPr>
    </w:lvl>
    <w:lvl w:ilvl="6" w:tplc="F81A972A">
      <w:numFmt w:val="bullet"/>
      <w:lvlText w:val="•"/>
      <w:lvlJc w:val="left"/>
      <w:pPr>
        <w:ind w:left="6143" w:hanging="361"/>
      </w:pPr>
      <w:rPr>
        <w:rFonts w:hint="default"/>
      </w:rPr>
    </w:lvl>
    <w:lvl w:ilvl="7" w:tplc="BF9A0A34">
      <w:numFmt w:val="bullet"/>
      <w:lvlText w:val="•"/>
      <w:lvlJc w:val="left"/>
      <w:pPr>
        <w:ind w:left="7084" w:hanging="361"/>
      </w:pPr>
      <w:rPr>
        <w:rFonts w:hint="default"/>
      </w:rPr>
    </w:lvl>
    <w:lvl w:ilvl="8" w:tplc="D896AFEA">
      <w:numFmt w:val="bullet"/>
      <w:lvlText w:val="•"/>
      <w:lvlJc w:val="left"/>
      <w:pPr>
        <w:ind w:left="8025" w:hanging="361"/>
      </w:pPr>
      <w:rPr>
        <w:rFonts w:hint="default"/>
      </w:rPr>
    </w:lvl>
  </w:abstractNum>
  <w:abstractNum w:abstractNumId="1" w15:restartNumberingAfterBreak="0">
    <w:nsid w:val="35873857"/>
    <w:multiLevelType w:val="hybridMultilevel"/>
    <w:tmpl w:val="28A6D628"/>
    <w:lvl w:ilvl="0" w:tplc="7CF4066C">
      <w:numFmt w:val="bullet"/>
      <w:lvlText w:val="-"/>
      <w:lvlJc w:val="left"/>
      <w:pPr>
        <w:ind w:left="493" w:hanging="361"/>
      </w:pPr>
      <w:rPr>
        <w:rFonts w:ascii="Arial" w:eastAsia="Arial" w:hAnsi="Arial" w:cs="Arial" w:hint="default"/>
        <w:w w:val="99"/>
        <w:sz w:val="20"/>
        <w:szCs w:val="20"/>
      </w:rPr>
    </w:lvl>
    <w:lvl w:ilvl="1" w:tplc="C94C0D2C">
      <w:numFmt w:val="bullet"/>
      <w:lvlText w:val="•"/>
      <w:lvlJc w:val="left"/>
      <w:pPr>
        <w:ind w:left="1440" w:hanging="361"/>
      </w:pPr>
      <w:rPr>
        <w:rFonts w:hint="default"/>
      </w:rPr>
    </w:lvl>
    <w:lvl w:ilvl="2" w:tplc="C4B4E758">
      <w:numFmt w:val="bullet"/>
      <w:lvlText w:val="•"/>
      <w:lvlJc w:val="left"/>
      <w:pPr>
        <w:ind w:left="2381" w:hanging="361"/>
      </w:pPr>
      <w:rPr>
        <w:rFonts w:hint="default"/>
      </w:rPr>
    </w:lvl>
    <w:lvl w:ilvl="3" w:tplc="AECAFEB4">
      <w:numFmt w:val="bullet"/>
      <w:lvlText w:val="•"/>
      <w:lvlJc w:val="left"/>
      <w:pPr>
        <w:ind w:left="3321" w:hanging="361"/>
      </w:pPr>
      <w:rPr>
        <w:rFonts w:hint="default"/>
      </w:rPr>
    </w:lvl>
    <w:lvl w:ilvl="4" w:tplc="C8D08FF8">
      <w:numFmt w:val="bullet"/>
      <w:lvlText w:val="•"/>
      <w:lvlJc w:val="left"/>
      <w:pPr>
        <w:ind w:left="4262" w:hanging="361"/>
      </w:pPr>
      <w:rPr>
        <w:rFonts w:hint="default"/>
      </w:rPr>
    </w:lvl>
    <w:lvl w:ilvl="5" w:tplc="B148B97C">
      <w:numFmt w:val="bullet"/>
      <w:lvlText w:val="•"/>
      <w:lvlJc w:val="left"/>
      <w:pPr>
        <w:ind w:left="5203" w:hanging="361"/>
      </w:pPr>
      <w:rPr>
        <w:rFonts w:hint="default"/>
      </w:rPr>
    </w:lvl>
    <w:lvl w:ilvl="6" w:tplc="57BAE4CE">
      <w:numFmt w:val="bullet"/>
      <w:lvlText w:val="•"/>
      <w:lvlJc w:val="left"/>
      <w:pPr>
        <w:ind w:left="6143" w:hanging="361"/>
      </w:pPr>
      <w:rPr>
        <w:rFonts w:hint="default"/>
      </w:rPr>
    </w:lvl>
    <w:lvl w:ilvl="7" w:tplc="2E90A538">
      <w:numFmt w:val="bullet"/>
      <w:lvlText w:val="•"/>
      <w:lvlJc w:val="left"/>
      <w:pPr>
        <w:ind w:left="7084" w:hanging="361"/>
      </w:pPr>
      <w:rPr>
        <w:rFonts w:hint="default"/>
      </w:rPr>
    </w:lvl>
    <w:lvl w:ilvl="8" w:tplc="F24034E0">
      <w:numFmt w:val="bullet"/>
      <w:lvlText w:val="•"/>
      <w:lvlJc w:val="left"/>
      <w:pPr>
        <w:ind w:left="8025" w:hanging="361"/>
      </w:pPr>
      <w:rPr>
        <w:rFonts w:hint="default"/>
      </w:rPr>
    </w:lvl>
  </w:abstractNum>
  <w:num w:numId="1" w16cid:durableId="1079401285">
    <w:abstractNumId w:val="1"/>
  </w:num>
  <w:num w:numId="2" w16cid:durableId="164411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986"/>
    <w:rsid w:val="00617807"/>
    <w:rsid w:val="00732E6B"/>
    <w:rsid w:val="009A1986"/>
    <w:rsid w:val="00C03A2F"/>
    <w:rsid w:val="00C45D89"/>
    <w:rsid w:val="00D1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A243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89"/>
      <w:ind w:left="905" w:right="90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32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493" w:hanging="362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123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2394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D123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239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no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1652</Words>
  <Characters>9748</Characters>
  <Application>Microsoft Office Word</Application>
  <DocSecurity>0</DocSecurity>
  <Lines>81</Lines>
  <Paragraphs>22</Paragraphs>
  <ScaleCrop>false</ScaleCrop>
  <Company/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2025-04-03T08:17:00Z</dcterms:created>
  <dcterms:modified xsi:type="dcterms:W3CDTF">2025-04-03T08:17:00Z</dcterms:modified>
</cp:coreProperties>
</file>