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85725</wp:posOffset>
            </wp:positionH>
            <wp:positionV relativeFrom="margin">
              <wp:posOffset>8525510</wp:posOffset>
            </wp:positionV>
            <wp:extent cx="1118870" cy="33845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18870" cy="3384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8083550</wp:posOffset>
            </wp:positionV>
            <wp:extent cx="5471160" cy="34163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47116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655320</wp:posOffset>
            </wp:positionH>
            <wp:positionV relativeFrom="margin">
              <wp:posOffset>7056120</wp:posOffset>
            </wp:positionV>
            <wp:extent cx="64135" cy="3683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4135" cy="36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192405</wp:posOffset>
            </wp:positionH>
            <wp:positionV relativeFrom="margin">
              <wp:posOffset>7056120</wp:posOffset>
            </wp:positionV>
            <wp:extent cx="60960" cy="3683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0960" cy="36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2204085</wp:posOffset>
            </wp:positionH>
            <wp:positionV relativeFrom="margin">
              <wp:posOffset>3728085</wp:posOffset>
            </wp:positionV>
            <wp:extent cx="60960" cy="3365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60960" cy="33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192405</wp:posOffset>
            </wp:positionH>
            <wp:positionV relativeFrom="margin">
              <wp:posOffset>3728085</wp:posOffset>
            </wp:positionV>
            <wp:extent cx="60960" cy="3365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0960" cy="33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192405</wp:posOffset>
            </wp:positionH>
            <wp:positionV relativeFrom="margin">
              <wp:posOffset>3291840</wp:posOffset>
            </wp:positionV>
            <wp:extent cx="60960" cy="3683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0960" cy="36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margin">
              <wp:posOffset>-152400</wp:posOffset>
            </wp:positionH>
            <wp:positionV relativeFrom="margin">
              <wp:posOffset>887095</wp:posOffset>
            </wp:positionV>
            <wp:extent cx="6236335" cy="145415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6236335" cy="1454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inline>
            <wp:extent cx="27305" cy="27305"/>
            <wp:docPr id="17" name="Picut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 SOD č. 328/2025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Výzva k výkonu potápěčských prací - Potápěčské práce na VD Doksany - rok 2025 (pravé jezové pole)</w:t>
      </w:r>
      <w:bookmarkEnd w:id="0"/>
      <w:bookmarkEnd w:id="1"/>
      <w:bookmarkEnd w:id="2"/>
    </w:p>
    <w:p>
      <w:pPr>
        <w:pStyle w:val="Style6"/>
        <w:keepNext w:val="0"/>
        <w:keepLines w:val="0"/>
        <w:widowControl w:val="0"/>
        <w:shd w:val="clear" w:color="auto" w:fill="auto"/>
        <w:tabs>
          <w:tab w:pos="8018" w:val="left"/>
        </w:tabs>
        <w:bidi w:val="0"/>
        <w:spacing w:before="0" w:after="0" w:line="276" w:lineRule="auto"/>
        <w:ind w:left="0" w:right="0" w:firstLine="180"/>
        <w:jc w:val="left"/>
      </w:pPr>
      <w:r>
        <w:rPr>
          <w:color w:val="8F8F8F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komu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06.02.2025 08:40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hd w:val="clear" w:color="auto" w:fill="auto"/>
          <w:lang w:val="cs-CZ" w:eastAsia="cs-CZ" w:bidi="cs-CZ"/>
        </w:rPr>
        <w:t>Na vědomí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8F8F8F"/>
          <w:spacing w:val="0"/>
          <w:w w:val="100"/>
          <w:position w:val="0"/>
          <w:shd w:val="clear" w:color="auto" w:fill="auto"/>
          <w:lang w:val="cs-CZ" w:eastAsia="cs-CZ" w:bidi="cs-CZ"/>
        </w:rPr>
        <w:t>Od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8F8F8F"/>
          <w:spacing w:val="0"/>
          <w:w w:val="100"/>
          <w:position w:val="0"/>
          <w:shd w:val="clear" w:color="auto" w:fill="auto"/>
          <w:lang w:val="cs-CZ" w:eastAsia="cs-CZ" w:bidi="cs-CZ"/>
        </w:rPr>
        <w:t>Komu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307" w:lineRule="auto"/>
        <w:ind w:left="0" w:right="0" w:firstLine="0"/>
        <w:jc w:val="left"/>
      </w:pPr>
      <w:r>
        <w:rPr>
          <w:color w:val="8F8F8F"/>
          <w:spacing w:val="0"/>
          <w:w w:val="100"/>
          <w:position w:val="0"/>
          <w:shd w:val="clear" w:color="auto" w:fill="auto"/>
          <w:lang w:val="cs-CZ" w:eastAsia="cs-CZ" w:bidi="cs-CZ"/>
        </w:rPr>
        <w:t>Na vědomí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Vážení obchodní partneři,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uzavřené "Rámcové dohody" č. 1296/2024, vás vyzýváme k výkonu potápěčských prací.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Údaje o požadovaném plnění: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</w:tabs>
        <w:bidi w:val="0"/>
        <w:spacing w:before="0" w:after="420" w:line="276" w:lineRule="auto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plnění: VD Doksany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</w:tabs>
        <w:bidi w:val="0"/>
        <w:spacing w:before="0" w:line="240" w:lineRule="auto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obsahu předmětu plněn í díla 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potápěčské práce realizované na VD Doksany v roce 2025 v souvislosti s plánovanou údržbou a provozní prohlídkou pravé jezové klapky.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Konkrétně se jedná o provedení následujících prací: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Příprava pracoviště pro instalaci horního provizorního hrazení pravého jezového pole (odstranění naplaveného materiálu z prostoru jezového prahu a jeho bezprostředního okolí, vyčištění vodorovné drážky pro osazení hradel a očištění svislých drážek na pilířích od nečistot a koroze).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horního provizorního hrazení pravého jezového pole.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line="240" w:lineRule="auto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Kontrola stavebních a strojně - technologických částí vodního díla.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Kontrola bude zaměřena zejména na stav stavebních konstrukcí VD - jezového prahu, jezových pilířů, přívodního a odpadního kanálu MVE, konstrukce rybího přechodu a dále technologických prvků vodního díla, např. uložení a stavu jezových klapek, stavu těsnění jezových klapek, stavu hrubých česlí na vtoku do MVE, stavu hradících profilů provozních uzávěrů a provizorního hrazení. Součástí kontroly je též prohlídka stavu koryta v nadjezí VD z hlediska objemu sedimentu v jezové zdrži.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průběhu potápěčských prací bude pořízena fotodokumentace.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Nálezová zpráva a dokumentace skutečného provedení bude vypracována a předána TDS ve 3 vyhotoveních a 1x elektronicky nejpozději 10 dnů od ukončení prováděných prací a kontrol.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</w:tabs>
        <w:bidi w:val="0"/>
        <w:spacing w:before="0" w:after="420" w:line="240" w:lineRule="auto"/>
        <w:ind w:left="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Termín: 5.5. - 6.5.2025, zahájeni v 9:00 hodin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Oceněné položky nad rámec dohody uvedené v "Ceníku potápěčských prací" uveďte zvlášť pod čarou.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Ceník potápěčských prací .xlsxPříloha č. 2 Návrh Prováděcí smlouvy_301802 VD Doksany.docx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Řez VD Doksany.pdf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 přáním hezkého dne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7305" cy="27305"/>
            <wp:docPr id="18" name="Picut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33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6298" w:val="left"/>
        </w:tabs>
        <w:bidi w:val="0"/>
        <w:spacing w:before="0" w:after="160" w:line="240" w:lineRule="auto"/>
        <w:ind w:left="140" w:right="0" w:firstLine="202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technický dozor staveb </w:t>
        <w:tab/>
        <w:t xml:space="preserve"> Povodí Ohře, státní podnik Pražská 319, 411 55 Terezín tel. : mobil: e-mail : </w:t>
      </w:r>
      <w:r>
        <w:rPr>
          <w:color w:val="0000FF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http: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6298" w:val="left"/>
        </w:tabs>
        <w:bidi w:val="0"/>
        <w:spacing w:before="0" w:line="240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Tato zprávamá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_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pouze informativní charakter a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_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není myšlena jako závazný návrh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 xml:space="preserve">_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uzavření smlouvy, podání nabídky či přijetí nabídky. Slouží pouze jako podklad pro případné následné právní jednání stran. Jakékoli právní jednání Povodí Ohře, státního podniku uvedené v předchozí větě musí být učiněno výhradně v písemné formě včetně podpisu oprávněné osoby.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Zvažte prosím tisk této zprávy.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140"/>
        <w:jc w:val="lef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margin">
              <wp:posOffset>85725</wp:posOffset>
            </wp:positionH>
            <wp:positionV relativeFrom="margin">
              <wp:posOffset>2893060</wp:posOffset>
            </wp:positionV>
            <wp:extent cx="167640" cy="16446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167640" cy="1644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Kontrolováno antivirovým systémem SOPHOS.</w:t>
      </w:r>
    </w:p>
    <w:sectPr>
      <w:footnotePr>
        <w:pos w:val="pageBottom"/>
        <w:numFmt w:val="decimal"/>
        <w:numRestart w:val="continuous"/>
      </w:footnotePr>
      <w:pgSz w:w="11909" w:h="16834"/>
      <w:pgMar w:top="7" w:left="1283" w:right="1149" w:bottom="1756" w:header="0" w:footer="132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18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80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40"/>
      <w:ind w:left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png"/><Relationship Id="rId22" Type="http://schemas.openxmlformats.org/officeDocument/2006/relationships/image" Target="media/image9.png" TargetMode="External"/><Relationship Id="rId23" Type="http://schemas.openxmlformats.org/officeDocument/2006/relationships/image" Target="media/image10.png"/><Relationship Id="rId24" Type="http://schemas.openxmlformats.org/officeDocument/2006/relationships/image" Target="media/image10.pn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