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3FECC" w14:textId="77777777" w:rsidR="00C35E37" w:rsidRDefault="00C35E37" w:rsidP="00C35E37">
      <w:pPr>
        <w:suppressAutoHyphens/>
        <w:spacing w:line="240" w:lineRule="auto"/>
        <w:jc w:val="right"/>
      </w:pPr>
      <w:r>
        <w:t>Příloha č. 1</w:t>
      </w:r>
    </w:p>
    <w:p w14:paraId="43629B3F" w14:textId="77777777" w:rsidR="00C35E37" w:rsidRDefault="00C35E37" w:rsidP="00C35E37">
      <w:pPr>
        <w:suppressAutoHyphens/>
        <w:spacing w:line="240" w:lineRule="auto"/>
        <w:jc w:val="right"/>
      </w:pPr>
    </w:p>
    <w:p w14:paraId="38EA9023" w14:textId="77777777" w:rsidR="00C35E37" w:rsidRPr="005D128C" w:rsidRDefault="00C35E37" w:rsidP="00C35E37">
      <w:pPr>
        <w:suppressAutoHyphens/>
        <w:spacing w:line="240" w:lineRule="auto"/>
        <w:jc w:val="center"/>
        <w:rPr>
          <w:b/>
          <w:bCs/>
          <w:sz w:val="24"/>
          <w:szCs w:val="24"/>
        </w:rPr>
      </w:pPr>
      <w:r w:rsidRPr="005D128C">
        <w:rPr>
          <w:b/>
          <w:bCs/>
          <w:sz w:val="24"/>
          <w:szCs w:val="24"/>
        </w:rPr>
        <w:t>Bližší specifikace předmětu plnění smlouvy</w:t>
      </w:r>
    </w:p>
    <w:p w14:paraId="19A856CC" w14:textId="77777777" w:rsidR="00C35E37" w:rsidRPr="005D128C" w:rsidRDefault="00C35E37" w:rsidP="00C35E37">
      <w:pPr>
        <w:suppressAutoHyphens/>
        <w:spacing w:line="240" w:lineRule="auto"/>
        <w:jc w:val="center"/>
        <w:rPr>
          <w:b/>
          <w:bCs/>
          <w:sz w:val="24"/>
          <w:szCs w:val="24"/>
        </w:rPr>
      </w:pPr>
    </w:p>
    <w:p w14:paraId="6A169FE8" w14:textId="77777777" w:rsidR="00C35E37" w:rsidRDefault="00C35E37" w:rsidP="00C35E37">
      <w:pPr>
        <w:suppressAutoHyphens/>
        <w:spacing w:line="240" w:lineRule="auto"/>
        <w:ind w:left="2330" w:hanging="2330"/>
      </w:pPr>
      <w:r w:rsidRPr="005D128C">
        <w:t>Název veřejné zakázky:</w:t>
      </w:r>
      <w:r>
        <w:tab/>
        <w:t xml:space="preserve"> „</w:t>
      </w:r>
      <w:r w:rsidRPr="00C81D6D">
        <w:t>OPST – Konektivita, HW, SW, vybavení středních škol v Ústeckém kraji – SPŠ ÚL, Resslova 5 - zpracování žádosti, studie proveditelnosti, management projektu</w:t>
      </w:r>
      <w:r>
        <w:t>“</w:t>
      </w:r>
    </w:p>
    <w:p w14:paraId="01017248" w14:textId="77777777" w:rsidR="00C35E37" w:rsidRDefault="00C35E37" w:rsidP="00C35E37">
      <w:pPr>
        <w:suppressAutoHyphens/>
        <w:spacing w:line="240" w:lineRule="auto"/>
        <w:ind w:left="2330" w:hanging="2330"/>
      </w:pPr>
    </w:p>
    <w:p w14:paraId="2F89F652" w14:textId="77777777" w:rsidR="00C35E37" w:rsidRDefault="00C35E37" w:rsidP="00C35E37">
      <w:pPr>
        <w:suppressAutoHyphens/>
        <w:spacing w:line="240" w:lineRule="auto"/>
        <w:ind w:left="2330" w:hanging="2330"/>
      </w:pPr>
      <w:r>
        <w:t xml:space="preserve">Číslo veřejné zakázky: </w:t>
      </w:r>
      <w:r>
        <w:tab/>
      </w:r>
      <w:r w:rsidRPr="002B554D">
        <w:t>KUUK/025925/2025/INV/VZ-RR/0013</w:t>
      </w:r>
    </w:p>
    <w:p w14:paraId="5ABB6A2D" w14:textId="77777777" w:rsidR="00C35E37" w:rsidRDefault="00C35E37" w:rsidP="00C35E37">
      <w:pPr>
        <w:suppressAutoHyphens/>
        <w:spacing w:line="240" w:lineRule="auto"/>
        <w:ind w:left="2330" w:hanging="2330"/>
      </w:pPr>
    </w:p>
    <w:p w14:paraId="054EF8DE" w14:textId="4C9380F3" w:rsidR="005F3649" w:rsidRPr="003B2910" w:rsidRDefault="00C35E37" w:rsidP="003C1A90">
      <w:pPr>
        <w:suppressAutoHyphens/>
        <w:spacing w:line="240" w:lineRule="auto"/>
        <w:ind w:left="2330" w:hanging="2330"/>
        <w:rPr>
          <w:color w:val="auto"/>
        </w:rPr>
      </w:pPr>
      <w:r>
        <w:t>Číslo Smlouvy:</w:t>
      </w:r>
      <w:r>
        <w:tab/>
      </w:r>
      <w:r w:rsidRPr="00A923F9">
        <w:rPr>
          <w:color w:val="FF0000"/>
        </w:rPr>
        <w:tab/>
      </w:r>
      <w:r w:rsidRPr="003B2910">
        <w:rPr>
          <w:color w:val="auto"/>
        </w:rPr>
        <w:t>25/SML0687/SoD/RR</w:t>
      </w:r>
    </w:p>
    <w:p w14:paraId="0B81F5B2" w14:textId="77777777" w:rsidR="00C35E37" w:rsidRDefault="00C35E37" w:rsidP="00C35E37">
      <w:pPr>
        <w:suppressAutoHyphens/>
        <w:spacing w:line="240" w:lineRule="auto"/>
        <w:ind w:left="2330" w:hanging="2330"/>
        <w:rPr>
          <w:color w:val="FF0000"/>
        </w:rPr>
      </w:pPr>
    </w:p>
    <w:p w14:paraId="13BB6A6F" w14:textId="77777777" w:rsidR="00C35E37" w:rsidRDefault="00C35E37" w:rsidP="00C35E37">
      <w:pPr>
        <w:suppressAutoHyphens/>
        <w:spacing w:line="240" w:lineRule="auto"/>
        <w:ind w:left="2330" w:hanging="2330"/>
        <w:rPr>
          <w:color w:val="auto"/>
        </w:rPr>
      </w:pPr>
      <w:r w:rsidRPr="00A923F9">
        <w:rPr>
          <w:color w:val="auto"/>
        </w:rPr>
        <w:t xml:space="preserve">Název projektu: </w:t>
      </w:r>
      <w:r>
        <w:rPr>
          <w:color w:val="auto"/>
        </w:rPr>
        <w:tab/>
      </w:r>
      <w:r w:rsidRPr="00A923F9">
        <w:rPr>
          <w:color w:val="auto"/>
        </w:rPr>
        <w:t>„OPST – Konektivita, HW, SW, vybavení středních škol v Ústeckém kraji – SPŠ ÚL, Resslova 5</w:t>
      </w:r>
      <w:r>
        <w:rPr>
          <w:color w:val="auto"/>
        </w:rPr>
        <w:t>“</w:t>
      </w:r>
    </w:p>
    <w:p w14:paraId="17EEE3B7" w14:textId="77777777" w:rsidR="00C35E37" w:rsidRDefault="00C35E37" w:rsidP="00C35E37">
      <w:pPr>
        <w:suppressAutoHyphens/>
        <w:spacing w:line="240" w:lineRule="auto"/>
        <w:ind w:left="2330" w:hanging="2330"/>
        <w:rPr>
          <w:color w:val="auto"/>
        </w:rPr>
      </w:pPr>
    </w:p>
    <w:p w14:paraId="42A2B095" w14:textId="77777777" w:rsidR="00C35E37" w:rsidRDefault="00C35E37" w:rsidP="00C35E37">
      <w:pPr>
        <w:suppressAutoHyphens/>
        <w:spacing w:line="240" w:lineRule="auto"/>
        <w:ind w:left="2330" w:hanging="2330"/>
        <w:rPr>
          <w:color w:val="auto"/>
        </w:rPr>
      </w:pPr>
      <w:r>
        <w:rPr>
          <w:color w:val="auto"/>
        </w:rPr>
        <w:t xml:space="preserve">Operační program: </w:t>
      </w:r>
      <w:r>
        <w:rPr>
          <w:color w:val="auto"/>
        </w:rPr>
        <w:tab/>
        <w:t>Operační program Spravedlivá transformace 2021–2027</w:t>
      </w:r>
    </w:p>
    <w:p w14:paraId="765D1A71" w14:textId="77777777" w:rsidR="00C35E37" w:rsidRDefault="00C35E37" w:rsidP="00C35E37">
      <w:pPr>
        <w:suppressAutoHyphens/>
        <w:spacing w:line="240" w:lineRule="auto"/>
        <w:ind w:left="2330" w:hanging="2330"/>
        <w:rPr>
          <w:color w:val="auto"/>
        </w:rPr>
      </w:pPr>
    </w:p>
    <w:p w14:paraId="6CCC6AD7" w14:textId="77777777" w:rsidR="00C35E37" w:rsidRPr="00A923F9" w:rsidRDefault="00C35E37" w:rsidP="00C35E37">
      <w:pPr>
        <w:suppressAutoHyphens/>
        <w:spacing w:line="240" w:lineRule="auto"/>
        <w:ind w:left="2330" w:hanging="2330"/>
        <w:rPr>
          <w:color w:val="auto"/>
        </w:rPr>
      </w:pPr>
      <w:r>
        <w:rPr>
          <w:color w:val="auto"/>
        </w:rPr>
        <w:t>Výzva:</w:t>
      </w:r>
      <w:r>
        <w:rPr>
          <w:color w:val="auto"/>
        </w:rPr>
        <w:tab/>
      </w:r>
      <w:r>
        <w:rPr>
          <w:color w:val="auto"/>
        </w:rPr>
        <w:tab/>
      </w:r>
      <w:r w:rsidRPr="008926F4">
        <w:rPr>
          <w:color w:val="auto"/>
        </w:rPr>
        <w:t>77. výzva – Konektivita škol II. – Ústecký kraj</w:t>
      </w:r>
    </w:p>
    <w:p w14:paraId="792BBBCE" w14:textId="77777777" w:rsidR="00C35E37" w:rsidRDefault="00C35E37" w:rsidP="00C35E37">
      <w:pPr>
        <w:suppressAutoHyphens/>
        <w:spacing w:line="240" w:lineRule="auto"/>
        <w:jc w:val="right"/>
      </w:pPr>
      <w:r>
        <w:tab/>
      </w:r>
    </w:p>
    <w:p w14:paraId="1DD0B7DD" w14:textId="77777777" w:rsidR="00C35E37" w:rsidRDefault="00C35E37" w:rsidP="00C35E37">
      <w:pPr>
        <w:suppressAutoHyphens/>
        <w:spacing w:line="240" w:lineRule="auto"/>
        <w:jc w:val="left"/>
      </w:pPr>
    </w:p>
    <w:p w14:paraId="6B2A4DA8" w14:textId="77777777" w:rsidR="00C35E37" w:rsidRDefault="00C35E37" w:rsidP="00C35E37">
      <w:pPr>
        <w:suppressAutoHyphens/>
        <w:spacing w:line="240" w:lineRule="auto"/>
        <w:jc w:val="left"/>
      </w:pPr>
      <w:r>
        <w:t xml:space="preserve">Přesná specifikace díla: </w:t>
      </w:r>
    </w:p>
    <w:p w14:paraId="50F224F6" w14:textId="77777777" w:rsidR="00C35E37" w:rsidRDefault="00C35E37" w:rsidP="00C35E37">
      <w:pPr>
        <w:suppressAutoHyphens/>
        <w:spacing w:line="240" w:lineRule="auto"/>
        <w:jc w:val="left"/>
      </w:pPr>
    </w:p>
    <w:p w14:paraId="7480BFD0" w14:textId="77777777" w:rsidR="00C35E37" w:rsidRDefault="00C35E37" w:rsidP="00C35E37">
      <w:pPr>
        <w:suppressAutoHyphens/>
        <w:spacing w:line="240" w:lineRule="auto"/>
        <w:ind w:left="720" w:hanging="720"/>
        <w:rPr>
          <w:color w:val="auto"/>
        </w:rPr>
      </w:pPr>
      <w:r>
        <w:t>-</w:t>
      </w:r>
      <w:r>
        <w:tab/>
      </w:r>
      <w:r w:rsidRPr="00244586">
        <w:rPr>
          <w:color w:val="auto"/>
        </w:rPr>
        <w:t>zpracování žádosti o podporu vč. povinných příloh dle metodiky a pravidel příslušného dotačního programu, resp. odpovídající výzvy;</w:t>
      </w:r>
    </w:p>
    <w:p w14:paraId="73FED1D3" w14:textId="77777777" w:rsidR="00C92E28" w:rsidRPr="00244586" w:rsidRDefault="00C92E28" w:rsidP="00C35E37">
      <w:pPr>
        <w:suppressAutoHyphens/>
        <w:spacing w:line="240" w:lineRule="auto"/>
        <w:ind w:left="720" w:hanging="720"/>
        <w:rPr>
          <w:color w:val="auto"/>
        </w:rPr>
      </w:pPr>
    </w:p>
    <w:p w14:paraId="0A4B9596" w14:textId="77777777" w:rsidR="00C35E37" w:rsidRDefault="00C35E37" w:rsidP="00C35E37">
      <w:pPr>
        <w:tabs>
          <w:tab w:val="clear" w:pos="1134"/>
          <w:tab w:val="left" w:pos="709"/>
        </w:tabs>
        <w:suppressAutoHyphens/>
        <w:spacing w:line="240" w:lineRule="auto"/>
        <w:ind w:left="709" w:hanging="709"/>
        <w:rPr>
          <w:color w:val="auto"/>
        </w:rPr>
      </w:pPr>
      <w:r w:rsidRPr="00244586">
        <w:rPr>
          <w:color w:val="auto"/>
        </w:rPr>
        <w:t>-</w:t>
      </w:r>
      <w:r w:rsidRPr="00244586">
        <w:rPr>
          <w:color w:val="auto"/>
        </w:rPr>
        <w:tab/>
        <w:t>v případě, že je požadována studie proveditelnost, vypracování v závazné osnově dle metodiky a pravidel příslušného programu, resp. výzvy;</w:t>
      </w:r>
    </w:p>
    <w:p w14:paraId="389E4BB1" w14:textId="77777777" w:rsidR="00C92E28" w:rsidRPr="00244586" w:rsidRDefault="00C92E28" w:rsidP="00C35E37">
      <w:pPr>
        <w:tabs>
          <w:tab w:val="clear" w:pos="1134"/>
          <w:tab w:val="left" w:pos="709"/>
        </w:tabs>
        <w:suppressAutoHyphens/>
        <w:spacing w:line="240" w:lineRule="auto"/>
        <w:ind w:left="709" w:hanging="709"/>
        <w:rPr>
          <w:color w:val="auto"/>
        </w:rPr>
      </w:pPr>
    </w:p>
    <w:p w14:paraId="10B65B42" w14:textId="77777777" w:rsidR="00C35E37" w:rsidRDefault="00C35E37" w:rsidP="00C35E37">
      <w:pPr>
        <w:tabs>
          <w:tab w:val="clear" w:pos="1134"/>
          <w:tab w:val="left" w:pos="709"/>
        </w:tabs>
        <w:suppressAutoHyphens/>
        <w:spacing w:line="240" w:lineRule="auto"/>
        <w:rPr>
          <w:color w:val="auto"/>
        </w:rPr>
      </w:pPr>
      <w:r w:rsidRPr="00244586">
        <w:rPr>
          <w:color w:val="auto"/>
        </w:rPr>
        <w:t>-</w:t>
      </w:r>
      <w:r w:rsidRPr="00244586">
        <w:rPr>
          <w:color w:val="auto"/>
        </w:rPr>
        <w:tab/>
        <w:t>poradenství při získávání povinných příloh žádosti;</w:t>
      </w:r>
    </w:p>
    <w:p w14:paraId="6BBAEEC5" w14:textId="77777777" w:rsidR="00C92E28" w:rsidRPr="00244586" w:rsidRDefault="00C92E28" w:rsidP="00C35E37">
      <w:pPr>
        <w:tabs>
          <w:tab w:val="clear" w:pos="1134"/>
          <w:tab w:val="left" w:pos="709"/>
        </w:tabs>
        <w:suppressAutoHyphens/>
        <w:spacing w:line="240" w:lineRule="auto"/>
        <w:rPr>
          <w:color w:val="auto"/>
        </w:rPr>
      </w:pPr>
    </w:p>
    <w:p w14:paraId="3ED7BC8E" w14:textId="77777777" w:rsidR="00C35E37" w:rsidRDefault="00C35E37" w:rsidP="00C35E37">
      <w:pPr>
        <w:tabs>
          <w:tab w:val="clear" w:pos="1134"/>
          <w:tab w:val="left" w:pos="709"/>
        </w:tabs>
        <w:suppressAutoHyphens/>
        <w:spacing w:line="240" w:lineRule="auto"/>
        <w:rPr>
          <w:color w:val="auto"/>
        </w:rPr>
      </w:pPr>
      <w:r w:rsidRPr="00244586">
        <w:rPr>
          <w:color w:val="auto"/>
        </w:rPr>
        <w:t>-</w:t>
      </w:r>
      <w:r w:rsidRPr="00244586">
        <w:rPr>
          <w:color w:val="auto"/>
        </w:rPr>
        <w:tab/>
        <w:t>poskytnutí součinnosti v průběhu schvalovacího procesu až do vydání právního aktu;</w:t>
      </w:r>
    </w:p>
    <w:p w14:paraId="71B6133E" w14:textId="77777777" w:rsidR="00C92E28" w:rsidRPr="00244586" w:rsidRDefault="00C92E28" w:rsidP="00C35E37">
      <w:pPr>
        <w:tabs>
          <w:tab w:val="clear" w:pos="1134"/>
          <w:tab w:val="left" w:pos="709"/>
        </w:tabs>
        <w:suppressAutoHyphens/>
        <w:spacing w:line="240" w:lineRule="auto"/>
        <w:rPr>
          <w:color w:val="auto"/>
        </w:rPr>
      </w:pPr>
    </w:p>
    <w:p w14:paraId="75697BA9" w14:textId="77777777" w:rsidR="00C35E37" w:rsidRDefault="00C35E37" w:rsidP="00C35E37">
      <w:pPr>
        <w:tabs>
          <w:tab w:val="clear" w:pos="1134"/>
          <w:tab w:val="left" w:pos="709"/>
        </w:tabs>
        <w:suppressAutoHyphens/>
        <w:spacing w:line="240" w:lineRule="auto"/>
        <w:ind w:left="709" w:hanging="709"/>
        <w:rPr>
          <w:color w:val="auto"/>
        </w:rPr>
      </w:pPr>
      <w:r w:rsidRPr="00244586">
        <w:rPr>
          <w:color w:val="auto"/>
        </w:rPr>
        <w:t>-</w:t>
      </w:r>
      <w:r w:rsidRPr="00244586">
        <w:rPr>
          <w:color w:val="auto"/>
        </w:rPr>
        <w:tab/>
        <w:t>zpracování odpovědí na výzvy k doplnění žádosti podporu zaslané řídícím orgánem či zprostředkujícím subjektem;</w:t>
      </w:r>
    </w:p>
    <w:p w14:paraId="21BB0402" w14:textId="77777777" w:rsidR="00C92E28" w:rsidRPr="00244586" w:rsidRDefault="00C92E28" w:rsidP="00C35E37">
      <w:pPr>
        <w:tabs>
          <w:tab w:val="clear" w:pos="1134"/>
          <w:tab w:val="left" w:pos="709"/>
        </w:tabs>
        <w:suppressAutoHyphens/>
        <w:spacing w:line="240" w:lineRule="auto"/>
        <w:ind w:left="709" w:hanging="709"/>
        <w:rPr>
          <w:color w:val="auto"/>
        </w:rPr>
      </w:pPr>
    </w:p>
    <w:p w14:paraId="6AB9E7B2" w14:textId="77777777" w:rsidR="00C35E37" w:rsidRDefault="00C35E37" w:rsidP="00C35E37">
      <w:pPr>
        <w:tabs>
          <w:tab w:val="clear" w:pos="1134"/>
          <w:tab w:val="left" w:pos="709"/>
        </w:tabs>
        <w:suppressAutoHyphens/>
        <w:spacing w:line="240" w:lineRule="auto"/>
        <w:rPr>
          <w:color w:val="auto"/>
        </w:rPr>
      </w:pPr>
      <w:r w:rsidRPr="00244586">
        <w:rPr>
          <w:color w:val="auto"/>
        </w:rPr>
        <w:t>-</w:t>
      </w:r>
      <w:r w:rsidRPr="00244586">
        <w:rPr>
          <w:color w:val="auto"/>
        </w:rPr>
        <w:tab/>
        <w:t>vložení dokumentace do systému MS 2021+;</w:t>
      </w:r>
    </w:p>
    <w:p w14:paraId="6BC20512" w14:textId="77777777" w:rsidR="00C92E28" w:rsidRPr="00244586" w:rsidRDefault="00C92E28" w:rsidP="00C35E37">
      <w:pPr>
        <w:tabs>
          <w:tab w:val="clear" w:pos="1134"/>
          <w:tab w:val="left" w:pos="709"/>
        </w:tabs>
        <w:suppressAutoHyphens/>
        <w:spacing w:line="240" w:lineRule="auto"/>
        <w:rPr>
          <w:color w:val="auto"/>
        </w:rPr>
      </w:pPr>
    </w:p>
    <w:p w14:paraId="78FA87AE" w14:textId="77777777" w:rsidR="00C35E37" w:rsidRDefault="00C35E37" w:rsidP="00C35E37">
      <w:pPr>
        <w:tabs>
          <w:tab w:val="clear" w:pos="1134"/>
          <w:tab w:val="left" w:pos="709"/>
        </w:tabs>
        <w:suppressAutoHyphens/>
        <w:spacing w:line="240" w:lineRule="auto"/>
        <w:rPr>
          <w:color w:val="auto"/>
        </w:rPr>
      </w:pPr>
      <w:r w:rsidRPr="00244586">
        <w:rPr>
          <w:color w:val="auto"/>
        </w:rPr>
        <w:t>-</w:t>
      </w:r>
      <w:r w:rsidRPr="00244586">
        <w:rPr>
          <w:color w:val="auto"/>
        </w:rPr>
        <w:tab/>
        <w:t>kontrola termínů plnění dle harmonogramu a případná koordinace schůzek;</w:t>
      </w:r>
    </w:p>
    <w:p w14:paraId="55DD3DF6" w14:textId="77777777" w:rsidR="00C92E28" w:rsidRPr="00244586" w:rsidRDefault="00C92E28" w:rsidP="00C35E37">
      <w:pPr>
        <w:tabs>
          <w:tab w:val="clear" w:pos="1134"/>
          <w:tab w:val="left" w:pos="709"/>
        </w:tabs>
        <w:suppressAutoHyphens/>
        <w:spacing w:line="240" w:lineRule="auto"/>
        <w:rPr>
          <w:color w:val="auto"/>
        </w:rPr>
      </w:pPr>
    </w:p>
    <w:p w14:paraId="3E340D41" w14:textId="77777777" w:rsidR="00C35E37" w:rsidRDefault="00C35E37" w:rsidP="00C35E37">
      <w:pPr>
        <w:tabs>
          <w:tab w:val="clear" w:pos="1134"/>
          <w:tab w:val="left" w:pos="709"/>
        </w:tabs>
        <w:suppressAutoHyphens/>
        <w:spacing w:line="240" w:lineRule="auto"/>
        <w:ind w:left="709" w:hanging="709"/>
        <w:rPr>
          <w:color w:val="auto"/>
        </w:rPr>
      </w:pPr>
      <w:r w:rsidRPr="00244586">
        <w:rPr>
          <w:color w:val="auto"/>
        </w:rPr>
        <w:t>-</w:t>
      </w:r>
      <w:r w:rsidRPr="00244586">
        <w:rPr>
          <w:color w:val="auto"/>
        </w:rPr>
        <w:tab/>
        <w:t>dohled nad dodržováním podmínek poskytnutí dotace při realizaci projektu, vč. zadávání veřejných zakázek;</w:t>
      </w:r>
    </w:p>
    <w:p w14:paraId="246D5C00" w14:textId="77777777" w:rsidR="00C92E28" w:rsidRPr="00244586" w:rsidRDefault="00C92E28" w:rsidP="00C35E37">
      <w:pPr>
        <w:tabs>
          <w:tab w:val="clear" w:pos="1134"/>
          <w:tab w:val="left" w:pos="709"/>
        </w:tabs>
        <w:suppressAutoHyphens/>
        <w:spacing w:line="240" w:lineRule="auto"/>
        <w:ind w:left="709" w:hanging="709"/>
        <w:rPr>
          <w:color w:val="auto"/>
        </w:rPr>
      </w:pPr>
    </w:p>
    <w:p w14:paraId="6DED57F1" w14:textId="77777777" w:rsidR="00C35E37" w:rsidRDefault="00C35E37" w:rsidP="00C35E37">
      <w:pPr>
        <w:tabs>
          <w:tab w:val="clear" w:pos="1134"/>
          <w:tab w:val="left" w:pos="709"/>
        </w:tabs>
        <w:suppressAutoHyphens/>
        <w:spacing w:line="240" w:lineRule="auto"/>
        <w:rPr>
          <w:color w:val="auto"/>
        </w:rPr>
      </w:pPr>
      <w:r w:rsidRPr="00244586">
        <w:rPr>
          <w:color w:val="auto"/>
        </w:rPr>
        <w:t>-</w:t>
      </w:r>
      <w:r w:rsidRPr="00244586">
        <w:rPr>
          <w:color w:val="auto"/>
        </w:rPr>
        <w:tab/>
        <w:t>komplexní zpracování a předložení Zpráv/y o realizaci projektu vč. příloh;</w:t>
      </w:r>
    </w:p>
    <w:p w14:paraId="4FDA51AB" w14:textId="77777777" w:rsidR="00C92E28" w:rsidRPr="00244586" w:rsidRDefault="00C92E28" w:rsidP="00C35E37">
      <w:pPr>
        <w:tabs>
          <w:tab w:val="clear" w:pos="1134"/>
          <w:tab w:val="left" w:pos="709"/>
        </w:tabs>
        <w:suppressAutoHyphens/>
        <w:spacing w:line="240" w:lineRule="auto"/>
        <w:rPr>
          <w:color w:val="auto"/>
        </w:rPr>
      </w:pPr>
    </w:p>
    <w:p w14:paraId="4553B6E1" w14:textId="77777777" w:rsidR="00C35E37" w:rsidRDefault="00C35E37" w:rsidP="00C35E37">
      <w:pPr>
        <w:tabs>
          <w:tab w:val="clear" w:pos="1134"/>
          <w:tab w:val="left" w:pos="709"/>
        </w:tabs>
        <w:suppressAutoHyphens/>
        <w:spacing w:line="240" w:lineRule="auto"/>
        <w:rPr>
          <w:color w:val="auto"/>
        </w:rPr>
      </w:pPr>
      <w:r w:rsidRPr="00244586">
        <w:rPr>
          <w:color w:val="auto"/>
        </w:rPr>
        <w:t>-</w:t>
      </w:r>
      <w:r w:rsidRPr="00244586">
        <w:rPr>
          <w:color w:val="auto"/>
        </w:rPr>
        <w:tab/>
        <w:t>komplexní zpracování a předložení Žádosti/í o platbu vč. příloh;</w:t>
      </w:r>
    </w:p>
    <w:p w14:paraId="7D5B1CE8" w14:textId="77777777" w:rsidR="00C92E28" w:rsidRPr="00244586" w:rsidRDefault="00C92E28" w:rsidP="00C35E37">
      <w:pPr>
        <w:tabs>
          <w:tab w:val="clear" w:pos="1134"/>
          <w:tab w:val="left" w:pos="709"/>
        </w:tabs>
        <w:suppressAutoHyphens/>
        <w:spacing w:line="240" w:lineRule="auto"/>
        <w:rPr>
          <w:color w:val="auto"/>
        </w:rPr>
      </w:pPr>
    </w:p>
    <w:p w14:paraId="379BB92B" w14:textId="77777777" w:rsidR="00C35E37" w:rsidRDefault="00C35E37" w:rsidP="00C35E37">
      <w:pPr>
        <w:tabs>
          <w:tab w:val="clear" w:pos="1134"/>
          <w:tab w:val="left" w:pos="709"/>
        </w:tabs>
        <w:suppressAutoHyphens/>
        <w:spacing w:line="240" w:lineRule="auto"/>
        <w:rPr>
          <w:color w:val="auto"/>
        </w:rPr>
      </w:pPr>
      <w:r w:rsidRPr="00244586">
        <w:rPr>
          <w:color w:val="auto"/>
        </w:rPr>
        <w:t>-</w:t>
      </w:r>
      <w:r w:rsidRPr="00244586">
        <w:rPr>
          <w:color w:val="auto"/>
        </w:rPr>
        <w:tab/>
        <w:t>oznamování změn v realizaci a kompletace dokumentace pro uzavření dodatku k</w:t>
      </w:r>
      <w:r w:rsidRPr="00244586">
        <w:rPr>
          <w:color w:val="auto"/>
        </w:rPr>
        <w:tab/>
        <w:t>Rozhodnutí o poskytnutí dotace;</w:t>
      </w:r>
    </w:p>
    <w:p w14:paraId="26173EC2" w14:textId="77777777" w:rsidR="00C92E28" w:rsidRPr="00244586" w:rsidRDefault="00C92E28" w:rsidP="00C35E37">
      <w:pPr>
        <w:tabs>
          <w:tab w:val="clear" w:pos="1134"/>
          <w:tab w:val="left" w:pos="709"/>
        </w:tabs>
        <w:suppressAutoHyphens/>
        <w:spacing w:line="240" w:lineRule="auto"/>
        <w:rPr>
          <w:color w:val="auto"/>
        </w:rPr>
      </w:pPr>
    </w:p>
    <w:p w14:paraId="6C1B81E2" w14:textId="77777777" w:rsidR="00C35E37" w:rsidRDefault="00C35E37" w:rsidP="00C35E37">
      <w:pPr>
        <w:tabs>
          <w:tab w:val="clear" w:pos="1134"/>
          <w:tab w:val="left" w:pos="709"/>
        </w:tabs>
        <w:suppressAutoHyphens/>
        <w:spacing w:line="240" w:lineRule="auto"/>
        <w:ind w:left="709" w:hanging="709"/>
        <w:rPr>
          <w:color w:val="auto"/>
        </w:rPr>
      </w:pPr>
      <w:r w:rsidRPr="00244586">
        <w:rPr>
          <w:color w:val="auto"/>
        </w:rPr>
        <w:t>-</w:t>
      </w:r>
      <w:r w:rsidRPr="00244586">
        <w:rPr>
          <w:color w:val="auto"/>
        </w:rPr>
        <w:tab/>
        <w:t>zadávání veřejných zakázek do systému MS2021+ a dále kontroly zadávací dokumentace ve vztahu k podmínkám dotačního programu;</w:t>
      </w:r>
    </w:p>
    <w:p w14:paraId="04D48570" w14:textId="77777777" w:rsidR="00C92E28" w:rsidRPr="00244586" w:rsidRDefault="00C92E28" w:rsidP="00C35E37">
      <w:pPr>
        <w:tabs>
          <w:tab w:val="clear" w:pos="1134"/>
          <w:tab w:val="left" w:pos="709"/>
        </w:tabs>
        <w:suppressAutoHyphens/>
        <w:spacing w:line="240" w:lineRule="auto"/>
        <w:ind w:left="709" w:hanging="709"/>
        <w:rPr>
          <w:color w:val="auto"/>
        </w:rPr>
      </w:pPr>
    </w:p>
    <w:p w14:paraId="76529E14" w14:textId="77777777" w:rsidR="00C35E37" w:rsidRPr="00244586" w:rsidRDefault="00C35E37" w:rsidP="00C35E37">
      <w:pPr>
        <w:tabs>
          <w:tab w:val="clear" w:pos="1134"/>
          <w:tab w:val="left" w:pos="709"/>
        </w:tabs>
        <w:suppressAutoHyphens/>
        <w:spacing w:line="240" w:lineRule="auto"/>
        <w:ind w:left="709" w:hanging="709"/>
        <w:rPr>
          <w:color w:val="auto"/>
        </w:rPr>
      </w:pPr>
      <w:r w:rsidRPr="00244586">
        <w:rPr>
          <w:color w:val="auto"/>
        </w:rPr>
        <w:t>-</w:t>
      </w:r>
      <w:r w:rsidRPr="00244586">
        <w:rPr>
          <w:color w:val="auto"/>
        </w:rPr>
        <w:tab/>
        <w:t>zpracování odpovědí na výzvy k doplnění informací k veřejné zakázce zaslané řídícím orgánem či zprostředkujícím subjektem;</w:t>
      </w:r>
    </w:p>
    <w:p w14:paraId="5A876385" w14:textId="42B1653F" w:rsidR="00C35E37" w:rsidRDefault="00C35E37" w:rsidP="00C35E37">
      <w:pPr>
        <w:tabs>
          <w:tab w:val="clear" w:pos="1134"/>
          <w:tab w:val="left" w:pos="709"/>
        </w:tabs>
        <w:suppressAutoHyphens/>
        <w:spacing w:line="240" w:lineRule="auto"/>
        <w:rPr>
          <w:color w:val="auto"/>
        </w:rPr>
      </w:pPr>
      <w:r w:rsidRPr="00244586">
        <w:rPr>
          <w:color w:val="auto"/>
        </w:rPr>
        <w:lastRenderedPageBreak/>
        <w:t>-</w:t>
      </w:r>
      <w:r w:rsidRPr="00244586">
        <w:rPr>
          <w:color w:val="auto"/>
        </w:rPr>
        <w:tab/>
        <w:t>účast na jednáních souvisejících s realizací projektu a kontrolních dnech</w:t>
      </w:r>
      <w:r w:rsidR="00C92E28">
        <w:rPr>
          <w:color w:val="auto"/>
        </w:rPr>
        <w:t>;</w:t>
      </w:r>
    </w:p>
    <w:p w14:paraId="71D77793" w14:textId="77777777" w:rsidR="00C92E28" w:rsidRPr="00244586" w:rsidRDefault="00C92E28" w:rsidP="00C35E37">
      <w:pPr>
        <w:tabs>
          <w:tab w:val="clear" w:pos="1134"/>
          <w:tab w:val="left" w:pos="709"/>
        </w:tabs>
        <w:suppressAutoHyphens/>
        <w:spacing w:line="240" w:lineRule="auto"/>
        <w:rPr>
          <w:color w:val="auto"/>
        </w:rPr>
      </w:pPr>
    </w:p>
    <w:p w14:paraId="1701C1B5" w14:textId="6C708B9D" w:rsidR="00C35E37" w:rsidRPr="00244586" w:rsidRDefault="0031523A" w:rsidP="00331C23">
      <w:pPr>
        <w:tabs>
          <w:tab w:val="clear" w:pos="1134"/>
          <w:tab w:val="left" w:pos="709"/>
        </w:tabs>
        <w:suppressAutoHyphens/>
        <w:spacing w:line="240" w:lineRule="auto"/>
        <w:rPr>
          <w:color w:val="auto"/>
        </w:rPr>
      </w:pPr>
      <w:r w:rsidRPr="00244586">
        <w:rPr>
          <w:color w:val="auto"/>
        </w:rPr>
        <w:t>-</w:t>
      </w:r>
      <w:r w:rsidRPr="00244586">
        <w:rPr>
          <w:color w:val="auto"/>
        </w:rPr>
        <w:tab/>
      </w:r>
      <w:r w:rsidR="00331C23" w:rsidRPr="00244586">
        <w:rPr>
          <w:color w:val="auto"/>
        </w:rPr>
        <w:t>sledování metodických pokynů OPŽP 2021–2027 a jejich relevantnosti ve vztahu k projektu.</w:t>
      </w:r>
    </w:p>
    <w:p w14:paraId="4E425EE1" w14:textId="77777777" w:rsidR="00331C23" w:rsidRDefault="00331C23" w:rsidP="00331C23">
      <w:pPr>
        <w:tabs>
          <w:tab w:val="clear" w:pos="1134"/>
          <w:tab w:val="left" w:pos="709"/>
        </w:tabs>
        <w:suppressAutoHyphens/>
        <w:spacing w:line="240" w:lineRule="auto"/>
      </w:pPr>
    </w:p>
    <w:p w14:paraId="3970EECF" w14:textId="77777777" w:rsidR="00C35E37" w:rsidRPr="00D774EA" w:rsidRDefault="00C35E37" w:rsidP="00C35E37">
      <w:pPr>
        <w:suppressAutoHyphens/>
        <w:spacing w:line="240" w:lineRule="auto"/>
      </w:pPr>
      <w:r>
        <w:t>V rámci celého procesu od přípravy předložení žádosti o dotaci až do finančního ukončení projektu zajistí Zhotovitel komunikaci s příslušnými zástupci poskytovatele dotace a dalšími dotčenými subjekty (např. zástupci příspěvkových organizací, správci dotčeních objektů, partnery projektu, orgány ochrany přírody, orgány památkové péče apod.), jejichž součinnost nebo stanovisko je nezbytné pro zpracování a předložení žádosti o dotaci). Zhotovitel řídí projektový tým, koordinuje činnosti a dohlíží na dodržování stanoveného harmonogramu.</w:t>
      </w:r>
    </w:p>
    <w:p w14:paraId="5FF16EC2" w14:textId="77777777" w:rsidR="009F581D" w:rsidRDefault="009F581D"/>
    <w:sectPr w:rsidR="009F581D" w:rsidSect="00C35E37">
      <w:headerReference w:type="default" r:id="rId6"/>
      <w:headerReference w:type="first" r:id="rId7"/>
      <w:pgSz w:w="11906" w:h="16838" w:code="9"/>
      <w:pgMar w:top="1452" w:right="1134" w:bottom="1871" w:left="1134" w:header="658" w:footer="90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53790" w14:textId="77777777" w:rsidR="00C35E37" w:rsidRDefault="00C35E37" w:rsidP="00C35E37">
      <w:pPr>
        <w:spacing w:line="240" w:lineRule="auto"/>
      </w:pPr>
      <w:r>
        <w:separator/>
      </w:r>
    </w:p>
  </w:endnote>
  <w:endnote w:type="continuationSeparator" w:id="0">
    <w:p w14:paraId="70C3B3B3" w14:textId="77777777" w:rsidR="00C35E37" w:rsidRDefault="00C35E37" w:rsidP="00C35E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 Medium">
    <w:panose1 w:val="00000600000000000000"/>
    <w:charset w:val="EE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C63EB" w14:textId="77777777" w:rsidR="00C35E37" w:rsidRDefault="00C35E37" w:rsidP="00C35E37">
      <w:pPr>
        <w:spacing w:line="240" w:lineRule="auto"/>
      </w:pPr>
      <w:r>
        <w:separator/>
      </w:r>
    </w:p>
  </w:footnote>
  <w:footnote w:type="continuationSeparator" w:id="0">
    <w:p w14:paraId="710AE59C" w14:textId="77777777" w:rsidR="00C35E37" w:rsidRDefault="00C35E37" w:rsidP="00C35E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63B90" w14:textId="77777777" w:rsidR="00C35E37" w:rsidRPr="00CF7D5E" w:rsidRDefault="00C35E37" w:rsidP="00CF7D5E">
    <w:pPr>
      <w:pStyle w:val="Zhlav"/>
      <w:jc w:val="right"/>
      <w:rPr>
        <w:sz w:val="16"/>
        <w:szCs w:val="16"/>
      </w:rPr>
    </w:pPr>
    <w:r>
      <w:t xml:space="preserve">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C41B4" w14:textId="353E4BA4" w:rsidR="00C35E37" w:rsidRDefault="00C35E37" w:rsidP="00C35E37">
    <w:pPr>
      <w:pStyle w:val="Zhlav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E37"/>
    <w:rsid w:val="00244586"/>
    <w:rsid w:val="0031523A"/>
    <w:rsid w:val="00331C23"/>
    <w:rsid w:val="003946D5"/>
    <w:rsid w:val="003C1A90"/>
    <w:rsid w:val="00453E9C"/>
    <w:rsid w:val="004D69BE"/>
    <w:rsid w:val="005F3649"/>
    <w:rsid w:val="009F581D"/>
    <w:rsid w:val="00B57145"/>
    <w:rsid w:val="00C35E37"/>
    <w:rsid w:val="00C92E28"/>
    <w:rsid w:val="00D037FD"/>
    <w:rsid w:val="00E632B3"/>
    <w:rsid w:val="00F8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446CD"/>
  <w15:chartTrackingRefBased/>
  <w15:docId w15:val="{710C01A4-10E1-4A89-87CB-77B653EBC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5E37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right" w:pos="9639"/>
      </w:tabs>
      <w:spacing w:after="0" w:line="240" w:lineRule="exact"/>
      <w:jc w:val="both"/>
    </w:pPr>
    <w:rPr>
      <w:rFonts w:ascii="Century Gothic" w:hAnsi="Century Gothic"/>
      <w:color w:val="000000" w:themeColor="text1"/>
      <w:kern w:val="20"/>
      <w:sz w:val="20"/>
      <w:szCs w:val="20"/>
      <w:lang w:eastAsia="ja-JP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35E37"/>
    <w:pPr>
      <w:keepNext/>
      <w:keepLines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35E37"/>
    <w:pPr>
      <w:keepNext/>
      <w:keepLines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35E37"/>
    <w:pPr>
      <w:keepNext/>
      <w:keepLines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35E37"/>
    <w:pPr>
      <w:keepNext/>
      <w:keepLines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35E37"/>
    <w:pPr>
      <w:keepNext/>
      <w:keepLines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35E37"/>
    <w:pPr>
      <w:keepNext/>
      <w:keepLines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35E37"/>
    <w:pPr>
      <w:keepNext/>
      <w:keepLines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35E37"/>
    <w:pPr>
      <w:keepNext/>
      <w:keepLines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35E37"/>
    <w:pPr>
      <w:keepNext/>
      <w:keepLines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35E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35E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35E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35E3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35E3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35E3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35E3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35E3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35E3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35E37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after="80"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C35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35E37"/>
    <w:pPr>
      <w:numPr>
        <w:ilvl w:val="1"/>
      </w:num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C35E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35E37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C35E3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35E37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after="160" w:line="259" w:lineRule="auto"/>
      <w:ind w:left="720"/>
      <w:contextualSpacing/>
      <w:jc w:val="left"/>
    </w:pPr>
    <w:rPr>
      <w:rFonts w:asciiTheme="minorHAnsi" w:hAnsiTheme="minorHAnsi"/>
      <w:color w:val="auto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C35E3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5E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5E3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35E37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C35E37"/>
    <w:pPr>
      <w:spacing w:line="280" w:lineRule="exact"/>
      <w:ind w:right="1701"/>
      <w:jc w:val="left"/>
    </w:pPr>
    <w:rPr>
      <w:rFonts w:ascii="Poppins Medium" w:hAnsi="Poppins Medium"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C35E37"/>
    <w:rPr>
      <w:rFonts w:ascii="Poppins Medium" w:hAnsi="Poppins Medium"/>
      <w:color w:val="000000" w:themeColor="text1"/>
      <w:kern w:val="20"/>
      <w:sz w:val="24"/>
      <w:szCs w:val="20"/>
      <w:lang w:eastAsia="ja-JP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C35E37"/>
    <w:pPr>
      <w:tabs>
        <w:tab w:val="clear" w:pos="1134"/>
        <w:tab w:val="clear" w:pos="2268"/>
        <w:tab w:val="clear" w:pos="3402"/>
        <w:tab w:val="clear" w:pos="5670"/>
        <w:tab w:val="clear" w:pos="6804"/>
        <w:tab w:val="clear" w:pos="7938"/>
        <w:tab w:val="clear" w:pos="9639"/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5E37"/>
    <w:rPr>
      <w:rFonts w:ascii="Century Gothic" w:hAnsi="Century Gothic"/>
      <w:color w:val="000000" w:themeColor="text1"/>
      <w:kern w:val="20"/>
      <w:sz w:val="20"/>
      <w:szCs w:val="20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374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Slámová Jana</dc:creator>
  <cp:keywords/>
  <dc:description/>
  <cp:lastModifiedBy>Slámová Jana</cp:lastModifiedBy>
  <cp:revision>12</cp:revision>
  <dcterms:created xsi:type="dcterms:W3CDTF">2025-03-17T14:34:00Z</dcterms:created>
  <dcterms:modified xsi:type="dcterms:W3CDTF">2025-03-21T10:33:00Z</dcterms:modified>
</cp:coreProperties>
</file>