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B494" w14:textId="77777777" w:rsidR="00282DE2" w:rsidRDefault="00282DE2" w:rsidP="00C75B5D">
      <w:pPr>
        <w:pStyle w:val="Bezmezer"/>
        <w:jc w:val="center"/>
        <w:rPr>
          <w:b/>
          <w:bCs/>
          <w:sz w:val="28"/>
          <w:szCs w:val="28"/>
        </w:rPr>
      </w:pPr>
    </w:p>
    <w:p w14:paraId="35ED6535" w14:textId="3B027B94" w:rsidR="00C75B5D" w:rsidRPr="00C75B5D" w:rsidRDefault="00C75B5D" w:rsidP="00C75B5D">
      <w:pPr>
        <w:pStyle w:val="Bezmezer"/>
        <w:jc w:val="center"/>
        <w:rPr>
          <w:b/>
          <w:bCs/>
          <w:sz w:val="28"/>
          <w:szCs w:val="28"/>
        </w:rPr>
      </w:pPr>
      <w:r w:rsidRPr="00C75B5D">
        <w:rPr>
          <w:b/>
          <w:bCs/>
          <w:sz w:val="28"/>
          <w:szCs w:val="28"/>
        </w:rPr>
        <w:t>RÁMCOVÁ KUPNÍ SMLOUVA</w:t>
      </w:r>
    </w:p>
    <w:p w14:paraId="7B3BA2F1" w14:textId="3B348757" w:rsidR="00C75B5D" w:rsidRPr="00C75B5D" w:rsidRDefault="00C75B5D" w:rsidP="00C75B5D">
      <w:pPr>
        <w:pStyle w:val="Bezmezer"/>
        <w:jc w:val="center"/>
        <w:rPr>
          <w:b/>
          <w:bCs/>
          <w:sz w:val="28"/>
          <w:szCs w:val="28"/>
        </w:rPr>
      </w:pPr>
      <w:r w:rsidRPr="00031BD0">
        <w:rPr>
          <w:b/>
          <w:bCs/>
          <w:sz w:val="28"/>
          <w:szCs w:val="28"/>
        </w:rPr>
        <w:t>č. S-0007/49534971/2025</w:t>
      </w:r>
    </w:p>
    <w:p w14:paraId="4EE043D0" w14:textId="64B66E14" w:rsidR="00DD4F5C" w:rsidRDefault="00C75B5D" w:rsidP="00C75B5D">
      <w:pPr>
        <w:jc w:val="center"/>
        <w:rPr>
          <w:rFonts w:cstheme="minorHAnsi"/>
        </w:rPr>
      </w:pPr>
      <w:r w:rsidRPr="00C75B5D">
        <w:rPr>
          <w:rFonts w:cstheme="minorHAnsi"/>
        </w:rPr>
        <w:t>uzavřená podle ustanovení § 2079 a násl. zákona č. 89/2012 Sb., občanský zákoník, ve znění pozdějších předpisů („</w:t>
      </w:r>
      <w:r w:rsidRPr="00C75B5D">
        <w:rPr>
          <w:rFonts w:cstheme="minorHAnsi"/>
          <w:b/>
          <w:bCs/>
        </w:rPr>
        <w:t>Rámcová smlouva</w:t>
      </w:r>
      <w:r w:rsidRPr="00C75B5D">
        <w:rPr>
          <w:rFonts w:cstheme="minorHAnsi"/>
        </w:rPr>
        <w:t>“)</w:t>
      </w:r>
    </w:p>
    <w:p w14:paraId="45A9CF7B" w14:textId="1E896FD6" w:rsidR="00C75B5D" w:rsidRDefault="00C75B5D" w:rsidP="00C75B5D">
      <w:pPr>
        <w:jc w:val="center"/>
        <w:rPr>
          <w:rFonts w:cstheme="minorHAnsi"/>
        </w:rPr>
      </w:pPr>
    </w:p>
    <w:p w14:paraId="74A0CFD7" w14:textId="77777777" w:rsidR="00C75B5D" w:rsidRPr="00C24C3D" w:rsidRDefault="00C75B5D" w:rsidP="00A1455B">
      <w:pPr>
        <w:jc w:val="both"/>
        <w:rPr>
          <w:rFonts w:cstheme="minorHAnsi"/>
          <w:b/>
          <w:bCs/>
          <w:sz w:val="24"/>
          <w:szCs w:val="24"/>
        </w:rPr>
      </w:pPr>
      <w:r w:rsidRPr="00C24C3D">
        <w:rPr>
          <w:rFonts w:cstheme="minorHAnsi"/>
          <w:b/>
          <w:bCs/>
          <w:sz w:val="24"/>
          <w:szCs w:val="24"/>
        </w:rPr>
        <w:t xml:space="preserve">STRANY SMLOUVY </w:t>
      </w:r>
    </w:p>
    <w:p w14:paraId="6D75813C" w14:textId="77777777" w:rsidR="00C75B5D" w:rsidRPr="00C24C3D" w:rsidRDefault="00C75B5D" w:rsidP="00A1455B">
      <w:pPr>
        <w:jc w:val="both"/>
        <w:rPr>
          <w:rFonts w:cstheme="minorHAnsi"/>
          <w:b/>
          <w:bCs/>
          <w:sz w:val="24"/>
          <w:szCs w:val="24"/>
        </w:rPr>
      </w:pPr>
      <w:r w:rsidRPr="00C24C3D">
        <w:rPr>
          <w:rFonts w:cstheme="minorHAnsi"/>
          <w:b/>
          <w:bCs/>
          <w:sz w:val="24"/>
          <w:szCs w:val="24"/>
        </w:rPr>
        <w:t xml:space="preserve">Prodávající: </w:t>
      </w:r>
    </w:p>
    <w:p w14:paraId="71973716" w14:textId="77777777" w:rsidR="00C75B5D" w:rsidRPr="00C24C3D" w:rsidRDefault="00C75B5D" w:rsidP="00A1455B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(1) </w:t>
      </w:r>
      <w:r w:rsidRPr="00C24C3D">
        <w:rPr>
          <w:rFonts w:cstheme="minorHAnsi"/>
          <w:sz w:val="24"/>
          <w:szCs w:val="24"/>
        </w:rPr>
        <w:tab/>
      </w:r>
      <w:r w:rsidRPr="00C24C3D">
        <w:rPr>
          <w:rFonts w:cstheme="minorHAnsi"/>
          <w:b/>
          <w:bCs/>
          <w:sz w:val="24"/>
          <w:szCs w:val="24"/>
        </w:rPr>
        <w:t xml:space="preserve">Plaček </w:t>
      </w:r>
      <w:proofErr w:type="spellStart"/>
      <w:r w:rsidRPr="00C24C3D">
        <w:rPr>
          <w:rFonts w:cstheme="minorHAnsi"/>
          <w:b/>
          <w:bCs/>
          <w:sz w:val="24"/>
          <w:szCs w:val="24"/>
        </w:rPr>
        <w:t>Pet</w:t>
      </w:r>
      <w:proofErr w:type="spellEnd"/>
      <w:r w:rsidRPr="00C24C3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24C3D">
        <w:rPr>
          <w:rFonts w:cstheme="minorHAnsi"/>
          <w:b/>
          <w:bCs/>
          <w:sz w:val="24"/>
          <w:szCs w:val="24"/>
        </w:rPr>
        <w:t>Products</w:t>
      </w:r>
      <w:proofErr w:type="spellEnd"/>
      <w:r w:rsidRPr="00C24C3D">
        <w:rPr>
          <w:rFonts w:cstheme="minorHAnsi"/>
          <w:b/>
          <w:bCs/>
          <w:sz w:val="24"/>
          <w:szCs w:val="24"/>
        </w:rPr>
        <w:t xml:space="preserve"> s.r.o. </w:t>
      </w:r>
    </w:p>
    <w:p w14:paraId="34755F54" w14:textId="77777777" w:rsidR="00C75B5D" w:rsidRPr="00C24C3D" w:rsidRDefault="00C75B5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se sídlem Revoluční 1381, Poděbrady III, 290 01 Poděbrady, IČO: 289 95 911, DIČ: CZ 699003610, zapsaná v obchodním rejstříku vedeném u Městského soudu v Praze, oddíl C, vložka 158695, zastoupena panem Lubošem Rejchrtem, jednatelem společnosti. </w:t>
      </w:r>
    </w:p>
    <w:p w14:paraId="6F997A61" w14:textId="77777777" w:rsidR="00C75B5D" w:rsidRPr="00C24C3D" w:rsidRDefault="00C75B5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Telefon: </w:t>
      </w:r>
      <w:r w:rsidRPr="00E723BF">
        <w:rPr>
          <w:rFonts w:cstheme="minorHAnsi"/>
          <w:color w:val="000000" w:themeColor="text1"/>
          <w:sz w:val="24"/>
          <w:szCs w:val="24"/>
          <w:highlight w:val="black"/>
        </w:rPr>
        <w:t>325 611 650</w:t>
      </w:r>
      <w:r w:rsidRPr="00C24C3D">
        <w:rPr>
          <w:rFonts w:cstheme="minorHAnsi"/>
          <w:sz w:val="24"/>
          <w:szCs w:val="24"/>
        </w:rPr>
        <w:t xml:space="preserve">, Číslo účtu: </w:t>
      </w:r>
      <w:r w:rsidRPr="00E723BF">
        <w:rPr>
          <w:rFonts w:cstheme="minorHAnsi"/>
          <w:sz w:val="24"/>
          <w:szCs w:val="24"/>
          <w:highlight w:val="black"/>
        </w:rPr>
        <w:t>500239309/0800</w:t>
      </w:r>
      <w:r w:rsidRPr="00C24C3D">
        <w:rPr>
          <w:rFonts w:cstheme="minorHAnsi"/>
          <w:sz w:val="24"/>
          <w:szCs w:val="24"/>
        </w:rPr>
        <w:t xml:space="preserve"> </w:t>
      </w:r>
    </w:p>
    <w:p w14:paraId="6C43035E" w14:textId="77777777" w:rsidR="00C75B5D" w:rsidRPr="00C24C3D" w:rsidRDefault="00C75B5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Kontaktní osoba: Bc. Tomáš Bílek E-mail: </w:t>
      </w:r>
      <w:r w:rsidRPr="00E723BF">
        <w:rPr>
          <w:rFonts w:cstheme="minorHAnsi"/>
          <w:sz w:val="24"/>
          <w:szCs w:val="24"/>
          <w:highlight w:val="black"/>
        </w:rPr>
        <w:t>tomas.bilek@placek.cz, Telefon: 724 335 911</w:t>
      </w:r>
      <w:r w:rsidRPr="00C24C3D">
        <w:rPr>
          <w:rFonts w:cstheme="minorHAnsi"/>
          <w:sz w:val="24"/>
          <w:szCs w:val="24"/>
        </w:rPr>
        <w:t xml:space="preserve"> </w:t>
      </w:r>
    </w:p>
    <w:p w14:paraId="2E3DBC23" w14:textId="77777777" w:rsidR="00C75B5D" w:rsidRPr="00C24C3D" w:rsidRDefault="00C75B5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(dále také jen „</w:t>
      </w:r>
      <w:r w:rsidRPr="00C24C3D">
        <w:rPr>
          <w:rFonts w:cstheme="minorHAnsi"/>
          <w:b/>
          <w:bCs/>
          <w:sz w:val="24"/>
          <w:szCs w:val="24"/>
        </w:rPr>
        <w:t>Dodavatel</w:t>
      </w:r>
      <w:r w:rsidRPr="00C24C3D">
        <w:rPr>
          <w:rFonts w:cstheme="minorHAnsi"/>
          <w:sz w:val="24"/>
          <w:szCs w:val="24"/>
        </w:rPr>
        <w:t xml:space="preserve">“) </w:t>
      </w:r>
    </w:p>
    <w:p w14:paraId="42D7B7CE" w14:textId="77777777" w:rsidR="00C75B5D" w:rsidRPr="00C24C3D" w:rsidRDefault="00C75B5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3FB80FAA" w14:textId="0FE9B252" w:rsidR="00C75B5D" w:rsidRPr="00C24C3D" w:rsidRDefault="00C75B5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a </w:t>
      </w:r>
    </w:p>
    <w:p w14:paraId="136AA83E" w14:textId="77777777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4B5175FC" w14:textId="00FC5928" w:rsidR="00C24C3D" w:rsidRPr="00A1455B" w:rsidRDefault="00C75B5D" w:rsidP="00A1455B">
      <w:pPr>
        <w:rPr>
          <w:rFonts w:cstheme="minorHAnsi"/>
          <w:b/>
          <w:bCs/>
          <w:sz w:val="24"/>
          <w:szCs w:val="24"/>
        </w:rPr>
      </w:pPr>
      <w:r w:rsidRPr="00A1455B">
        <w:rPr>
          <w:rFonts w:cstheme="minorHAnsi"/>
          <w:b/>
          <w:bCs/>
          <w:sz w:val="24"/>
          <w:szCs w:val="24"/>
        </w:rPr>
        <w:t xml:space="preserve">Kupující: </w:t>
      </w:r>
    </w:p>
    <w:p w14:paraId="74E37E3E" w14:textId="55067648" w:rsidR="00C75B5D" w:rsidRPr="00C24C3D" w:rsidRDefault="00C75B5D" w:rsidP="00A1455B">
      <w:pPr>
        <w:pStyle w:val="Bezmezer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(2) </w:t>
      </w:r>
      <w:r w:rsidRPr="00C24C3D">
        <w:rPr>
          <w:rFonts w:cstheme="minorHAnsi"/>
          <w:sz w:val="24"/>
          <w:szCs w:val="24"/>
        </w:rPr>
        <w:tab/>
      </w:r>
      <w:r w:rsidRPr="00C24C3D">
        <w:rPr>
          <w:rFonts w:cstheme="minorHAnsi"/>
          <w:b/>
          <w:bCs/>
          <w:sz w:val="24"/>
          <w:szCs w:val="24"/>
        </w:rPr>
        <w:t>Název společnosti</w:t>
      </w:r>
      <w:r w:rsidRPr="00C24C3D">
        <w:rPr>
          <w:rFonts w:cstheme="minorHAnsi"/>
          <w:sz w:val="24"/>
          <w:szCs w:val="24"/>
        </w:rPr>
        <w:t xml:space="preserve">: Domov Mladá, poskytovatel sociálních služeb </w:t>
      </w:r>
    </w:p>
    <w:p w14:paraId="79D0F021" w14:textId="6234A5EA" w:rsidR="00C75B5D" w:rsidRPr="00C24C3D" w:rsidRDefault="00C75B5D" w:rsidP="00A1455B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se sídlem: Rakouská 552, 289 24 Milovice</w:t>
      </w:r>
    </w:p>
    <w:p w14:paraId="11595026" w14:textId="0A9A69EF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IČO: 49534971</w:t>
      </w:r>
    </w:p>
    <w:p w14:paraId="6F2C3D58" w14:textId="007B32D2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Zastoupená: Mgr. Tereza Palánová – ředitelka organizace</w:t>
      </w:r>
    </w:p>
    <w:p w14:paraId="48F80749" w14:textId="18B01C9D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E-mail: tereza.palanova@domovmlada.cz</w:t>
      </w:r>
    </w:p>
    <w:p w14:paraId="56C75B07" w14:textId="38FBF1A3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7D72C0F5" w14:textId="0AE6E392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E-mail pro komunikaci: lucie.vrbova@domovmlada.cz</w:t>
      </w:r>
    </w:p>
    <w:p w14:paraId="54EA7535" w14:textId="5FCEFB29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E-mail pro zasílání daňových dokladů: lucie.vrbova@domovmlada.cz</w:t>
      </w:r>
    </w:p>
    <w:p w14:paraId="1670AF51" w14:textId="735D5FB6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Telefon: </w:t>
      </w:r>
      <w:r w:rsidRPr="00E723BF">
        <w:rPr>
          <w:rFonts w:cstheme="minorHAnsi"/>
          <w:sz w:val="24"/>
          <w:szCs w:val="24"/>
          <w:highlight w:val="black"/>
        </w:rPr>
        <w:t>792306732</w:t>
      </w:r>
    </w:p>
    <w:p w14:paraId="05F2DA15" w14:textId="7223F205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Bankovní spojení: Komerční banka, a.s. </w:t>
      </w:r>
    </w:p>
    <w:p w14:paraId="3471C8BE" w14:textId="7243FE13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Číslo účtu pro zasílání přeplatků a úhrad dobropisů: </w:t>
      </w:r>
      <w:r w:rsidRPr="00E723BF">
        <w:rPr>
          <w:rFonts w:cstheme="minorHAnsi"/>
          <w:sz w:val="24"/>
          <w:szCs w:val="24"/>
          <w:highlight w:val="black"/>
        </w:rPr>
        <w:t>20136191/0100</w:t>
      </w:r>
    </w:p>
    <w:p w14:paraId="35771F1B" w14:textId="35F1208E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7E7AC7F1" w14:textId="44440495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Dodací adresa: Rakouská 552, 289 24 Milovice</w:t>
      </w:r>
    </w:p>
    <w:p w14:paraId="09217AE7" w14:textId="33778495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Otevírací doba pro příjem zboží: </w:t>
      </w:r>
      <w:proofErr w:type="gramStart"/>
      <w:r w:rsidRPr="00C24C3D">
        <w:rPr>
          <w:rFonts w:cstheme="minorHAnsi"/>
          <w:sz w:val="24"/>
          <w:szCs w:val="24"/>
        </w:rPr>
        <w:t>pondělí – pátek</w:t>
      </w:r>
      <w:proofErr w:type="gramEnd"/>
      <w:r w:rsidRPr="00C24C3D">
        <w:rPr>
          <w:rFonts w:cstheme="minorHAnsi"/>
          <w:sz w:val="24"/>
          <w:szCs w:val="24"/>
        </w:rPr>
        <w:t xml:space="preserve"> od 8:00 do 15:00 hod.</w:t>
      </w:r>
    </w:p>
    <w:p w14:paraId="0B262857" w14:textId="51E64DC6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0BBFAE36" w14:textId="77777777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(dále také jen „</w:t>
      </w:r>
      <w:r w:rsidRPr="00C24C3D">
        <w:rPr>
          <w:rFonts w:cstheme="minorHAnsi"/>
          <w:b/>
          <w:bCs/>
          <w:sz w:val="24"/>
          <w:szCs w:val="24"/>
        </w:rPr>
        <w:t>Odběratel</w:t>
      </w:r>
      <w:r w:rsidRPr="00C24C3D">
        <w:rPr>
          <w:rFonts w:cstheme="minorHAnsi"/>
          <w:sz w:val="24"/>
          <w:szCs w:val="24"/>
        </w:rPr>
        <w:t xml:space="preserve">“) </w:t>
      </w:r>
    </w:p>
    <w:p w14:paraId="0B42794D" w14:textId="566D36C1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>(Dodavatel a Odběratel společně „</w:t>
      </w:r>
      <w:r w:rsidRPr="00C24C3D">
        <w:rPr>
          <w:rFonts w:cstheme="minorHAnsi"/>
          <w:b/>
          <w:bCs/>
          <w:sz w:val="24"/>
          <w:szCs w:val="24"/>
        </w:rPr>
        <w:t>Strany</w:t>
      </w:r>
      <w:r w:rsidRPr="00C24C3D">
        <w:rPr>
          <w:rFonts w:cstheme="minorHAnsi"/>
          <w:sz w:val="24"/>
          <w:szCs w:val="24"/>
        </w:rPr>
        <w:t>“, a každá samostatně „</w:t>
      </w:r>
      <w:r w:rsidRPr="00C24C3D">
        <w:rPr>
          <w:rFonts w:cstheme="minorHAnsi"/>
          <w:b/>
          <w:bCs/>
          <w:sz w:val="24"/>
          <w:szCs w:val="24"/>
        </w:rPr>
        <w:t>Strana</w:t>
      </w:r>
      <w:r w:rsidRPr="00C24C3D">
        <w:rPr>
          <w:rFonts w:cstheme="minorHAnsi"/>
          <w:sz w:val="24"/>
          <w:szCs w:val="24"/>
        </w:rPr>
        <w:t>“)</w:t>
      </w:r>
    </w:p>
    <w:p w14:paraId="36DA70D7" w14:textId="7527C311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117350A6" w14:textId="77777777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18D22F14" w14:textId="5264E429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0391E731" w14:textId="0F5F04AB" w:rsidR="00C24C3D" w:rsidRPr="00C24C3D" w:rsidRDefault="00C24C3D" w:rsidP="00A1455B">
      <w:pPr>
        <w:pStyle w:val="Bezmezer"/>
        <w:ind w:left="708"/>
        <w:jc w:val="both"/>
        <w:rPr>
          <w:rFonts w:cstheme="minorHAnsi"/>
          <w:sz w:val="24"/>
          <w:szCs w:val="24"/>
        </w:rPr>
      </w:pPr>
    </w:p>
    <w:p w14:paraId="53C76960" w14:textId="77777777" w:rsidR="00C24C3D" w:rsidRPr="00C24C3D" w:rsidRDefault="00C24C3D" w:rsidP="00A1455B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C24C3D">
        <w:rPr>
          <w:rFonts w:cstheme="minorHAnsi"/>
          <w:b/>
          <w:bCs/>
          <w:sz w:val="24"/>
          <w:szCs w:val="24"/>
        </w:rPr>
        <w:t xml:space="preserve">PREAMBULE </w:t>
      </w:r>
    </w:p>
    <w:p w14:paraId="4B42BAA2" w14:textId="13C60F40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(A) </w:t>
      </w:r>
      <w:r w:rsidRPr="00C24C3D">
        <w:rPr>
          <w:rFonts w:cstheme="minorHAnsi"/>
          <w:sz w:val="24"/>
          <w:szCs w:val="24"/>
        </w:rPr>
        <w:tab/>
        <w:t>Odběratel má zájem na odběru zboží od Dodavatele, který v rámci své podnikatelské činnosti dodává sortiment chovatelských potřeb, krmiv, a zvířat určených pro další chovy („</w:t>
      </w:r>
      <w:r w:rsidRPr="00C24C3D">
        <w:rPr>
          <w:rFonts w:cstheme="minorHAnsi"/>
          <w:b/>
          <w:bCs/>
          <w:sz w:val="24"/>
          <w:szCs w:val="24"/>
        </w:rPr>
        <w:t>Zboží</w:t>
      </w:r>
      <w:r w:rsidRPr="00C24C3D">
        <w:rPr>
          <w:rFonts w:cstheme="minorHAnsi"/>
          <w:sz w:val="24"/>
          <w:szCs w:val="24"/>
        </w:rPr>
        <w:t>“) a zároveň je vlastníkem řady privátních obchodních značek, přičemž zájmem Dodavatele je dodávat Zboží zejména do kamenných prodejen s chovatelskými potřebami</w:t>
      </w:r>
      <w:r>
        <w:rPr>
          <w:rFonts w:cstheme="minorHAnsi"/>
          <w:sz w:val="24"/>
          <w:szCs w:val="24"/>
        </w:rPr>
        <w:t>.</w:t>
      </w:r>
    </w:p>
    <w:p w14:paraId="3043B3E9" w14:textId="3059CB2F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7FD4A63C" w14:textId="4031B54C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4E04F455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67FF9440" w14:textId="463ED70A" w:rsidR="00C24C3D" w:rsidRDefault="00C24C3D" w:rsidP="00A1455B">
      <w:pPr>
        <w:pStyle w:val="Bezmezer"/>
        <w:ind w:left="705" w:hanging="705"/>
        <w:jc w:val="both"/>
        <w:rPr>
          <w:rFonts w:cstheme="minorHAnsi"/>
          <w:b/>
          <w:bCs/>
          <w:sz w:val="24"/>
          <w:szCs w:val="24"/>
        </w:rPr>
      </w:pPr>
      <w:r w:rsidRPr="00C24C3D">
        <w:rPr>
          <w:rFonts w:cstheme="minorHAnsi"/>
          <w:b/>
          <w:bCs/>
          <w:sz w:val="24"/>
          <w:szCs w:val="24"/>
        </w:rPr>
        <w:t xml:space="preserve">1. </w:t>
      </w:r>
      <w:r>
        <w:rPr>
          <w:rFonts w:cstheme="minorHAnsi"/>
          <w:b/>
          <w:bCs/>
          <w:sz w:val="24"/>
          <w:szCs w:val="24"/>
        </w:rPr>
        <w:tab/>
      </w:r>
      <w:r w:rsidRPr="00C24C3D">
        <w:rPr>
          <w:rFonts w:cstheme="minorHAnsi"/>
          <w:b/>
          <w:bCs/>
          <w:sz w:val="24"/>
          <w:szCs w:val="24"/>
        </w:rPr>
        <w:t xml:space="preserve">PŘEDMĚT SMLOUVY A OBJEDNÁVKA </w:t>
      </w:r>
    </w:p>
    <w:p w14:paraId="73CC78AA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b/>
          <w:bCs/>
          <w:sz w:val="24"/>
          <w:szCs w:val="24"/>
        </w:rPr>
      </w:pPr>
    </w:p>
    <w:p w14:paraId="1840BF81" w14:textId="016A60CD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1.1.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>Předmětem této Rámcové smlouvy je rámcová úprava vzájemných práv a povinností Stran při realizaci vzájemné obchodní činnosti spočívající v dodávkách Zboží, a to dle specifikace určené vždy v jednotlivé objednávce Odběratele, která je akceptována Dodavatelem</w:t>
      </w:r>
      <w:r w:rsidR="00282DE2">
        <w:rPr>
          <w:rFonts w:cstheme="minorHAnsi"/>
          <w:sz w:val="24"/>
          <w:szCs w:val="24"/>
        </w:rPr>
        <w:t>.</w:t>
      </w:r>
      <w:r w:rsidRPr="00C24C3D">
        <w:rPr>
          <w:rFonts w:cstheme="minorHAnsi"/>
          <w:sz w:val="24"/>
          <w:szCs w:val="24"/>
        </w:rPr>
        <w:t xml:space="preserve"> </w:t>
      </w:r>
    </w:p>
    <w:p w14:paraId="3E5A8DFB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48DD358C" w14:textId="3305AC0D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1.2.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>Každá objednávka Odběratele musí splňovat podmínky uvedené v této Rámcové smlouvě a v Podmínkách spolupráce verze 1/2017, které jsou nedílnou součástí této Rámcové smlouvy a Strany jsou jimi vázány. („</w:t>
      </w:r>
      <w:r w:rsidRPr="00C24C3D">
        <w:rPr>
          <w:rFonts w:cstheme="minorHAnsi"/>
          <w:b/>
          <w:bCs/>
          <w:sz w:val="24"/>
          <w:szCs w:val="24"/>
        </w:rPr>
        <w:t>Podmínky spolupráce</w:t>
      </w:r>
      <w:r w:rsidRPr="00C24C3D">
        <w:rPr>
          <w:rFonts w:cstheme="minorHAnsi"/>
          <w:sz w:val="24"/>
          <w:szCs w:val="24"/>
        </w:rPr>
        <w:t>“). V okamžiku akceptace objednávky Dodavatelem se objednávka stává dílčí kupní smlouvou zavazující Dodavatele k dodání Zboží a Odběratel se zavazuje za každé dodané Zboží dle dílčí kupní smlouvy řádně a včas zaplatit („</w:t>
      </w:r>
      <w:r w:rsidRPr="00C24C3D">
        <w:rPr>
          <w:rFonts w:cstheme="minorHAnsi"/>
          <w:b/>
          <w:bCs/>
          <w:sz w:val="24"/>
          <w:szCs w:val="24"/>
        </w:rPr>
        <w:t>Dílčí kupní smlouva</w:t>
      </w:r>
      <w:r w:rsidRPr="00C24C3D">
        <w:rPr>
          <w:rFonts w:cstheme="minorHAnsi"/>
          <w:sz w:val="24"/>
          <w:szCs w:val="24"/>
        </w:rPr>
        <w:t xml:space="preserve">“). </w:t>
      </w:r>
    </w:p>
    <w:p w14:paraId="7BA64EB4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67E7982B" w14:textId="47D34533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1.3.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 xml:space="preserve">Není-li mezi Stranami v rámci objednávky dohodnuto jinak, minimální hodnota odebíraného Zboží činí nejméně 3 500 Kč bez DPH za jednu objednávku. </w:t>
      </w:r>
      <w:r w:rsidR="00282DE2" w:rsidRPr="00031BD0">
        <w:rPr>
          <w:rFonts w:cstheme="minorHAnsi"/>
          <w:sz w:val="24"/>
          <w:szCs w:val="24"/>
        </w:rPr>
        <w:t>Celková částka za odebrané zboží za rok nepřesáhne 150 000,- Kč bez DPH.</w:t>
      </w:r>
      <w:r w:rsidR="00282DE2">
        <w:rPr>
          <w:rFonts w:cstheme="minorHAnsi"/>
          <w:sz w:val="24"/>
          <w:szCs w:val="24"/>
        </w:rPr>
        <w:t xml:space="preserve"> </w:t>
      </w:r>
      <w:r w:rsidRPr="00C24C3D">
        <w:rPr>
          <w:rFonts w:cstheme="minorHAnsi"/>
          <w:sz w:val="24"/>
          <w:szCs w:val="24"/>
        </w:rPr>
        <w:t xml:space="preserve">Objednávky Odběratele vůči Dodavateli jsou považovány za neodvolatelné. </w:t>
      </w:r>
    </w:p>
    <w:p w14:paraId="74F3C0F8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68E9D449" w14:textId="4D620B3A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1.4.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>Odběratel podpisem Rámcové smlouvy souhlasí, že pokud mu byl Dodavatelem poskytnut přístup do B2B systému (dle definice v Podmínkách spolupráce), bude činit objednávky pouze prostřednictvím tohoto B2B systému a bude se přihlašovat pouze prostřednictvím osob oprávněných za Odběratele jednat. Přístup prostřednictvím přístupových údajů do B2B systému poskytnutých Dodavatelem se vždy považuje za přístup Odběratele do tohoto systému</w:t>
      </w:r>
      <w:r>
        <w:rPr>
          <w:rFonts w:cstheme="minorHAnsi"/>
          <w:sz w:val="24"/>
          <w:szCs w:val="24"/>
        </w:rPr>
        <w:t>.</w:t>
      </w:r>
    </w:p>
    <w:p w14:paraId="45559E24" w14:textId="229AC07A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25D6BCC6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39FA16CF" w14:textId="063E1064" w:rsidR="00C24C3D" w:rsidRDefault="00C24C3D" w:rsidP="00A1455B">
      <w:pPr>
        <w:pStyle w:val="Bezmezer"/>
        <w:ind w:left="705" w:hanging="705"/>
        <w:jc w:val="both"/>
        <w:rPr>
          <w:rFonts w:cstheme="minorHAnsi"/>
          <w:b/>
          <w:bCs/>
          <w:sz w:val="24"/>
          <w:szCs w:val="24"/>
        </w:rPr>
      </w:pPr>
      <w:r w:rsidRPr="00C24C3D">
        <w:rPr>
          <w:rFonts w:cstheme="minorHAnsi"/>
          <w:b/>
          <w:bCs/>
          <w:sz w:val="24"/>
          <w:szCs w:val="24"/>
        </w:rPr>
        <w:t xml:space="preserve">2. </w:t>
      </w:r>
      <w:r>
        <w:rPr>
          <w:rFonts w:cstheme="minorHAnsi"/>
          <w:b/>
          <w:bCs/>
          <w:sz w:val="24"/>
          <w:szCs w:val="24"/>
        </w:rPr>
        <w:tab/>
      </w:r>
      <w:r w:rsidRPr="00C24C3D">
        <w:rPr>
          <w:rFonts w:cstheme="minorHAnsi"/>
          <w:b/>
          <w:bCs/>
          <w:sz w:val="24"/>
          <w:szCs w:val="24"/>
        </w:rPr>
        <w:t xml:space="preserve">PRÁVA A POVINNOSTI STRAN </w:t>
      </w:r>
    </w:p>
    <w:p w14:paraId="16077EE8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b/>
          <w:bCs/>
          <w:sz w:val="24"/>
          <w:szCs w:val="24"/>
        </w:rPr>
      </w:pPr>
    </w:p>
    <w:p w14:paraId="5859475D" w14:textId="389C550F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2.1.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 xml:space="preserve">Není-li pro jednotlivou dodávku zboží dohodnuta cena jiná, je kupní cena zboží určena v souladu s platnou cenovou nabídkou či platným nabídkovým listem (dále souhrnně ceníkem) Dodavatele a uvedena na faktuře. Ceník Dodavatele je k nahlédnutí u obchodních zástupců Dodavatele, v sídle Dodavatele, případně je Odběrateli předán při osobním jednání. Dodavatel je oprávněn průběžně ceník aktualizovat. Kupní ceny zboží v ceníku jsou uváděny bez DPH. V kupní ceně </w:t>
      </w:r>
      <w:r w:rsidRPr="00C24C3D">
        <w:rPr>
          <w:rFonts w:cstheme="minorHAnsi"/>
          <w:b/>
          <w:bCs/>
          <w:sz w:val="24"/>
          <w:szCs w:val="24"/>
        </w:rPr>
        <w:t xml:space="preserve">nejsou </w:t>
      </w:r>
      <w:r w:rsidRPr="00C24C3D">
        <w:rPr>
          <w:rFonts w:cstheme="minorHAnsi"/>
          <w:sz w:val="24"/>
          <w:szCs w:val="24"/>
        </w:rPr>
        <w:t xml:space="preserve">zahrnuty náklady na dopravu zboží na místo dodání určené Odběratelem v objednávce. </w:t>
      </w:r>
    </w:p>
    <w:p w14:paraId="607804ED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6ADF03AA" w14:textId="7CD835F3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2.2.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 xml:space="preserve">Vlastnické právo ke Zboží přechází na Odběratele úplným zaplacením kupní ceny za Zboží vyúčtované na příslušné faktuře. </w:t>
      </w:r>
      <w:r w:rsidR="007D03C9" w:rsidRPr="00031BD0">
        <w:rPr>
          <w:rFonts w:cstheme="minorHAnsi"/>
          <w:sz w:val="24"/>
          <w:szCs w:val="24"/>
        </w:rPr>
        <w:t>Splatnost faktur je 30 dní ode dne doručení Odběrateli.</w:t>
      </w:r>
      <w:r w:rsidR="007D03C9">
        <w:rPr>
          <w:rFonts w:cstheme="minorHAnsi"/>
          <w:sz w:val="24"/>
          <w:szCs w:val="24"/>
        </w:rPr>
        <w:t xml:space="preserve"> </w:t>
      </w:r>
      <w:r w:rsidRPr="00C24C3D">
        <w:rPr>
          <w:rFonts w:cstheme="minorHAnsi"/>
          <w:sz w:val="24"/>
          <w:szCs w:val="24"/>
        </w:rPr>
        <w:t xml:space="preserve">Nebezpečí škody na zboží přechází z Dodavatele na Odběratele předáním zboží Dodavatelem Odběrateli, resp. předáním prvnímu přepravci k přepravě na místo dodání určené Odběratelem, na základě Dodavatelem akceptované objednávky či části objednávky Odběratele. V případě prodlení Odběratele s převzetím zboží přechází nebezpečí škody na zboží na Odběratele okamžikem prodlení Odběratele s převzetím zboží, jestliže mu ze strany Dodavatele bylo umožněno se zbožím nakládat. </w:t>
      </w:r>
    </w:p>
    <w:p w14:paraId="02156F74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2CE9884C" w14:textId="4E923A5F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2.3.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>Podpisem této Rámcové smlouvy souhlasí Odběratel s vystavováním daňových dokladů v elektronické podobě. Dodavatel prohlašuje, že elektronické daňové doklady splňují veškeré podmínky dle zákona č. 235/2004 Sb., o dani z přidané hodnoty, ve znění pozdějších předpisů.</w:t>
      </w:r>
    </w:p>
    <w:p w14:paraId="1A0D807D" w14:textId="0304902D" w:rsidR="00C24C3D" w:rsidRDefault="00282DE2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11BAE6A" w14:textId="77777777" w:rsidR="007D03C9" w:rsidRDefault="007D03C9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57774AC8" w14:textId="167CCE20" w:rsidR="00282DE2" w:rsidRDefault="00282DE2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4CFC5194" w14:textId="06D27E33" w:rsidR="00282DE2" w:rsidRDefault="00282DE2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54401F6D" w14:textId="77777777" w:rsidR="00282DE2" w:rsidRDefault="00282DE2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31F9528C" w14:textId="77777777" w:rsidR="00282DE2" w:rsidRDefault="00282DE2" w:rsidP="007D03C9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14ED4130" w14:textId="691050D1" w:rsidR="00C24C3D" w:rsidRDefault="00C24C3D" w:rsidP="00A1455B">
      <w:pPr>
        <w:pStyle w:val="Bezmezer"/>
        <w:ind w:left="705" w:hanging="705"/>
        <w:jc w:val="both"/>
        <w:rPr>
          <w:rFonts w:cstheme="minorHAnsi"/>
          <w:b/>
          <w:bCs/>
          <w:sz w:val="24"/>
          <w:szCs w:val="24"/>
        </w:rPr>
      </w:pPr>
      <w:r w:rsidRPr="00C24C3D">
        <w:rPr>
          <w:rFonts w:cstheme="minorHAnsi"/>
          <w:b/>
          <w:bCs/>
          <w:sz w:val="24"/>
          <w:szCs w:val="24"/>
        </w:rPr>
        <w:t xml:space="preserve">3. </w:t>
      </w:r>
      <w:r>
        <w:rPr>
          <w:rFonts w:cstheme="minorHAnsi"/>
          <w:b/>
          <w:bCs/>
          <w:sz w:val="24"/>
          <w:szCs w:val="24"/>
        </w:rPr>
        <w:tab/>
      </w:r>
      <w:r w:rsidRPr="00C24C3D">
        <w:rPr>
          <w:rFonts w:cstheme="minorHAnsi"/>
          <w:b/>
          <w:bCs/>
          <w:sz w:val="24"/>
          <w:szCs w:val="24"/>
        </w:rPr>
        <w:t xml:space="preserve">NÁROKY PŘI PORUŠENÍ DÍLČÍ KUPNÍ SMLOUVY </w:t>
      </w:r>
    </w:p>
    <w:p w14:paraId="374664EE" w14:textId="77777777" w:rsidR="00A1455B" w:rsidRDefault="00A1455B" w:rsidP="00A1455B">
      <w:pPr>
        <w:pStyle w:val="Bezmezer"/>
        <w:ind w:left="705" w:hanging="705"/>
        <w:jc w:val="both"/>
        <w:rPr>
          <w:rFonts w:cstheme="minorHAnsi"/>
          <w:b/>
          <w:bCs/>
          <w:sz w:val="24"/>
          <w:szCs w:val="24"/>
        </w:rPr>
      </w:pPr>
    </w:p>
    <w:p w14:paraId="3A9FFAC0" w14:textId="44E08406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3.1.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 xml:space="preserve">Trvá-li prodlení Odběratele s plněním jakýchkoliv povinností vyplývajících z uzavřené Dílčí kupní smlouvy déle než 30 dní, jedná se o podstatné porušení Rámcové smlouvy a Dodavatel je oprávněn kdykoliv během doby, kdy toto prodlení dále trvá, odstoupit od Rámcové smlouvy. Uvedená lhůta neplatí a uvedené následky prodlení Odběratele nastávají okamžitě v případě, že Odběratel splnění své povinnosti výslovně odepře nebo s přihlédnutím ke konkrétním okolnostem je patrné, že Odběratel tuto povinnost nemůže splnit. </w:t>
      </w:r>
    </w:p>
    <w:p w14:paraId="7435B8BD" w14:textId="77777777" w:rsidR="00282DE2" w:rsidRDefault="00282DE2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19551B80" w14:textId="4BFD0D57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3.2.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 xml:space="preserve">Trvá-li prodlení Odběratele s plněním jakékoliv povinnosti vyplývající z Rámcové smlouvy, zejména povinnosti uvedené v článku 1.2 této Rámcové smlouvy, déle než 30 dní, vzniká Dodavateli právo požadovat po Odběrateli zaplacení smluvní pokuty ve výši 0,05 za každý den prodlení. </w:t>
      </w:r>
    </w:p>
    <w:p w14:paraId="45F5A4FC" w14:textId="77777777" w:rsidR="00282DE2" w:rsidRDefault="00282DE2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104B9AFF" w14:textId="0F361543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C24C3D">
        <w:rPr>
          <w:rFonts w:cstheme="minorHAnsi"/>
          <w:sz w:val="24"/>
          <w:szCs w:val="24"/>
        </w:rPr>
        <w:t xml:space="preserve">3.3. </w:t>
      </w:r>
      <w:r>
        <w:rPr>
          <w:rFonts w:cstheme="minorHAnsi"/>
          <w:sz w:val="24"/>
          <w:szCs w:val="24"/>
        </w:rPr>
        <w:tab/>
      </w:r>
      <w:r w:rsidRPr="00C24C3D">
        <w:rPr>
          <w:rFonts w:cstheme="minorHAnsi"/>
          <w:sz w:val="24"/>
          <w:szCs w:val="24"/>
        </w:rPr>
        <w:t>Uhrazení smluvní pokuty se nedotýká práva Dodavatele na náhradu újmy ve výši přesahující výši sjednané smluvní pokuty, na kterou mu vznikne právo.</w:t>
      </w:r>
    </w:p>
    <w:p w14:paraId="28DA6A82" w14:textId="12683831" w:rsidR="00C24C3D" w:rsidRDefault="00C24C3D" w:rsidP="00C24C3D">
      <w:pPr>
        <w:pStyle w:val="Bezmezer"/>
        <w:ind w:left="705" w:hanging="705"/>
        <w:rPr>
          <w:rFonts w:cstheme="minorHAnsi"/>
          <w:sz w:val="24"/>
          <w:szCs w:val="24"/>
        </w:rPr>
      </w:pPr>
    </w:p>
    <w:p w14:paraId="434060CE" w14:textId="77777777" w:rsidR="00282DE2" w:rsidRDefault="00282DE2" w:rsidP="00C24C3D">
      <w:pPr>
        <w:pStyle w:val="Bezmezer"/>
        <w:ind w:left="705" w:hanging="705"/>
        <w:rPr>
          <w:rFonts w:cstheme="minorHAnsi"/>
          <w:sz w:val="24"/>
          <w:szCs w:val="24"/>
        </w:rPr>
      </w:pPr>
    </w:p>
    <w:p w14:paraId="1A32EE8F" w14:textId="0B616BEB" w:rsidR="00C24C3D" w:rsidRDefault="00C24C3D" w:rsidP="00A1455B">
      <w:pPr>
        <w:pStyle w:val="Bezmezer"/>
        <w:ind w:left="705" w:hanging="705"/>
        <w:jc w:val="both"/>
        <w:rPr>
          <w:rFonts w:cstheme="minorHAnsi"/>
          <w:b/>
          <w:bCs/>
          <w:sz w:val="24"/>
          <w:szCs w:val="24"/>
        </w:rPr>
      </w:pPr>
      <w:r w:rsidRPr="00A1455B">
        <w:rPr>
          <w:rFonts w:cstheme="minorHAnsi"/>
          <w:b/>
          <w:bCs/>
          <w:sz w:val="24"/>
          <w:szCs w:val="24"/>
        </w:rPr>
        <w:t xml:space="preserve">4. </w:t>
      </w:r>
      <w:r w:rsidRPr="00A1455B">
        <w:rPr>
          <w:rFonts w:cstheme="minorHAnsi"/>
          <w:b/>
          <w:bCs/>
          <w:sz w:val="24"/>
          <w:szCs w:val="24"/>
        </w:rPr>
        <w:tab/>
        <w:t xml:space="preserve">ZÁVĚREČNÁ USTANOVENÍ </w:t>
      </w:r>
    </w:p>
    <w:p w14:paraId="3375C162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b/>
          <w:bCs/>
          <w:sz w:val="24"/>
          <w:szCs w:val="24"/>
        </w:rPr>
      </w:pPr>
    </w:p>
    <w:p w14:paraId="2720D2EB" w14:textId="4788A11C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4.1. </w:t>
      </w:r>
      <w:r w:rsidRPr="00A1455B">
        <w:rPr>
          <w:rFonts w:cstheme="minorHAnsi"/>
          <w:sz w:val="24"/>
          <w:szCs w:val="24"/>
        </w:rPr>
        <w:tab/>
        <w:t>Rámcová smlouva se sjednává na dobu neurčitou. Platnost Rámcové smlouvy lze ukončit dohodou Stran nebo písemnou výpovědí bez udání důvodu, přičemž výpovědní doba činí 1 měsíc a počíná běžet měsícem následujícím po měsíci, v němž byla výpověď doručena druhé Straně.</w:t>
      </w:r>
    </w:p>
    <w:p w14:paraId="5F999BEE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77B12AB1" w14:textId="010F99F7" w:rsidR="00A1455B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4.2. </w:t>
      </w:r>
      <w:r w:rsidR="00A1455B" w:rsidRPr="00A1455B">
        <w:rPr>
          <w:rFonts w:cstheme="minorHAnsi"/>
          <w:sz w:val="24"/>
          <w:szCs w:val="24"/>
        </w:rPr>
        <w:tab/>
      </w:r>
      <w:r w:rsidRPr="00031BD0">
        <w:rPr>
          <w:rFonts w:cstheme="minorHAnsi"/>
          <w:sz w:val="24"/>
          <w:szCs w:val="24"/>
        </w:rPr>
        <w:t>Tato Rámcová smlouva nabývá platnosti dnem jejího podpisu poslední ze Stran</w:t>
      </w:r>
      <w:r w:rsidR="00A1455B" w:rsidRPr="00031BD0">
        <w:rPr>
          <w:rFonts w:cstheme="minorHAnsi"/>
          <w:sz w:val="24"/>
          <w:szCs w:val="24"/>
        </w:rPr>
        <w:t xml:space="preserve"> a účinnosti dnem uveřejnění v Registru smluv.</w:t>
      </w:r>
      <w:r w:rsidRPr="00A1455B">
        <w:rPr>
          <w:rFonts w:cstheme="minorHAnsi"/>
          <w:sz w:val="24"/>
          <w:szCs w:val="24"/>
        </w:rPr>
        <w:t xml:space="preserve"> Tato Rámcová smlouva může být měněna nebo zrušena pouze písemně, a to v případě změn Rámcové smlouvy číslovanými dodatky, které musí být podepsány oběma Stranami. </w:t>
      </w:r>
    </w:p>
    <w:p w14:paraId="4C3758B0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18C13AAD" w14:textId="025226EA" w:rsidR="00A1455B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4.3. </w:t>
      </w:r>
      <w:r w:rsidR="00A1455B" w:rsidRPr="00A1455B">
        <w:rPr>
          <w:rFonts w:cstheme="minorHAnsi"/>
          <w:sz w:val="24"/>
          <w:szCs w:val="24"/>
        </w:rPr>
        <w:tab/>
      </w:r>
      <w:r w:rsidRPr="00A1455B">
        <w:rPr>
          <w:rFonts w:cstheme="minorHAnsi"/>
          <w:sz w:val="24"/>
          <w:szCs w:val="24"/>
        </w:rPr>
        <w:t xml:space="preserve">Smluvní strany tímto souhlasí, že pro účely uzavření, změny či ukončení této Smlouvy, jakož i pro uzavření dodatku k této Smlouvě, sjednávají povinnost použít písemnou formu, tj. listinou podobu nebo formu elektronické či datové komunikace s uznávaným digitálním podpisem. </w:t>
      </w:r>
    </w:p>
    <w:p w14:paraId="24ABA3B8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6AA16759" w14:textId="67B492F9" w:rsidR="00A1455B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4.4. </w:t>
      </w:r>
      <w:r w:rsidR="00A1455B" w:rsidRPr="00A1455B">
        <w:rPr>
          <w:rFonts w:cstheme="minorHAnsi"/>
          <w:sz w:val="24"/>
          <w:szCs w:val="24"/>
        </w:rPr>
        <w:tab/>
      </w:r>
      <w:r w:rsidRPr="00A1455B">
        <w:rPr>
          <w:rFonts w:cstheme="minorHAnsi"/>
          <w:sz w:val="24"/>
          <w:szCs w:val="24"/>
        </w:rPr>
        <w:t xml:space="preserve">Tato Rámcová smlouva nahrazuje veškerá smluvní ujednání Stran, podle stávající rámcové smlouvy o dodávkách zboží, pokud taková byla mezi Stranami uzavřena. </w:t>
      </w:r>
    </w:p>
    <w:p w14:paraId="15775617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76E822F4" w14:textId="1E2E7EF5" w:rsidR="00A1455B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4.5. </w:t>
      </w:r>
      <w:r w:rsidR="00A1455B" w:rsidRPr="00A1455B">
        <w:rPr>
          <w:rFonts w:cstheme="minorHAnsi"/>
          <w:sz w:val="24"/>
          <w:szCs w:val="24"/>
        </w:rPr>
        <w:tab/>
      </w:r>
      <w:r w:rsidRPr="00A1455B">
        <w:rPr>
          <w:rFonts w:cstheme="minorHAnsi"/>
          <w:sz w:val="24"/>
          <w:szCs w:val="24"/>
        </w:rPr>
        <w:t xml:space="preserve">Odběratel není oprávněn postoupit žádné pohledávky vyplývající z této Rámcové smlouvy bez předchozího písemného souhlasu Dodavatele. </w:t>
      </w:r>
    </w:p>
    <w:p w14:paraId="78C9453B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75AE99DB" w14:textId="5C71EC88" w:rsidR="00A1455B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4.6. </w:t>
      </w:r>
      <w:r w:rsidR="00A1455B" w:rsidRPr="00A1455B">
        <w:rPr>
          <w:rFonts w:cstheme="minorHAnsi"/>
          <w:sz w:val="24"/>
          <w:szCs w:val="24"/>
        </w:rPr>
        <w:tab/>
      </w:r>
      <w:r w:rsidRPr="00A1455B">
        <w:rPr>
          <w:rFonts w:cstheme="minorHAnsi"/>
          <w:sz w:val="24"/>
          <w:szCs w:val="24"/>
        </w:rPr>
        <w:t xml:space="preserve">Odběratel podpisem této Rámcové smlouvy stvrzuje, že se řádně seznámil a souhlasí s dokumentem Podmínky spolupráce, jež je nedílnou součástí této Rámcové smlouvy a byl Dodavatelem před podpisem Rámcové smlouvy předložen a potvrzuje, že dokument je uveřejněn na webových stránkách Dodavatele. Podmínky spolupráce jsou dále k dispozici i v sídle Dodavatele. </w:t>
      </w:r>
    </w:p>
    <w:p w14:paraId="198C003D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48822579" w14:textId="7DFF0ED2" w:rsidR="00A1455B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4.7. </w:t>
      </w:r>
      <w:r w:rsidR="00A1455B" w:rsidRPr="00A1455B">
        <w:rPr>
          <w:rFonts w:cstheme="minorHAnsi"/>
          <w:sz w:val="24"/>
          <w:szCs w:val="24"/>
        </w:rPr>
        <w:tab/>
      </w:r>
      <w:r w:rsidRPr="00A1455B">
        <w:rPr>
          <w:rFonts w:cstheme="minorHAnsi"/>
          <w:sz w:val="24"/>
          <w:szCs w:val="24"/>
        </w:rPr>
        <w:t xml:space="preserve">Je-li nebo stane-li se jakékoli ustanovení této Rámcové smlouvy zdánlivým, neplatným či nevymahatelným, nebude to mít vliv na platnost a vymahatelnost ostatních ustanovení této Rámcové smlouvy. Strany se zavazují nahradit zdánlivé, neplatné nebo nevymahatelné ustanovení novým ustanovením, jehož znění bude odpovídat úmyslu vyjádřenému původním ustanovením a touto Rámcovou smlouvou jako celkem. </w:t>
      </w:r>
    </w:p>
    <w:p w14:paraId="3CE877DD" w14:textId="77777777" w:rsidR="007D03C9" w:rsidRDefault="007D03C9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1E45D338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28B44C28" w14:textId="3D4B3094" w:rsidR="00282DE2" w:rsidRDefault="00C24C3D" w:rsidP="007D03C9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4.8. </w:t>
      </w:r>
      <w:r w:rsidR="00A1455B" w:rsidRPr="00A1455B">
        <w:rPr>
          <w:rFonts w:cstheme="minorHAnsi"/>
          <w:sz w:val="24"/>
          <w:szCs w:val="24"/>
        </w:rPr>
        <w:tab/>
      </w:r>
      <w:r w:rsidRPr="00A1455B">
        <w:rPr>
          <w:rFonts w:cstheme="minorHAnsi"/>
          <w:sz w:val="24"/>
          <w:szCs w:val="24"/>
        </w:rPr>
        <w:t xml:space="preserve">Práva a povinnosti Stran v případech neupravených touto Rámcovou smlouvou a Podmínkami spolupráce se řídí občanským zákoníkem a dalšími právními předpisy České republiky. Strany se </w:t>
      </w:r>
    </w:p>
    <w:p w14:paraId="56C3DD25" w14:textId="600E8940" w:rsidR="00A1455B" w:rsidRDefault="00C24C3D" w:rsidP="00282DE2">
      <w:pPr>
        <w:pStyle w:val="Bezmezer"/>
        <w:ind w:left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dohodly, že obchodní zvyklosti nemají přednost před žádnými ustanoveními zákona, a to ani před ustanoveními zákona, jež nemají donucující účinky. </w:t>
      </w:r>
    </w:p>
    <w:p w14:paraId="56D87669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2F160ED6" w14:textId="49437B2D" w:rsidR="00A1455B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4.9. </w:t>
      </w:r>
      <w:r w:rsidR="00A1455B" w:rsidRPr="00A1455B">
        <w:rPr>
          <w:rFonts w:cstheme="minorHAnsi"/>
          <w:sz w:val="24"/>
          <w:szCs w:val="24"/>
        </w:rPr>
        <w:tab/>
      </w:r>
      <w:r w:rsidRPr="00A1455B">
        <w:rPr>
          <w:rFonts w:cstheme="minorHAnsi"/>
          <w:sz w:val="24"/>
          <w:szCs w:val="24"/>
        </w:rPr>
        <w:t xml:space="preserve">Strany se dohodly, že pro smluvní vztah založený touto Rámcovou smlouvou se nepoužijí ustanovení § 1799 a § 1800 občanského zákoníku, která definují nesrozumitelná nebo zvláště nevýhodná ustanovení a podmínky jejich platnosti. </w:t>
      </w:r>
    </w:p>
    <w:p w14:paraId="3CD94FCE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2C0F7C67" w14:textId="77D75F3C" w:rsidR="00C24C3D" w:rsidRDefault="00C24C3D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4.10. </w:t>
      </w:r>
      <w:r w:rsidR="00A1455B" w:rsidRPr="00A1455B">
        <w:rPr>
          <w:rFonts w:cstheme="minorHAnsi"/>
          <w:sz w:val="24"/>
          <w:szCs w:val="24"/>
        </w:rPr>
        <w:tab/>
      </w:r>
      <w:r w:rsidRPr="00A1455B">
        <w:rPr>
          <w:rFonts w:cstheme="minorHAnsi"/>
          <w:sz w:val="24"/>
          <w:szCs w:val="24"/>
        </w:rPr>
        <w:t>Pro případ uzavírání této Rámcové smlouvy Strany vylučují použití § 1740 odst. 3 občanského zákoníku, které stanoví, že smlouva je uzavřena i tehdy, kdy nedojde k úplné shodě projevů vůle smluvních stran.</w:t>
      </w:r>
    </w:p>
    <w:p w14:paraId="1C6D72FD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39BBF727" w14:textId="2DE126DB" w:rsid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4.11. </w:t>
      </w:r>
      <w:r w:rsidRPr="00A1455B">
        <w:rPr>
          <w:rFonts w:cstheme="minorHAnsi"/>
          <w:sz w:val="24"/>
          <w:szCs w:val="24"/>
        </w:rPr>
        <w:tab/>
        <w:t xml:space="preserve">Tato Smlouva je vyhotovena a podepsána ve dvou (2) shodných vyhotoveních v jazyce českém, přičemž každá Strana obdrží jedno (1) vyhotovení. </w:t>
      </w:r>
    </w:p>
    <w:p w14:paraId="319C7C52" w14:textId="77777777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3576B014" w14:textId="120F11F8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  <w:r w:rsidRPr="00A1455B">
        <w:rPr>
          <w:rFonts w:cstheme="minorHAnsi"/>
          <w:sz w:val="24"/>
          <w:szCs w:val="24"/>
        </w:rPr>
        <w:t xml:space="preserve">4.12. </w:t>
      </w:r>
      <w:r w:rsidRPr="00A1455B">
        <w:rPr>
          <w:rFonts w:cstheme="minorHAnsi"/>
          <w:sz w:val="24"/>
          <w:szCs w:val="24"/>
        </w:rPr>
        <w:tab/>
        <w:t>Nedílnou součástí této Rámcové smlouvy jsou Podmínky spolupráce. Tato Rámcová smlouva má přednost před Podmínkami spolupráce. Odchylná ustanovení výslovně vyjádřená v této Rámcové smlouvě, či odchylná ujednání výslovně vyjádřená v Dílčí kupní smlouvě, mají před ustanoveními Podmínek spolupráce přednost.</w:t>
      </w:r>
    </w:p>
    <w:p w14:paraId="67312445" w14:textId="6349485A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0D698402" w14:textId="23F9F601" w:rsidR="00A1455B" w:rsidRPr="00A1455B" w:rsidRDefault="00A1455B" w:rsidP="00A1455B">
      <w:pPr>
        <w:pStyle w:val="Bezmezer"/>
        <w:ind w:left="705" w:hanging="705"/>
        <w:jc w:val="both"/>
        <w:rPr>
          <w:rFonts w:cstheme="minorHAnsi"/>
          <w:sz w:val="24"/>
          <w:szCs w:val="24"/>
        </w:rPr>
      </w:pPr>
    </w:p>
    <w:p w14:paraId="475F3D75" w14:textId="5B5A2AAE" w:rsidR="00A1455B" w:rsidRDefault="00A1455B" w:rsidP="00A1455B">
      <w:pPr>
        <w:pStyle w:val="Bezmezer"/>
        <w:ind w:left="705"/>
        <w:jc w:val="both"/>
        <w:rPr>
          <w:rFonts w:cstheme="minorHAnsi"/>
          <w:b/>
          <w:bCs/>
          <w:sz w:val="24"/>
          <w:szCs w:val="24"/>
        </w:rPr>
      </w:pPr>
      <w:r w:rsidRPr="00A1455B">
        <w:rPr>
          <w:rFonts w:cstheme="minorHAnsi"/>
          <w:b/>
          <w:bCs/>
          <w:sz w:val="24"/>
          <w:szCs w:val="24"/>
        </w:rPr>
        <w:t>Strany tímto výslovně prohlašují, že si tuto Rámcovou smlouvu před jejím podpisem přečetly, že byla uzavřena po vzájemném projednání a že vyjadřuje jejich pravou a svobodnou vůli, na důkaz čehož připojují níže své podpisy.</w:t>
      </w:r>
    </w:p>
    <w:p w14:paraId="2D244DB2" w14:textId="64C58280" w:rsidR="00A1455B" w:rsidRDefault="00A1455B" w:rsidP="00A1455B">
      <w:pPr>
        <w:pStyle w:val="Bezmezer"/>
        <w:ind w:left="705"/>
        <w:jc w:val="both"/>
        <w:rPr>
          <w:rFonts w:cstheme="minorHAnsi"/>
          <w:b/>
          <w:bCs/>
          <w:sz w:val="24"/>
          <w:szCs w:val="24"/>
        </w:rPr>
      </w:pPr>
    </w:p>
    <w:p w14:paraId="082C445E" w14:textId="77777777" w:rsidR="00A1455B" w:rsidRPr="00A1455B" w:rsidRDefault="00A1455B" w:rsidP="00A1455B">
      <w:pPr>
        <w:pStyle w:val="Bezmezer"/>
        <w:ind w:left="705"/>
        <w:jc w:val="both"/>
        <w:rPr>
          <w:rFonts w:cstheme="minorHAnsi"/>
          <w:b/>
          <w:bCs/>
          <w:sz w:val="24"/>
          <w:szCs w:val="24"/>
        </w:rPr>
      </w:pPr>
    </w:p>
    <w:p w14:paraId="3E009D7A" w14:textId="38A62876" w:rsidR="00A1455B" w:rsidRPr="00A1455B" w:rsidRDefault="00A1455B" w:rsidP="00A1455B">
      <w:pPr>
        <w:pStyle w:val="Bezmezer"/>
        <w:ind w:left="705"/>
        <w:jc w:val="both"/>
        <w:rPr>
          <w:rFonts w:cstheme="minorHAnsi"/>
          <w:b/>
          <w:bCs/>
          <w:sz w:val="24"/>
          <w:szCs w:val="24"/>
        </w:rPr>
      </w:pPr>
    </w:p>
    <w:p w14:paraId="596B1A39" w14:textId="3FF85206" w:rsidR="00A1455B" w:rsidRDefault="00A1455B" w:rsidP="00A1455B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A1455B">
        <w:rPr>
          <w:rFonts w:cstheme="minorHAnsi"/>
          <w:b/>
          <w:bCs/>
          <w:sz w:val="24"/>
          <w:szCs w:val="24"/>
        </w:rPr>
        <w:t xml:space="preserve">Dodavatel: </w:t>
      </w:r>
      <w:r w:rsidRPr="00A1455B">
        <w:rPr>
          <w:rFonts w:cstheme="minorHAnsi"/>
          <w:b/>
          <w:bCs/>
          <w:sz w:val="24"/>
          <w:szCs w:val="24"/>
        </w:rPr>
        <w:tab/>
      </w:r>
      <w:r w:rsidRPr="00A1455B">
        <w:rPr>
          <w:rFonts w:cstheme="minorHAnsi"/>
          <w:b/>
          <w:bCs/>
          <w:sz w:val="24"/>
          <w:szCs w:val="24"/>
        </w:rPr>
        <w:tab/>
      </w:r>
      <w:r w:rsidRPr="00A1455B">
        <w:rPr>
          <w:rFonts w:cstheme="minorHAnsi"/>
          <w:b/>
          <w:bCs/>
          <w:sz w:val="24"/>
          <w:szCs w:val="24"/>
        </w:rPr>
        <w:tab/>
      </w:r>
      <w:r w:rsidRPr="00A1455B">
        <w:rPr>
          <w:rFonts w:cstheme="minorHAnsi"/>
          <w:b/>
          <w:bCs/>
          <w:sz w:val="24"/>
          <w:szCs w:val="24"/>
        </w:rPr>
        <w:tab/>
      </w:r>
      <w:r w:rsidRPr="00A1455B">
        <w:rPr>
          <w:rFonts w:cstheme="minorHAnsi"/>
          <w:b/>
          <w:bCs/>
          <w:sz w:val="24"/>
          <w:szCs w:val="24"/>
        </w:rPr>
        <w:tab/>
      </w:r>
      <w:r w:rsidRPr="00A1455B">
        <w:rPr>
          <w:rFonts w:cstheme="minorHAnsi"/>
          <w:b/>
          <w:bCs/>
          <w:sz w:val="24"/>
          <w:szCs w:val="24"/>
        </w:rPr>
        <w:tab/>
      </w:r>
      <w:r w:rsidRPr="00A1455B">
        <w:rPr>
          <w:rFonts w:cstheme="minorHAnsi"/>
          <w:b/>
          <w:bCs/>
          <w:sz w:val="24"/>
          <w:szCs w:val="24"/>
        </w:rPr>
        <w:tab/>
        <w:t>Odběratel:</w:t>
      </w:r>
    </w:p>
    <w:p w14:paraId="051EDABA" w14:textId="7B11DAEF" w:rsidR="00A1455B" w:rsidRDefault="00A1455B" w:rsidP="00A1455B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A1455B">
        <w:rPr>
          <w:rFonts w:cstheme="minorHAnsi"/>
          <w:b/>
          <w:bCs/>
          <w:sz w:val="24"/>
          <w:szCs w:val="24"/>
        </w:rPr>
        <w:t xml:space="preserve">Plaček </w:t>
      </w:r>
      <w:proofErr w:type="spellStart"/>
      <w:r w:rsidRPr="00A1455B">
        <w:rPr>
          <w:rFonts w:cstheme="minorHAnsi"/>
          <w:b/>
          <w:bCs/>
          <w:sz w:val="24"/>
          <w:szCs w:val="24"/>
        </w:rPr>
        <w:t>Pet</w:t>
      </w:r>
      <w:proofErr w:type="spellEnd"/>
      <w:r w:rsidRPr="00A1455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1455B">
        <w:rPr>
          <w:rFonts w:cstheme="minorHAnsi"/>
          <w:b/>
          <w:bCs/>
          <w:sz w:val="24"/>
          <w:szCs w:val="24"/>
        </w:rPr>
        <w:t>Products</w:t>
      </w:r>
      <w:proofErr w:type="spellEnd"/>
      <w:r w:rsidRPr="00A1455B">
        <w:rPr>
          <w:rFonts w:cstheme="minorHAnsi"/>
          <w:b/>
          <w:bCs/>
          <w:sz w:val="24"/>
          <w:szCs w:val="24"/>
        </w:rPr>
        <w:t xml:space="preserve"> s.r.o.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Domov Mladá, poskytovatel sociálních služeb</w:t>
      </w:r>
    </w:p>
    <w:p w14:paraId="7708F4DD" w14:textId="2DA6ADCF" w:rsidR="00A1455B" w:rsidRDefault="00A1455B" w:rsidP="00A1455B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6E66AAD9" w14:textId="118FF22D" w:rsid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Místo: Poděbrady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Místo: Milovice</w:t>
      </w:r>
    </w:p>
    <w:p w14:paraId="5A4A6EC7" w14:textId="7FF5FBED" w:rsid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Datum:</w:t>
      </w:r>
    </w:p>
    <w:p w14:paraId="1ACEA930" w14:textId="053D541B" w:rsid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</w:p>
    <w:p w14:paraId="1CD05618" w14:textId="6BC98FB6" w:rsid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</w:p>
    <w:p w14:paraId="2E9B2D1C" w14:textId="121E458B" w:rsid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</w:p>
    <w:p w14:paraId="2E5EAC14" w14:textId="77777777" w:rsid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</w:p>
    <w:p w14:paraId="768718BE" w14:textId="37CD36EC" w:rsid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</w:p>
    <w:p w14:paraId="56C0C5FD" w14:textId="3C7854F9" w:rsid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</w:p>
    <w:p w14:paraId="6F60BB08" w14:textId="3CA39CF7" w:rsidR="00A1455B" w:rsidRPr="00A1455B" w:rsidRDefault="00A1455B" w:rsidP="00A1455B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…………………………………………..</w:t>
      </w:r>
    </w:p>
    <w:sectPr w:rsidR="00A1455B" w:rsidRPr="00A1455B" w:rsidSect="00077E85">
      <w:headerReference w:type="default" r:id="rId6"/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E752" w14:textId="77777777" w:rsidR="00F43050" w:rsidRDefault="00F43050" w:rsidP="00077E85">
      <w:pPr>
        <w:spacing w:after="0" w:line="240" w:lineRule="auto"/>
      </w:pPr>
      <w:r>
        <w:separator/>
      </w:r>
    </w:p>
  </w:endnote>
  <w:endnote w:type="continuationSeparator" w:id="0">
    <w:p w14:paraId="2EF39527" w14:textId="77777777" w:rsidR="00F43050" w:rsidRDefault="00F43050" w:rsidP="000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AAAAC+TimesNewRomanPS-BoldMT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AAAAD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MT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1DBB" w14:textId="77777777" w:rsidR="00077E85" w:rsidRDefault="00077E85">
    <w:pPr>
      <w:pStyle w:val="Zpat"/>
      <w:rPr>
        <w:b/>
        <w:bCs/>
        <w:color w:val="808080"/>
        <w:sz w:val="16"/>
        <w:szCs w:val="16"/>
      </w:rPr>
    </w:pPr>
    <w:r>
      <w:rPr>
        <w:b/>
        <w:bCs/>
        <w:color w:val="808080"/>
        <w:sz w:val="16"/>
        <w:szCs w:val="16"/>
      </w:rPr>
      <w:t>Pla</w:t>
    </w:r>
    <w:r>
      <w:rPr>
        <w:rFonts w:ascii="AAAAAC+TimesNewRomanPS-BoldMT" w:hAnsi="AAAAAC+TimesNewRomanPS-BoldMT" w:cs="AAAAAC+TimesNewRomanPS-BoldMT"/>
        <w:b/>
        <w:bCs/>
        <w:color w:val="808080"/>
        <w:sz w:val="16"/>
        <w:szCs w:val="16"/>
      </w:rPr>
      <w:t>č</w:t>
    </w:r>
    <w:r>
      <w:rPr>
        <w:b/>
        <w:bCs/>
        <w:color w:val="808080"/>
        <w:sz w:val="16"/>
        <w:szCs w:val="16"/>
      </w:rPr>
      <w:t xml:space="preserve">ek </w:t>
    </w:r>
    <w:proofErr w:type="spellStart"/>
    <w:r>
      <w:rPr>
        <w:b/>
        <w:bCs/>
        <w:color w:val="808080"/>
        <w:sz w:val="16"/>
        <w:szCs w:val="16"/>
      </w:rPr>
      <w:t>Pet</w:t>
    </w:r>
    <w:proofErr w:type="spellEnd"/>
    <w:r>
      <w:rPr>
        <w:b/>
        <w:bCs/>
        <w:color w:val="808080"/>
        <w:sz w:val="16"/>
        <w:szCs w:val="16"/>
      </w:rPr>
      <w:t xml:space="preserve"> </w:t>
    </w:r>
    <w:proofErr w:type="spellStart"/>
    <w:r>
      <w:rPr>
        <w:b/>
        <w:bCs/>
        <w:color w:val="808080"/>
        <w:sz w:val="16"/>
        <w:szCs w:val="16"/>
      </w:rPr>
      <w:t>Products</w:t>
    </w:r>
    <w:proofErr w:type="spellEnd"/>
    <w:r>
      <w:rPr>
        <w:b/>
        <w:bCs/>
        <w:color w:val="808080"/>
        <w:sz w:val="16"/>
        <w:szCs w:val="16"/>
      </w:rPr>
      <w:t xml:space="preserve"> s.r.o. </w:t>
    </w:r>
  </w:p>
  <w:p w14:paraId="1F9E6E20" w14:textId="14A4BF50" w:rsidR="00077E85" w:rsidRDefault="00077E85">
    <w:pPr>
      <w:pStyle w:val="Zpat"/>
    </w:pPr>
    <w:r>
      <w:rPr>
        <w:rFonts w:ascii="AAAAAD+TimesNewRomanPSMT" w:hAnsi="AAAAAD+TimesNewRomanPSMT" w:cs="AAAAAD+TimesNewRomanPSMT"/>
        <w:color w:val="808080"/>
        <w:sz w:val="16"/>
        <w:szCs w:val="16"/>
      </w:rPr>
      <w:t>I</w:t>
    </w:r>
    <w:r>
      <w:rPr>
        <w:rFonts w:ascii="AAAAAE+TimesNewRomanPSMT" w:hAnsi="AAAAAE+TimesNewRomanPSMT" w:cs="AAAAAE+TimesNewRomanPSMT"/>
        <w:color w:val="808080"/>
        <w:sz w:val="16"/>
        <w:szCs w:val="16"/>
      </w:rPr>
      <w:t>Č</w:t>
    </w:r>
    <w:r>
      <w:rPr>
        <w:rFonts w:ascii="AAAAAD+TimesNewRomanPSMT" w:hAnsi="AAAAAD+TimesNewRomanPSMT" w:cs="AAAAAD+TimesNewRomanPSMT"/>
        <w:color w:val="808080"/>
        <w:sz w:val="16"/>
        <w:szCs w:val="16"/>
      </w:rPr>
      <w:t>O: 289 95 911, se sídlem Revolu</w:t>
    </w:r>
    <w:r>
      <w:rPr>
        <w:rFonts w:ascii="AAAAAE+TimesNewRomanPSMT" w:hAnsi="AAAAAE+TimesNewRomanPSMT" w:cs="AAAAAE+TimesNewRomanPSMT"/>
        <w:color w:val="808080"/>
        <w:sz w:val="16"/>
        <w:szCs w:val="16"/>
      </w:rPr>
      <w:t>č</w:t>
    </w:r>
    <w:r>
      <w:rPr>
        <w:rFonts w:ascii="AAAAAD+TimesNewRomanPSMT" w:hAnsi="AAAAAD+TimesNewRomanPSMT" w:cs="AAAAAD+TimesNewRomanPSMT"/>
        <w:color w:val="808080"/>
        <w:sz w:val="16"/>
        <w:szCs w:val="16"/>
      </w:rPr>
      <w:t>ní 1381, Pod</w:t>
    </w:r>
    <w:r>
      <w:rPr>
        <w:rFonts w:ascii="AAAAAE+TimesNewRomanPSMT" w:hAnsi="AAAAAE+TimesNewRomanPSMT" w:cs="AAAAAE+TimesNewRomanPSMT"/>
        <w:color w:val="808080"/>
        <w:sz w:val="16"/>
        <w:szCs w:val="16"/>
      </w:rPr>
      <w:t>ě</w:t>
    </w:r>
    <w:r>
      <w:rPr>
        <w:rFonts w:ascii="AAAAAD+TimesNewRomanPSMT" w:hAnsi="AAAAAD+TimesNewRomanPSMT" w:cs="AAAAAD+TimesNewRomanPSMT"/>
        <w:color w:val="808080"/>
        <w:sz w:val="16"/>
        <w:szCs w:val="16"/>
      </w:rPr>
      <w:t>brady – Pod</w:t>
    </w:r>
    <w:r>
      <w:rPr>
        <w:rFonts w:ascii="AAAAAE+TimesNewRomanPSMT" w:hAnsi="AAAAAE+TimesNewRomanPSMT" w:cs="AAAAAE+TimesNewRomanPSMT"/>
        <w:color w:val="808080"/>
        <w:sz w:val="16"/>
        <w:szCs w:val="16"/>
      </w:rPr>
      <w:t>ě</w:t>
    </w:r>
    <w:r>
      <w:rPr>
        <w:rFonts w:ascii="AAAAAD+TimesNewRomanPSMT" w:hAnsi="AAAAAD+TimesNewRomanPSMT" w:cs="AAAAAD+TimesNewRomanPSMT"/>
        <w:color w:val="808080"/>
        <w:sz w:val="16"/>
        <w:szCs w:val="16"/>
      </w:rPr>
      <w:t>brady III, PS</w:t>
    </w:r>
    <w:r>
      <w:rPr>
        <w:rFonts w:ascii="AAAAAE+TimesNewRomanPSMT" w:hAnsi="AAAAAE+TimesNewRomanPSMT" w:cs="AAAAAE+TimesNewRomanPSMT"/>
        <w:color w:val="808080"/>
        <w:sz w:val="16"/>
        <w:szCs w:val="16"/>
      </w:rPr>
      <w:t xml:space="preserve">Č </w:t>
    </w:r>
    <w:r>
      <w:rPr>
        <w:rFonts w:ascii="AAAAAD+TimesNewRomanPSMT" w:hAnsi="AAAAAD+TimesNewRomanPSMT" w:cs="AAAAAD+TimesNewRomanPSMT"/>
        <w:color w:val="808080"/>
        <w:sz w:val="16"/>
        <w:szCs w:val="16"/>
      </w:rPr>
      <w:t>290 01</w:t>
    </w:r>
  </w:p>
  <w:p w14:paraId="36BF0CAE" w14:textId="77777777" w:rsidR="00077E85" w:rsidRDefault="00077E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AC15" w14:textId="77777777" w:rsidR="00F43050" w:rsidRDefault="00F43050" w:rsidP="00077E85">
      <w:pPr>
        <w:spacing w:after="0" w:line="240" w:lineRule="auto"/>
      </w:pPr>
      <w:r>
        <w:separator/>
      </w:r>
    </w:p>
  </w:footnote>
  <w:footnote w:type="continuationSeparator" w:id="0">
    <w:p w14:paraId="2FB0B95D" w14:textId="77777777" w:rsidR="00F43050" w:rsidRDefault="00F43050" w:rsidP="0007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9A72" w14:textId="03FD9BD1" w:rsidR="00077E85" w:rsidRDefault="00077E85">
    <w:pPr>
      <w:pStyle w:val="Zhlav"/>
    </w:pPr>
    <w:r w:rsidRPr="00077E85">
      <w:rPr>
        <w:noProof/>
      </w:rPr>
      <w:drawing>
        <wp:anchor distT="0" distB="0" distL="114300" distR="114300" simplePos="0" relativeHeight="251658240" behindDoc="0" locked="0" layoutInCell="1" allowOverlap="1" wp14:anchorId="2075EC37" wp14:editId="0CD5E0BD">
          <wp:simplePos x="0" y="0"/>
          <wp:positionH relativeFrom="column">
            <wp:posOffset>-23495</wp:posOffset>
          </wp:positionH>
          <wp:positionV relativeFrom="paragraph">
            <wp:posOffset>-354330</wp:posOffset>
          </wp:positionV>
          <wp:extent cx="1209675" cy="426614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85"/>
    <w:rsid w:val="00031BD0"/>
    <w:rsid w:val="00077E85"/>
    <w:rsid w:val="00282DE2"/>
    <w:rsid w:val="003720C1"/>
    <w:rsid w:val="007258FD"/>
    <w:rsid w:val="007D03C9"/>
    <w:rsid w:val="00A1455B"/>
    <w:rsid w:val="00B07895"/>
    <w:rsid w:val="00C24C3D"/>
    <w:rsid w:val="00C75B5D"/>
    <w:rsid w:val="00DD4F5C"/>
    <w:rsid w:val="00E723BF"/>
    <w:rsid w:val="00F4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15401"/>
  <w15:chartTrackingRefBased/>
  <w15:docId w15:val="{2D4B086B-19BB-47CC-82BE-9DBE4A8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E85"/>
  </w:style>
  <w:style w:type="paragraph" w:styleId="Zpat">
    <w:name w:val="footer"/>
    <w:basedOn w:val="Normln"/>
    <w:link w:val="ZpatChar"/>
    <w:uiPriority w:val="99"/>
    <w:unhideWhenUsed/>
    <w:rsid w:val="00077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E85"/>
  </w:style>
  <w:style w:type="paragraph" w:styleId="Bezmezer">
    <w:name w:val="No Spacing"/>
    <w:uiPriority w:val="1"/>
    <w:qFormat/>
    <w:rsid w:val="00C75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1359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Vrbová</dc:creator>
  <cp:keywords/>
  <dc:description/>
  <cp:lastModifiedBy>Lucie Vrbová</cp:lastModifiedBy>
  <cp:revision>3</cp:revision>
  <dcterms:created xsi:type="dcterms:W3CDTF">2025-04-02T06:01:00Z</dcterms:created>
  <dcterms:modified xsi:type="dcterms:W3CDTF">2025-04-02T06:03:00Z</dcterms:modified>
</cp:coreProperties>
</file>