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DEBF0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</w:t>
      </w:r>
      <w:r w:rsidR="00035ACF">
        <w:rPr>
          <w:rFonts w:ascii="Arial" w:hAnsi="Arial" w:cs="Arial"/>
          <w:b/>
          <w:bCs/>
          <w:sz w:val="28"/>
          <w:szCs w:val="28"/>
        </w:rPr>
        <w:t>á</w:t>
      </w:r>
    </w:p>
    <w:p w14:paraId="3FB131AD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0BCB8B60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AE86F8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7C8833" w14:textId="77777777" w:rsidR="00E318F9" w:rsidRDefault="007F48E3">
      <w:pPr>
        <w:ind w:left="2832" w:firstLine="708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Smlouva č. ……………………………</w:t>
      </w:r>
      <w:proofErr w:type="gramStart"/>
      <w:r>
        <w:rPr>
          <w:rFonts w:ascii="Arial" w:hAnsi="Arial" w:cs="Arial"/>
          <w:b/>
          <w:sz w:val="22"/>
        </w:rPr>
        <w:t>…….</w:t>
      </w:r>
      <w:proofErr w:type="gramEnd"/>
      <w:r>
        <w:rPr>
          <w:rFonts w:ascii="Arial" w:hAnsi="Arial" w:cs="Arial"/>
          <w:b/>
          <w:sz w:val="22"/>
        </w:rPr>
        <w:t>.</w:t>
      </w:r>
    </w:p>
    <w:p w14:paraId="2881D788" w14:textId="77777777" w:rsidR="00E318F9" w:rsidRDefault="00E318F9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</w:p>
    <w:p w14:paraId="18364F6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7691EC53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5724234A" w14:textId="77777777" w:rsidR="00E318F9" w:rsidRDefault="00E318F9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</w:p>
    <w:p w14:paraId="206AA088" w14:textId="77777777" w:rsidR="00E318F9" w:rsidRDefault="007F48E3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Orlová</w:t>
      </w:r>
    </w:p>
    <w:p w14:paraId="359D424C" w14:textId="6294000C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 w:rsidR="00FE2B55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FE2B55">
        <w:rPr>
          <w:rFonts w:ascii="Arial" w:hAnsi="Arial" w:cs="Arial"/>
          <w:sz w:val="22"/>
          <w:szCs w:val="22"/>
        </w:rPr>
        <w:t>Brzyszkowskou</w:t>
      </w:r>
      <w:proofErr w:type="spellEnd"/>
      <w:r>
        <w:rPr>
          <w:rFonts w:ascii="Arial" w:hAnsi="Arial" w:cs="Arial"/>
          <w:sz w:val="22"/>
          <w:szCs w:val="22"/>
        </w:rPr>
        <w:t>, starost</w:t>
      </w:r>
      <w:r w:rsidR="00FE2B5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6D051C9F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Osvobození 796, Lutyně, 735 14 Orlová</w:t>
      </w:r>
    </w:p>
    <w:p w14:paraId="7827F6BF" w14:textId="2AE558DC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</w:t>
      </w:r>
      <w:r w:rsidR="00480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</w:t>
      </w:r>
      <w:r w:rsidR="00480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577</w:t>
      </w:r>
    </w:p>
    <w:p w14:paraId="3031E850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ČSOB, a.s.</w:t>
      </w:r>
    </w:p>
    <w:p w14:paraId="05AA0056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103957163/0300</w:t>
      </w:r>
    </w:p>
    <w:p w14:paraId="65DB8A5A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325797DB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65697B62" w14:textId="77777777" w:rsidR="00E318F9" w:rsidRPr="00A2387D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AAF3BBD" w14:textId="77777777" w:rsidR="00E318F9" w:rsidRPr="00A2387D" w:rsidRDefault="00E318F9">
      <w:pPr>
        <w:rPr>
          <w:rFonts w:ascii="Arial" w:hAnsi="Arial" w:cs="Arial"/>
          <w:sz w:val="22"/>
          <w:szCs w:val="22"/>
        </w:rPr>
      </w:pPr>
    </w:p>
    <w:p w14:paraId="4F939308" w14:textId="18EBDBA5" w:rsidR="00E318F9" w:rsidRPr="00A2387D" w:rsidRDefault="00A2387D">
      <w:pPr>
        <w:rPr>
          <w:rFonts w:ascii="Arial" w:hAnsi="Arial" w:cs="Arial"/>
          <w:b/>
          <w:bCs/>
          <w:sz w:val="22"/>
          <w:szCs w:val="22"/>
        </w:rPr>
      </w:pPr>
      <w:r w:rsidRPr="00A2387D">
        <w:rPr>
          <w:rFonts w:ascii="Arial" w:hAnsi="Arial" w:cs="Arial"/>
          <w:b/>
          <w:bCs/>
          <w:sz w:val="22"/>
          <w:szCs w:val="22"/>
        </w:rPr>
        <w:t xml:space="preserve">Krasobruslařský klub </w:t>
      </w:r>
      <w:proofErr w:type="gramStart"/>
      <w:r w:rsidRPr="00A2387D">
        <w:rPr>
          <w:rFonts w:ascii="Arial" w:hAnsi="Arial" w:cs="Arial"/>
          <w:b/>
          <w:bCs/>
          <w:sz w:val="22"/>
          <w:szCs w:val="22"/>
        </w:rPr>
        <w:t xml:space="preserve">Orlová  </w:t>
      </w:r>
      <w:proofErr w:type="spellStart"/>
      <w:r w:rsidRPr="00A2387D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A2387D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6B7C7DC9" w14:textId="0748F60D" w:rsidR="00E318F9" w:rsidRPr="00A2387D" w:rsidRDefault="007F48E3">
      <w:pPr>
        <w:rPr>
          <w:rFonts w:ascii="Arial" w:hAnsi="Arial" w:cs="Arial"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 xml:space="preserve">právní forma: </w:t>
      </w:r>
      <w:r w:rsidR="00A2387D" w:rsidRPr="00A2387D">
        <w:rPr>
          <w:rFonts w:ascii="Arial" w:hAnsi="Arial" w:cs="Arial"/>
          <w:sz w:val="22"/>
          <w:szCs w:val="22"/>
        </w:rPr>
        <w:t>spolek</w:t>
      </w:r>
    </w:p>
    <w:p w14:paraId="21F266BB" w14:textId="2CE5B244" w:rsidR="00E318F9" w:rsidRPr="00A2387D" w:rsidRDefault="007F48E3">
      <w:pPr>
        <w:rPr>
          <w:rFonts w:ascii="Arial" w:hAnsi="Arial" w:cs="Arial"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 xml:space="preserve">zastoupen </w:t>
      </w:r>
      <w:r w:rsidR="00A2387D" w:rsidRPr="00A2387D">
        <w:rPr>
          <w:rFonts w:ascii="Arial" w:hAnsi="Arial" w:cs="Arial"/>
          <w:sz w:val="22"/>
          <w:szCs w:val="22"/>
        </w:rPr>
        <w:t>Renátou Hečkovou, předsedou</w:t>
      </w:r>
    </w:p>
    <w:p w14:paraId="6B5BDE2F" w14:textId="78B8FF69" w:rsidR="00E318F9" w:rsidRPr="00A2387D" w:rsidRDefault="007F48E3">
      <w:pPr>
        <w:rPr>
          <w:rFonts w:ascii="Arial" w:hAnsi="Arial" w:cs="Arial"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>adresa:</w:t>
      </w:r>
      <w:r w:rsidRPr="00A2387D">
        <w:rPr>
          <w:rStyle w:val="Siln"/>
          <w:rFonts w:ascii="Arial" w:hAnsi="Arial" w:cs="Arial"/>
          <w:sz w:val="22"/>
          <w:szCs w:val="22"/>
        </w:rPr>
        <w:t xml:space="preserve"> </w:t>
      </w:r>
      <w:r w:rsidR="00A2387D" w:rsidRPr="00A2387D">
        <w:rPr>
          <w:rFonts w:ascii="Arial" w:hAnsi="Arial" w:cs="Arial"/>
          <w:sz w:val="22"/>
          <w:szCs w:val="22"/>
        </w:rPr>
        <w:t>Masarykova Třída 958, Lutyně, 735 14 Orlová</w:t>
      </w:r>
    </w:p>
    <w:p w14:paraId="3E67B180" w14:textId="7871219A" w:rsidR="00E318F9" w:rsidRPr="00A2387D" w:rsidRDefault="007F48E3">
      <w:pPr>
        <w:rPr>
          <w:rFonts w:ascii="Arial" w:hAnsi="Arial" w:cs="Arial"/>
          <w:bCs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 xml:space="preserve">IČO: </w:t>
      </w:r>
      <w:r w:rsidR="00A2387D" w:rsidRPr="00A2387D">
        <w:rPr>
          <w:rFonts w:ascii="Arial" w:hAnsi="Arial" w:cs="Arial"/>
          <w:bCs/>
          <w:sz w:val="22"/>
          <w:szCs w:val="22"/>
        </w:rPr>
        <w:t>646 30 447</w:t>
      </w:r>
    </w:p>
    <w:p w14:paraId="2B11623A" w14:textId="20F25B0A" w:rsidR="00E318F9" w:rsidRPr="00A2387D" w:rsidRDefault="007F48E3">
      <w:pPr>
        <w:rPr>
          <w:rFonts w:ascii="Arial" w:hAnsi="Arial" w:cs="Arial"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 xml:space="preserve">bankovní spojení: </w:t>
      </w:r>
      <w:r w:rsidR="00A2387D" w:rsidRPr="00A2387D">
        <w:rPr>
          <w:rFonts w:ascii="Arial" w:hAnsi="Arial" w:cs="Arial"/>
          <w:sz w:val="22"/>
          <w:szCs w:val="22"/>
        </w:rPr>
        <w:t>Komerční banka, a.s.</w:t>
      </w:r>
    </w:p>
    <w:p w14:paraId="54F22608" w14:textId="347B3A74" w:rsidR="00E318F9" w:rsidRPr="00A2387D" w:rsidRDefault="007F48E3">
      <w:pPr>
        <w:rPr>
          <w:rFonts w:ascii="Arial" w:hAnsi="Arial" w:cs="Arial"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 xml:space="preserve">číslo účtu: </w:t>
      </w:r>
      <w:r w:rsidR="00A2387D" w:rsidRPr="00A2387D">
        <w:rPr>
          <w:rFonts w:ascii="Arial" w:hAnsi="Arial" w:cs="Arial"/>
          <w:sz w:val="22"/>
          <w:szCs w:val="22"/>
        </w:rPr>
        <w:t>27-191170247/0100</w:t>
      </w:r>
    </w:p>
    <w:p w14:paraId="68A9EE60" w14:textId="77777777" w:rsidR="00E318F9" w:rsidRPr="00A2387D" w:rsidRDefault="007F48E3">
      <w:pPr>
        <w:rPr>
          <w:rFonts w:ascii="Arial" w:hAnsi="Arial" w:cs="Arial"/>
          <w:sz w:val="22"/>
          <w:szCs w:val="22"/>
        </w:rPr>
      </w:pPr>
      <w:r w:rsidRPr="00A2387D">
        <w:rPr>
          <w:rFonts w:ascii="Arial" w:hAnsi="Arial" w:cs="Arial"/>
          <w:sz w:val="22"/>
          <w:szCs w:val="22"/>
        </w:rPr>
        <w:t xml:space="preserve"> (dále jen „příjemce“)</w:t>
      </w:r>
    </w:p>
    <w:p w14:paraId="5A2AC12D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3541AF32" w14:textId="77777777" w:rsidR="00E318F9" w:rsidRDefault="007F48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33EACE7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1FF284F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44BA355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USTANOVENÍ</w:t>
      </w:r>
    </w:p>
    <w:p w14:paraId="369C3D5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EB09EE" w14:textId="77777777" w:rsidR="00E318F9" w:rsidRDefault="007F48E3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2DE8AD9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57D07F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DE667CA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5B286714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075B09" w14:textId="77777777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této smlouvy je poskytnutí účelově vymezené dotace příjemci z rozpočtu poskytovatele (dále jen „dotace"). Dotace podle této smlouvy je veřejná finanční podpora poskytnutá z rozpočtu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D3C29E9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20879D" w14:textId="77777777" w:rsidR="00E318F9" w:rsidRDefault="007F48E3" w:rsidP="008B63AA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Poskytnutí dotace je v souladu se zákonem č.128/2000 Sb., o obcích (obecní zřízení), ve znění pozdějších předpisů, (dále jen „zákon o obcích“), a zákonem č. 250/2000 Sb., o rozpočtových pravidlech územních rozpočtů, ve znění pozdějších předpisů, (dále jen „zákon o rozpočtových pravidlech“).</w:t>
      </w:r>
    </w:p>
    <w:p w14:paraId="72FF862C" w14:textId="77777777" w:rsidR="00E318F9" w:rsidRDefault="00E318F9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CB34A7" w14:textId="0F1CADCA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Dotace je veřejnou finanční podporou ve smyslu zákona č. 320/2001 Sb., o finanční kontrole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veřejné správě a o změně některých zákonů (dále jen „zákon o finanční kontrole“), ve znění pozdějších předpisů, se všemi právními důsledky s tím spojenými, a vztahují se na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ni všechna ustanovení tohoto zákona.</w:t>
      </w:r>
    </w:p>
    <w:p w14:paraId="41AFCF72" w14:textId="77777777" w:rsidR="00E318F9" w:rsidRDefault="00E318F9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10B62E0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81034F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A VÝŠE DOTACE</w:t>
      </w:r>
    </w:p>
    <w:p w14:paraId="60CD5FB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DEDEB4" w14:textId="48D4C84F" w:rsidR="00E318F9" w:rsidRDefault="007F48E3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Poskytovatel dotace podle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této smlouvy poskytne příjemci dotace neinvestiční účelovou dotaci ve</w:t>
      </w:r>
      <w:r w:rsidR="00601AAC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výši </w:t>
      </w:r>
      <w:r w:rsidR="00A2387D" w:rsidRPr="00A2387D">
        <w:rPr>
          <w:rFonts w:ascii="Arial" w:eastAsia="Calibri" w:hAnsi="Arial" w:cs="Arial"/>
          <w:b/>
          <w:sz w:val="22"/>
          <w:szCs w:val="22"/>
          <w:lang w:eastAsia="en-US"/>
        </w:rPr>
        <w:t>65 000</w:t>
      </w:r>
      <w:r w:rsidRPr="00A2387D">
        <w:rPr>
          <w:rFonts w:ascii="Arial" w:eastAsia="Calibri" w:hAnsi="Arial" w:cs="Arial"/>
          <w:b/>
          <w:sz w:val="22"/>
          <w:szCs w:val="22"/>
          <w:lang w:eastAsia="en-US"/>
        </w:rPr>
        <w:t xml:space="preserve"> Kč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(slovy: </w:t>
      </w:r>
      <w:r w:rsidR="00A2387D" w:rsidRPr="00A2387D">
        <w:rPr>
          <w:rFonts w:ascii="Arial" w:eastAsia="Calibri" w:hAnsi="Arial" w:cs="Arial"/>
          <w:sz w:val="22"/>
          <w:szCs w:val="22"/>
          <w:lang w:eastAsia="en-US"/>
        </w:rPr>
        <w:t>šedesát pět tisíc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korun českých) v roce 202</w:t>
      </w:r>
      <w:r w:rsidR="00E045C2" w:rsidRPr="00A2387D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k následujícímu účelu: </w:t>
      </w:r>
      <w:r w:rsidRPr="00A2387D">
        <w:rPr>
          <w:rFonts w:ascii="Arial" w:eastAsia="Calibri" w:hAnsi="Arial" w:cs="Arial"/>
          <w:b/>
          <w:sz w:val="22"/>
          <w:szCs w:val="22"/>
          <w:lang w:eastAsia="en-US"/>
        </w:rPr>
        <w:t xml:space="preserve">„Podpora celoroční sportovní činnosti </w:t>
      </w:r>
      <w:r w:rsidR="00A2387D" w:rsidRPr="00A2387D">
        <w:rPr>
          <w:rFonts w:ascii="Arial" w:eastAsia="Calibri" w:hAnsi="Arial" w:cs="Arial"/>
          <w:b/>
          <w:sz w:val="22"/>
          <w:szCs w:val="22"/>
          <w:lang w:eastAsia="en-US"/>
        </w:rPr>
        <w:t xml:space="preserve">Krasobruslařský klub Orlová </w:t>
      </w:r>
      <w:proofErr w:type="spellStart"/>
      <w:r w:rsidR="00A2387D" w:rsidRPr="00A2387D">
        <w:rPr>
          <w:rFonts w:ascii="Arial" w:eastAsia="Calibri" w:hAnsi="Arial" w:cs="Arial"/>
          <w:b/>
          <w:sz w:val="22"/>
          <w:szCs w:val="22"/>
          <w:lang w:eastAsia="en-US"/>
        </w:rPr>
        <w:t>z.s</w:t>
      </w:r>
      <w:proofErr w:type="spellEnd"/>
      <w:r w:rsidR="00A2387D" w:rsidRPr="00A2387D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A2387D">
        <w:rPr>
          <w:rFonts w:ascii="Arial" w:eastAsia="Calibri" w:hAnsi="Arial" w:cs="Arial"/>
          <w:b/>
          <w:sz w:val="22"/>
          <w:szCs w:val="22"/>
          <w:lang w:eastAsia="en-US"/>
        </w:rPr>
        <w:t xml:space="preserve">" 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na základě vyhlášeného dotačního programu č.</w:t>
      </w:r>
      <w:r w:rsidR="00EA1E86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4/202</w:t>
      </w:r>
      <w:r w:rsidR="00E045C2" w:rsidRPr="00A2387D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- Podpora celoroční činnosti sportovních organizací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>/sportovců.</w:t>
      </w:r>
    </w:p>
    <w:p w14:paraId="1E1281B3" w14:textId="77777777" w:rsidR="00E318F9" w:rsidRDefault="00E318F9">
      <w:pPr>
        <w:ind w:left="426"/>
        <w:rPr>
          <w:rFonts w:ascii="Arial" w:hAnsi="Arial" w:cs="Arial"/>
        </w:rPr>
      </w:pPr>
    </w:p>
    <w:p w14:paraId="47066F7E" w14:textId="77777777" w:rsidR="00E318F9" w:rsidRDefault="007F48E3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Peněžní prostředky budou bezhotovostně převedeny na účet příjemce, uvedený v čl. I. SMLUVNÍ STRANY, do 14 kalendářních dní od oboustranného podpisu této smlouvy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5CF008D7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7F9018A9" w14:textId="6996AB89" w:rsidR="00E318F9" w:rsidRDefault="007F48E3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případě, že bude platnost smlouvy ukončena předčasně v průběhu roku 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>, bude neinvestiční dotace alikvotně zkrácena a vypočtený přeplatek je příjemce dotace povinen vrátit do 14 kalendářních dní na účet poskytovatele dotace. Tímto ustanovením není dotčená platnost čl.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V. PODMÍNKY POUŽITÍ DOTACE, odst. 3. </w:t>
      </w:r>
    </w:p>
    <w:p w14:paraId="560F1590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BB0D0E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71F0A07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3748A88F" w14:textId="77777777" w:rsidR="00E318F9" w:rsidRDefault="00E318F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7739C2" w14:textId="77777777" w:rsidR="00E318F9" w:rsidRDefault="007F48E3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použít dotaci v souladu s účelem této smlouvy k úhradě uznatelných nákladů prokazatelně souvisejících s realizací účelu dotace dle čl. IV. této smlouvy, a to výhradně na:</w:t>
      </w:r>
    </w:p>
    <w:p w14:paraId="6DEFB01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energie, vodné, stočné, spotřeba plynu a jiná média,</w:t>
      </w:r>
    </w:p>
    <w:p w14:paraId="1F42B89F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nájem sportovišť a objektů na území města Orlové,</w:t>
      </w:r>
    </w:p>
    <w:p w14:paraId="5DB17F01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odměny trenérům na základě trenérských nebo zaměstnaneckých smluv (u zaměstnaneckých smluv včetně povinných odvodů),</w:t>
      </w:r>
    </w:p>
    <w:p w14:paraId="7D6241FF" w14:textId="77777777" w:rsidR="00E318F9" w:rsidRPr="000D6033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odměny rozhodčím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>, určeným delegátům, komisařům,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zdravotníkům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a pořadatelům na utkáních,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turnajích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nebo sportovních akcích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pořádaných příjemcem dotace,</w:t>
      </w:r>
    </w:p>
    <w:p w14:paraId="3D8ABE69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náklady spojené s dopravou hráčů a organizačního týmu na soutěžní a přátelských utkání včetně turnajů (v případě použití osobních vozidel max. 5 Kč/1 km),</w:t>
      </w:r>
    </w:p>
    <w:p w14:paraId="0EB795D8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startovné a licenční poplatky spojené s účastí v ligových soutěžích,</w:t>
      </w:r>
    </w:p>
    <w:p w14:paraId="33FC2ED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nocležné na soutěžních a přátelských utkání včetně turnajů (max. 350 Kč/1 noc/1 osoba),</w:t>
      </w:r>
    </w:p>
    <w:p w14:paraId="6C9D26B2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nákup a oprava výzbroje a výstroje sportovců včetně nákupu materiálu nutného k tréninkovým j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ednotkám hráčů,</w:t>
      </w:r>
    </w:p>
    <w:p w14:paraId="63E276E5" w14:textId="77777777" w:rsidR="00EA1E86" w:rsidRPr="000D6033" w:rsidRDefault="00EA1E8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propagace a nákup cen</w:t>
      </w:r>
      <w:r w:rsidR="000D6033">
        <w:rPr>
          <w:rFonts w:ascii="Arial" w:eastAsia="Calibri" w:hAnsi="Arial" w:cs="Arial"/>
          <w:sz w:val="22"/>
          <w:szCs w:val="22"/>
          <w:lang w:eastAsia="en-US"/>
        </w:rPr>
        <w:t xml:space="preserve"> při pořádání sportovních akcí a turnajů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1F80F5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70BEB7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Uznatelným nákladem pro účely této smlouvy je náklad, který lze financovat z dotace poskytnuté touto smlouvou při splnění následujících podmínek:</w:t>
      </w:r>
    </w:p>
    <w:p w14:paraId="14514AFA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vznikl příjemci a byl příjemcem uhrazen v období od 01. ledna do 31. prosince daného roku, na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který byla dotace poskytnuta příjemci dotace (v případě že bude platnost smlouvy </w:t>
      </w: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ukončena předčasně v průběhu roku, budou uznány doklady pouze do doby ukončení platnosti smlouvy),</w:t>
      </w:r>
    </w:p>
    <w:p w14:paraId="0DB610CC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byl vynaložen v souladu s účelovým určením dle čl. IV. a ostatními podmínkami této smlouvy,</w:t>
      </w:r>
    </w:p>
    <w:p w14:paraId="1CAF0986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vyhovuje zásadám účelnosti, efektivnosti a hospodárnosti dle zákona o finanční kontrole,</w:t>
      </w:r>
    </w:p>
    <w:p w14:paraId="020D21FD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byl zanesen v účetnictví příjemce, je identifikovatelný a podložený ostatními záznamy.</w:t>
      </w:r>
    </w:p>
    <w:p w14:paraId="4CDDA540" w14:textId="77777777" w:rsidR="00E318F9" w:rsidRDefault="00E318F9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E1966E2" w14:textId="77777777" w:rsidR="00E318F9" w:rsidRDefault="007F48E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ostatní náklady, vynaložené příjemcem, jsou z hlediska této dotace považovány za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náklady neuznatelné.</w:t>
      </w:r>
    </w:p>
    <w:p w14:paraId="5F8CECC0" w14:textId="77777777" w:rsidR="00E318F9" w:rsidRDefault="00E318F9">
      <w:pPr>
        <w:jc w:val="both"/>
        <w:rPr>
          <w:rFonts w:ascii="Arial" w:hAnsi="Arial" w:cs="Arial"/>
          <w:sz w:val="22"/>
          <w:szCs w:val="22"/>
        </w:rPr>
      </w:pPr>
    </w:p>
    <w:p w14:paraId="3C637D4F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Neoprávněné použití dotace nebo zadržení peněžních prostředků poskytnutých z rozpočtu poskytovatele jsou porušením rozpočtové kázně podle § 22 zákona o rozpočtových pravidlech. V případě porušení rozpočtové kázně bude postupováno dle zákona o rozpočtových pravidlech.</w:t>
      </w:r>
    </w:p>
    <w:p w14:paraId="4FCB0754" w14:textId="77777777" w:rsidR="00E318F9" w:rsidRDefault="00E318F9">
      <w:pPr>
        <w:spacing w:after="200" w:line="276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AE5143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145F8CC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74666A05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FE3FB3" w14:textId="76F0956D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Poskytovatel prohlašuje, že poskytnutí dotace podle této smlouvy je poskytnutím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 smyslu Nařízení Komise (EU) č. 1407/2013 ze dne 18.12.2013, o použití článků 107 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108 Smlouvy o fungování Evropské unie na podporu de 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(publikováno v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Úředním věstníku Evropské unie dne 24.12.2013 v částce L 352). Za den poskytnutí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podle této smlouvy se považuje den, kdy tato smlouva nabude účinnosti.</w:t>
      </w:r>
    </w:p>
    <w:p w14:paraId="0FDE7B0A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522ED45" w14:textId="7B7706DE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Příjemce prohlašuje, že nenastaly okolnosti, které by vylučovaly aplikaci pravidla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Nařízení Komise (EU) č. 1407/2013, zejména že poskytnutím této dotace nedojde k takové kumulaci s jinou veřejnou podporou ohledně týchž nákladů, která by způsobila překročení povolené míry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a že v posledních 3 účetních obdobích příjemci, resp. subjektům, které jsou spolu s příjemcem dle čl. 2 odst. 2 Nařízení Komise (EU) č. 1407/2013 považovány za jeden podnik, nebyla poskytnuta podpora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která by v součtu s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podporou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poskytovanou na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základě této smlouvy překročila maximální částku povolenou právními předpisy Evropské unie upravujícími oblast veřejné podpory.</w:t>
      </w:r>
    </w:p>
    <w:p w14:paraId="07F56A94" w14:textId="77777777" w:rsidR="00E318F9" w:rsidRDefault="00E318F9">
      <w:pPr>
        <w:pStyle w:val="Odstavecseseznamem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D066291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Smluvní strany se zavazují v rámci uzavřeného smluvního vztahu dodržovat Nařízení Evropského parlamentu a Rady (EU) 2016/679 ze dne 27.04.2016 o ochraně fyzických osob v souvislosti se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zpracováním osobních údajů a o volném pohybu těchto údajů a o zrušení směrnice 95/46/ES (obecné nařízení o ochraně osobních údajů), (dále jen „GDPR“) a s tímto souvisejícího zákona č.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tyto ve smlouvě uvedeny a prohlašují, že nakládání se smlouvou obsahující osobní údaje bude odpovídat povinnostem vyplývajícím z GDPR a Zákona.</w:t>
      </w:r>
    </w:p>
    <w:p w14:paraId="2900345C" w14:textId="77777777" w:rsidR="00E318F9" w:rsidRDefault="00E318F9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E5859E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se zavazuje:</w:t>
      </w:r>
    </w:p>
    <w:p w14:paraId="0B43A9DC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propagovat poskytovatele dotace – město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na svých sportovištích, ve svých prostorách, na svých webových stránkách a na akcích konaných na území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DD81DE3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řídit se při vyúčtování poskytnuté dotace touto smlouvou a právními předpisy,</w:t>
      </w:r>
    </w:p>
    <w:p w14:paraId="26FF5373" w14:textId="2594370F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předložit odboru městských financí a školství Městského úřadu Orlová podrobné vyúčtování poskytnuté dotace na účel dle čl. IV této smlouvy za uplynulý kalendářní rok nejpozději v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termínu do 31.03.202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6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312F48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vyúčtování dotace doložit soupisem všech prvotních účetních a dalších dokladů prokazujících její čerpání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předepsaných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formulářích a originálními účetními doklady v souladu se zákonem č. 563/1991 Sb., o účetnictví, v platném znění.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Každý předložený doklad musí mít dvě části, a to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podklad k platbě (faktura/účtenka/smlouva) a doklad o zaplacení (výdajový pokladní doklad/výpis z účtu). Dotaci nelze vyúčtovat formou vzájemného zápočtu pohledávek a závazků,</w:t>
      </w:r>
    </w:p>
    <w:p w14:paraId="75EFA216" w14:textId="6A564D2F" w:rsidR="00E318F9" w:rsidRPr="00A2387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 základě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výzvy předkládat požadované informace poskytovateli dotace (finanční rozpočet klubu, členská </w:t>
      </w:r>
      <w:r w:rsidR="00FE2B55" w:rsidRPr="00A2387D">
        <w:rPr>
          <w:rFonts w:ascii="Arial" w:eastAsia="Calibri" w:hAnsi="Arial" w:cs="Arial"/>
          <w:sz w:val="22"/>
          <w:szCs w:val="22"/>
          <w:lang w:eastAsia="en-US"/>
        </w:rPr>
        <w:t>základna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apod.),</w:t>
      </w:r>
    </w:p>
    <w:p w14:paraId="052A2A65" w14:textId="77777777" w:rsidR="00E318F9" w:rsidRPr="00A2387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87D">
        <w:rPr>
          <w:rFonts w:ascii="Arial" w:eastAsia="Calibri" w:hAnsi="Arial" w:cs="Arial"/>
          <w:sz w:val="22"/>
          <w:szCs w:val="22"/>
          <w:lang w:eastAsia="en-US"/>
        </w:rPr>
        <w:t>na požádání poskytovatele dotace umožnit jemu, či jím zřízeným orgánům, kdykoli nahlédnout do účetnictví o hospodaření klubu, včetně podání vysvětlení,</w:t>
      </w:r>
    </w:p>
    <w:p w14:paraId="3DA916AB" w14:textId="77777777" w:rsidR="00E318F9" w:rsidRPr="00A2387D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87D">
        <w:rPr>
          <w:rFonts w:ascii="Arial" w:eastAsia="Calibri" w:hAnsi="Arial" w:cs="Arial"/>
          <w:sz w:val="22"/>
          <w:szCs w:val="22"/>
          <w:lang w:eastAsia="en-US"/>
        </w:rPr>
        <w:t>vést prokazatelnou evidenci členských příspěvků,</w:t>
      </w:r>
    </w:p>
    <w:p w14:paraId="1AD77DE2" w14:textId="0D6FC516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oznámit poskytovateli dotace existenci jakýchkoliv řízení ohledně platební neschopnosti vedených </w:t>
      </w:r>
      <w:r>
        <w:rPr>
          <w:rFonts w:ascii="Arial" w:eastAsia="Calibri" w:hAnsi="Arial" w:cs="Arial"/>
          <w:sz w:val="22"/>
          <w:szCs w:val="22"/>
          <w:lang w:eastAsia="en-US"/>
        </w:rPr>
        <w:t>proti příjemci dotace, anebo jakýchkoliv soudních či jiných právních postupů či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řízení, které mohou být proti příjemci dotace zahájeny (např. přeměna, likvidace, </w:t>
      </w:r>
      <w:r w:rsidR="00FE2B55">
        <w:rPr>
          <w:rFonts w:ascii="Arial" w:eastAsia="Calibri" w:hAnsi="Arial" w:cs="Arial"/>
          <w:sz w:val="22"/>
          <w:szCs w:val="22"/>
          <w:lang w:eastAsia="en-US"/>
        </w:rPr>
        <w:t>insolvence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apod.),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to do 7 dnů ode dne, kdy příjemci dotace byla tato skutečnost prokazatelně sdělená,</w:t>
      </w:r>
    </w:p>
    <w:p w14:paraId="5804FFD2" w14:textId="669EDF47" w:rsidR="00E318F9" w:rsidRDefault="007F48E3">
      <w:pPr>
        <w:numPr>
          <w:ilvl w:val="0"/>
          <w:numId w:val="10"/>
        </w:numPr>
        <w:spacing w:after="20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umožnit poskytovateli v souladu se zákonem o finanční kontrole řádné provedení průběžné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následné kontroly hospodaření s veřejnými prostředky z poskytnuté dotace, jejich použití dle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účelového určení stanoveného touto smlouvou, provedení kontroly faktické realizace činnosti na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místě a předložit při kontrole všechny potřebné účetní a jiné doklady. Kontrola na místě bude dle pokynu poskytovatele provedena v sídle příjemce, v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místě realizace projektu nebo v sídle poskytovatele.</w:t>
      </w:r>
    </w:p>
    <w:p w14:paraId="52D70862" w14:textId="77777777" w:rsidR="00E318F9" w:rsidRDefault="00E318F9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E69836D" w14:textId="77777777" w:rsidR="00E318F9" w:rsidRDefault="007F48E3">
      <w:pPr>
        <w:numPr>
          <w:ilvl w:val="0"/>
          <w:numId w:val="9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Porušení podmínek uvedených v odst. 4 písm. a), c), a </w:t>
      </w:r>
      <w:r>
        <w:rPr>
          <w:rFonts w:ascii="Arial" w:eastAsia="Calibri" w:hAnsi="Arial" w:cs="Arial"/>
          <w:color w:val="1F4E79" w:themeColor="accent1" w:themeShade="80"/>
          <w:sz w:val="22"/>
          <w:szCs w:val="22"/>
          <w:lang w:eastAsia="en-US"/>
        </w:rPr>
        <w:t>g)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 považováno za porušení méně závažné ve smyslu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ust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 § 10a odst. 6 zákona o rozpočtových pravidlech. Odvod za tato porušení rozpočtové kázně se stanoví následujícím procentem:</w:t>
      </w:r>
    </w:p>
    <w:p w14:paraId="50E3AEAF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9B1515B" w14:textId="77777777" w:rsidR="00E318F9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Předložení vyúčtování podle odst. 4 písm. c) po stanovené lhůtě:</w:t>
      </w:r>
    </w:p>
    <w:p w14:paraId="328AEB79" w14:textId="77777777" w:rsidR="00E318F9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 7 kalendářních dnů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 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  5 % z výše schválené dotace,</w:t>
      </w:r>
    </w:p>
    <w:p w14:paraId="16784B83" w14:textId="77777777" w:rsidR="00E318F9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od 8 do 30 kalendářních dnů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10 % z výše schválené dotace,</w:t>
      </w:r>
    </w:p>
    <w:p w14:paraId="1FF5B02A" w14:textId="77777777" w:rsidR="00E318F9" w:rsidRPr="009C69C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od 31 do 50 </w:t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>kalendářních dnů</w:t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  <w:t>20 % z výše schválené dotace,</w:t>
      </w:r>
    </w:p>
    <w:p w14:paraId="2F74115A" w14:textId="77777777" w:rsidR="00E318F9" w:rsidRPr="009C69C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69CF">
        <w:rPr>
          <w:rFonts w:ascii="Arial" w:eastAsia="Calibri" w:hAnsi="Arial" w:cs="Arial"/>
          <w:sz w:val="22"/>
          <w:szCs w:val="22"/>
          <w:lang w:eastAsia="en-US"/>
        </w:rPr>
        <w:t>od 51 kalendářních dnů</w:t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  <w:t>30 % z výše schválené dotace,</w:t>
      </w:r>
    </w:p>
    <w:p w14:paraId="12CA7839" w14:textId="77777777" w:rsidR="00E318F9" w:rsidRPr="009C69CF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69CF">
        <w:rPr>
          <w:rFonts w:ascii="Arial" w:eastAsia="Calibri" w:hAnsi="Arial" w:cs="Arial"/>
          <w:sz w:val="22"/>
          <w:szCs w:val="22"/>
          <w:lang w:eastAsia="en-US"/>
        </w:rPr>
        <w:t xml:space="preserve">Porušení podmínky stanovené v odst. 4 písm. a)  </w:t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  <w:t xml:space="preserve">  5 % z výše schválené dotace,</w:t>
      </w:r>
    </w:p>
    <w:p w14:paraId="7C72E3F7" w14:textId="77777777" w:rsidR="00E318F9" w:rsidRPr="009C69C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69CF">
        <w:rPr>
          <w:rFonts w:ascii="Arial" w:eastAsia="Calibri" w:hAnsi="Arial" w:cs="Arial"/>
          <w:sz w:val="22"/>
          <w:szCs w:val="22"/>
          <w:lang w:eastAsia="en-US"/>
        </w:rPr>
        <w:t>Porušení podmínky stanovené v odst. 4 písm. g)</w:t>
      </w:r>
      <w:r w:rsidRPr="009C69CF">
        <w:rPr>
          <w:rFonts w:ascii="Arial" w:eastAsia="Calibri" w:hAnsi="Arial" w:cs="Arial"/>
          <w:sz w:val="22"/>
          <w:szCs w:val="22"/>
          <w:lang w:eastAsia="en-US"/>
        </w:rPr>
        <w:tab/>
        <w:t>10 % z výše schválené dotace.</w:t>
      </w:r>
    </w:p>
    <w:p w14:paraId="5EA082F3" w14:textId="77777777" w:rsidR="00E318F9" w:rsidRPr="009C69CF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CC86CF" w14:textId="77777777" w:rsidR="00E318F9" w:rsidRPr="009C69CF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69CF">
        <w:rPr>
          <w:rFonts w:ascii="Arial" w:eastAsia="Calibri" w:hAnsi="Arial" w:cs="Arial"/>
          <w:sz w:val="22"/>
          <w:szCs w:val="22"/>
          <w:lang w:eastAsia="en-US"/>
        </w:rPr>
        <w:t>Poskytovatel dotace si vyhrazuje právo vypovědět tuto smlouvu s výpovědní dobou 30 kalendářních dnů od doručení výpovědi příjemci dotace v případě, že příjemce dotace poruší jakoukoli povinnost nebo podmínky stanovené touto smlouvou. Výpověď musí mít písemnou formu.</w:t>
      </w:r>
    </w:p>
    <w:p w14:paraId="175C8792" w14:textId="77777777" w:rsidR="00E318F9" w:rsidRPr="00A2387D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C9B3BF" w14:textId="316FCC6D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87D">
        <w:rPr>
          <w:rFonts w:ascii="Arial" w:eastAsia="Calibri" w:hAnsi="Arial" w:cs="Arial"/>
          <w:sz w:val="22"/>
          <w:szCs w:val="22"/>
          <w:lang w:eastAsia="en-US"/>
        </w:rPr>
        <w:t>Příjemce dotace je povinen neprodleně nahlásit městu Orlov</w:t>
      </w:r>
      <w:r w:rsidR="00035ACF" w:rsidRPr="00A2387D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 xml:space="preserve"> změny podmínek v činnosti klubu/sportovce, které mají vazbu na výši poskytované dotace, což jsou zejména postupy a</w:t>
      </w:r>
      <w:r w:rsidR="008B63AA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sestupy družstev mládeže a dospělých, rozpady a vznik družstev, změny majetkových poměrů ke sportovištím, změny počtu členské základny a další podstatné změny mající vliv na výši poskytované dotace.</w:t>
      </w:r>
    </w:p>
    <w:p w14:paraId="5FA6EDF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VII.</w:t>
      </w:r>
    </w:p>
    <w:p w14:paraId="2205100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542EB04" w14:textId="77777777" w:rsidR="00A2387D" w:rsidRDefault="00A2387D">
      <w:pPr>
        <w:jc w:val="center"/>
        <w:rPr>
          <w:rFonts w:ascii="Arial" w:hAnsi="Arial" w:cs="Arial"/>
          <w:b/>
          <w:sz w:val="22"/>
          <w:szCs w:val="22"/>
        </w:rPr>
      </w:pPr>
    </w:p>
    <w:p w14:paraId="3743AAF7" w14:textId="77777777" w:rsidR="00E318F9" w:rsidRDefault="00E318F9">
      <w:pPr>
        <w:jc w:val="center"/>
        <w:rPr>
          <w:rFonts w:ascii="Arial" w:hAnsi="Arial" w:cs="Arial"/>
          <w:b/>
          <w:sz w:val="22"/>
          <w:szCs w:val="22"/>
        </w:rPr>
      </w:pPr>
    </w:p>
    <w:p w14:paraId="3A028CD7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Administraci dotace dle této smlouvy zabezpečuje: Město Orlová, odbor městských financí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školství. </w:t>
      </w:r>
    </w:p>
    <w:p w14:paraId="0EE1D60C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5196E5" w14:textId="353B0929" w:rsidR="00E318F9" w:rsidRPr="00A2387D" w:rsidRDefault="007F48E3" w:rsidP="00A2387D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87D">
        <w:rPr>
          <w:rFonts w:ascii="Arial" w:eastAsia="Calibri" w:hAnsi="Arial" w:cs="Arial"/>
          <w:sz w:val="22"/>
          <w:szCs w:val="22"/>
          <w:lang w:eastAsia="en-US"/>
        </w:rPr>
        <w:t>Tato smlouva nabývá účinnosti dnem jejího uveřejnění v registru smluv (§ 6 odst. 1 zákona č.</w:t>
      </w:r>
      <w:r w:rsidR="00EA1E86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340/2015 Sb., o zvláštních podmínkách účinnosti některých smluv, uveřejňování těchto smluv a</w:t>
      </w:r>
      <w:r w:rsidR="00EA1E86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A1E86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registru smluv (zákon o registru smluv) (dále jen „zákon o registru smluv“), není-li stanovena účinnost pozdější, odvíjející se od lhůty stanovené v </w:t>
      </w:r>
      <w:proofErr w:type="spellStart"/>
      <w:r w:rsidRPr="00A2387D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A2387D">
        <w:rPr>
          <w:rFonts w:ascii="Arial" w:eastAsia="Calibri" w:hAnsi="Arial" w:cs="Arial"/>
          <w:sz w:val="22"/>
          <w:szCs w:val="22"/>
          <w:lang w:eastAsia="en-US"/>
        </w:rPr>
        <w:t>. § 5 odst. 2 zákona o registru smluv. Město Orlová tuto smlouvu zašle správci registru smluv k uveřejnění prostřednictvím registru smluv bez zbytečného odkladu, nejpozději do 30 dnů od jejího uzavření (§ 5 odst. 2 zákona o registru smluv) a</w:t>
      </w:r>
      <w:r w:rsidR="00EA1E86" w:rsidRPr="00A2387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A2387D">
        <w:rPr>
          <w:rFonts w:ascii="Arial" w:eastAsia="Calibri" w:hAnsi="Arial" w:cs="Arial"/>
          <w:sz w:val="22"/>
          <w:szCs w:val="22"/>
          <w:lang w:eastAsia="en-US"/>
        </w:rPr>
        <w:t>platnosti okamžikem jejího podpisu oběma smluvními stranami.</w:t>
      </w:r>
    </w:p>
    <w:p w14:paraId="4916739B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5DE5C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Smluvní strany se dohodly, že pro řešení otázek touto smlouvou neupravených, použijí přiměřeně ustanovení zákona č. 89/2012Sb., občanský zákoník, ve znění pozdějších předpisů. Zároveň však vylučují použití jeho ustanovení § 1765 a § 1978 odst. 2. </w:t>
      </w:r>
    </w:p>
    <w:p w14:paraId="1645401D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B9682E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Změnit nebo doplnit tuto smlouvu mohou smluvní strany pouze formou písemných dodatků, které budou vzestupně číslovány, výslovně prohlášeny za dodatek této smlouvy a podepsány oprávněnými zástupci smluvních stran. Za písemnou formu nebude pro tento účel považována výměna e-mailových či jiných elektronických zpráv.</w:t>
      </w:r>
    </w:p>
    <w:p w14:paraId="58DEB022" w14:textId="77777777" w:rsidR="00E318F9" w:rsidRDefault="00E318F9">
      <w:pPr>
        <w:spacing w:after="200" w:line="276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217F944" w14:textId="13E8A40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Právní vztah založený touto smlouvou lze ukončit dohodou nebo výpovědí kterékoliv ze smluvních stran. Výpovědní doba je 30 kalendářních dní a začíná běžet prvním dnem měsíce následujícího po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doručení výpovědi druhé smluvní straně. Ukončení smlouvy na základě výpovědi nezbavuje příjemce dotace povinnosti dotaci řádně vyúčtovat a splnit další podmínky dle čl. VI odst. 4.</w:t>
      </w:r>
    </w:p>
    <w:p w14:paraId="5EE95B83" w14:textId="77777777" w:rsidR="00FE2B55" w:rsidRDefault="00FE2B55" w:rsidP="00FE2B55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C29BA5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bez zbytečného odkladu informovat poskytovatele o své přeměně či</w:t>
      </w:r>
      <w:r w:rsidR="00EA1E86">
        <w:rPr>
          <w:rFonts w:eastAsia="Calibri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vstupu do likvidace.</w:t>
      </w:r>
    </w:p>
    <w:p w14:paraId="70D9B8D1" w14:textId="77777777" w:rsidR="00E318F9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B942CC0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Smlouva je sepsána ve dvou stejnopisech s platností originálu, z nichž každá strana obdrží jeden stejnopis.</w:t>
      </w:r>
    </w:p>
    <w:p w14:paraId="2E85A149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8937C6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osoby podepisující tuto smlouvu jsou k tomuto úkonu oprávněny.</w:t>
      </w:r>
    </w:p>
    <w:p w14:paraId="462D80FE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BA76D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E6E5639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9EE980F" w14:textId="77777777" w:rsidR="00E318F9" w:rsidRDefault="007F48E3">
      <w:pPr>
        <w:numPr>
          <w:ilvl w:val="0"/>
          <w:numId w:val="12"/>
        </w:numPr>
        <w:tabs>
          <w:tab w:val="left" w:pos="142"/>
        </w:tabs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Doložka platnosti právního jednání dle § 41 zákona č. 128/2000 Sb., o obcích (obecní zřízení),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znění pozdějších předpisů: </w:t>
      </w:r>
    </w:p>
    <w:p w14:paraId="414C38A3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33EADD6" w14:textId="77777777" w:rsidR="00A2387D" w:rsidRDefault="00A2387D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B4877B7" w14:textId="77777777" w:rsidR="009C69CF" w:rsidRDefault="009C69CF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425A01B" w14:textId="0021FE1F" w:rsidR="00E318F9" w:rsidRDefault="007F48E3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O poskytnutí dotace a uzavření této smlouvy rozhodla </w:t>
      </w:r>
      <w:r w:rsidRPr="003B7CCB">
        <w:rPr>
          <w:rFonts w:ascii="Arial" w:eastAsia="Calibri" w:hAnsi="Arial" w:cs="Arial"/>
          <w:sz w:val="22"/>
          <w:szCs w:val="22"/>
          <w:lang w:eastAsia="en-US"/>
        </w:rPr>
        <w:t>Rada města Orlov</w:t>
      </w:r>
      <w:r w:rsidR="00035ACF" w:rsidRPr="003B7CCB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3B7CC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svým usnesením č.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F22E2B">
        <w:rPr>
          <w:rFonts w:ascii="Arial" w:eastAsia="Calibri" w:hAnsi="Arial" w:cs="Arial"/>
          <w:sz w:val="22"/>
          <w:szCs w:val="22"/>
          <w:lang w:eastAsia="en-US"/>
        </w:rPr>
        <w:t>1710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r w:rsidR="003B7CCB">
        <w:rPr>
          <w:rFonts w:ascii="Arial" w:eastAsia="Calibri" w:hAnsi="Arial" w:cs="Arial"/>
          <w:sz w:val="22"/>
          <w:szCs w:val="22"/>
          <w:lang w:eastAsia="en-US"/>
        </w:rPr>
        <w:t>47.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ze dne </w:t>
      </w:r>
      <w:r w:rsidR="003B7CCB">
        <w:rPr>
          <w:rFonts w:ascii="Arial" w:eastAsia="Calibri" w:hAnsi="Arial" w:cs="Arial"/>
          <w:sz w:val="22"/>
          <w:szCs w:val="22"/>
          <w:lang w:eastAsia="en-US"/>
        </w:rPr>
        <w:t>05.03</w:t>
      </w:r>
      <w:r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7178F5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DE2A9B6" w14:textId="77777777" w:rsidR="00E318F9" w:rsidRDefault="00E318F9">
      <w:pPr>
        <w:rPr>
          <w:rFonts w:ascii="Arial" w:hAnsi="Arial" w:cs="Arial"/>
          <w:b/>
          <w:sz w:val="22"/>
          <w:szCs w:val="22"/>
        </w:rPr>
      </w:pPr>
    </w:p>
    <w:p w14:paraId="469FE7D6" w14:textId="77777777" w:rsidR="00A2387D" w:rsidRDefault="00A2387D">
      <w:pPr>
        <w:rPr>
          <w:rFonts w:ascii="Arial" w:hAnsi="Arial" w:cs="Arial"/>
          <w:b/>
          <w:sz w:val="22"/>
          <w:szCs w:val="22"/>
        </w:rPr>
      </w:pPr>
    </w:p>
    <w:p w14:paraId="5B959271" w14:textId="77777777" w:rsidR="00E318F9" w:rsidRDefault="007F48E3" w:rsidP="009C69CF">
      <w:pPr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poskytovatele dotace:                             </w:t>
      </w:r>
      <w:r>
        <w:rPr>
          <w:rFonts w:ascii="Arial" w:hAnsi="Arial" w:cs="Arial"/>
          <w:b/>
          <w:sz w:val="22"/>
          <w:szCs w:val="22"/>
        </w:rPr>
        <w:tab/>
        <w:t>Za příjemce dotace:</w:t>
      </w:r>
      <w:r>
        <w:rPr>
          <w:rFonts w:ascii="Arial" w:hAnsi="Arial" w:cs="Arial"/>
          <w:b/>
          <w:sz w:val="22"/>
          <w:szCs w:val="22"/>
        </w:rPr>
        <w:tab/>
      </w:r>
    </w:p>
    <w:p w14:paraId="141FE566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7F8DCCFD" w14:textId="77777777" w:rsidR="00A2387D" w:rsidRDefault="00A2387D" w:rsidP="009C69CF">
      <w:pPr>
        <w:ind w:firstLine="284"/>
        <w:rPr>
          <w:rFonts w:ascii="Arial" w:hAnsi="Arial" w:cs="Arial"/>
          <w:sz w:val="22"/>
          <w:szCs w:val="22"/>
        </w:rPr>
      </w:pPr>
    </w:p>
    <w:p w14:paraId="26B0468F" w14:textId="77777777" w:rsidR="00E318F9" w:rsidRDefault="007F48E3" w:rsidP="009C69CF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Orlové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38FA0E2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481BDC23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6FD902FA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73542FF9" w14:textId="2E32B77C" w:rsidR="00E318F9" w:rsidRDefault="00B96CF5" w:rsidP="009C69CF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11.03.2025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01.04.2025</w:t>
      </w:r>
      <w:bookmarkStart w:id="0" w:name="_GoBack"/>
      <w:bookmarkEnd w:id="0"/>
    </w:p>
    <w:p w14:paraId="7FC146BC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34C38E10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4D2DC7B7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70539164" w14:textId="77777777" w:rsidR="00E318F9" w:rsidRDefault="00E318F9" w:rsidP="009C69CF">
      <w:pPr>
        <w:ind w:firstLine="284"/>
        <w:rPr>
          <w:rFonts w:ascii="Arial" w:hAnsi="Arial" w:cs="Arial"/>
          <w:sz w:val="22"/>
          <w:szCs w:val="22"/>
        </w:rPr>
      </w:pPr>
    </w:p>
    <w:p w14:paraId="50FDA855" w14:textId="77777777" w:rsidR="00E318F9" w:rsidRPr="00A2387D" w:rsidRDefault="00E318F9" w:rsidP="009C69CF">
      <w:pPr>
        <w:suppressAutoHyphens/>
        <w:ind w:firstLine="284"/>
        <w:rPr>
          <w:rFonts w:ascii="Arial" w:hAnsi="Arial" w:cs="Arial"/>
          <w:sz w:val="22"/>
          <w:szCs w:val="22"/>
        </w:rPr>
      </w:pPr>
    </w:p>
    <w:p w14:paraId="2E2F9A39" w14:textId="0815AB73" w:rsidR="00E318F9" w:rsidRPr="00A2387D" w:rsidRDefault="009C69CF" w:rsidP="009C69CF">
      <w:pPr>
        <w:suppressAutoHyphens/>
        <w:ind w:firstLine="284"/>
        <w:rPr>
          <w:rFonts w:ascii="Arial" w:hAnsi="Arial" w:cs="Arial"/>
          <w:sz w:val="22"/>
          <w:szCs w:val="22"/>
        </w:rPr>
      </w:pPr>
      <w:r w:rsidRPr="00A238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2A0BA" wp14:editId="0FA311A8">
                <wp:simplePos x="0" y="0"/>
                <wp:positionH relativeFrom="margin">
                  <wp:posOffset>171450</wp:posOffset>
                </wp:positionH>
                <wp:positionV relativeFrom="paragraph">
                  <wp:posOffset>60325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E9C34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5pt,4.75pt" to="1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F48E3" w:rsidRPr="00A238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491B" wp14:editId="425F0350">
                <wp:simplePos x="0" y="0"/>
                <wp:positionH relativeFrom="margin">
                  <wp:posOffset>3157855</wp:posOffset>
                </wp:positionH>
                <wp:positionV relativeFrom="paragraph">
                  <wp:posOffset>50800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78DCE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8.65pt,4pt" to="430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33C5246" w14:textId="0D449F39" w:rsidR="00E318F9" w:rsidRPr="00A2387D" w:rsidRDefault="00FE2B55" w:rsidP="009C69CF">
      <w:pPr>
        <w:suppressAutoHyphens/>
        <w:ind w:firstLine="284"/>
        <w:rPr>
          <w:rFonts w:ascii="Arial" w:hAnsi="Arial" w:cs="Arial"/>
          <w:b/>
          <w:sz w:val="22"/>
          <w:szCs w:val="22"/>
        </w:rPr>
      </w:pPr>
      <w:r w:rsidRPr="00A2387D"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 w:rsidRPr="00A2387D"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7F48E3" w:rsidRPr="00A2387D">
        <w:rPr>
          <w:rFonts w:ascii="Arial" w:hAnsi="Arial" w:cs="Arial"/>
          <w:b/>
          <w:sz w:val="22"/>
          <w:szCs w:val="22"/>
        </w:rPr>
        <w:t xml:space="preserve">               </w:t>
      </w:r>
      <w:r w:rsidR="007F48E3" w:rsidRPr="00A2387D">
        <w:rPr>
          <w:rFonts w:ascii="Arial" w:hAnsi="Arial" w:cs="Arial"/>
          <w:b/>
          <w:sz w:val="22"/>
          <w:szCs w:val="22"/>
        </w:rPr>
        <w:tab/>
      </w:r>
      <w:r w:rsidR="007F48E3" w:rsidRPr="00A2387D">
        <w:rPr>
          <w:rFonts w:ascii="Arial" w:hAnsi="Arial" w:cs="Arial"/>
          <w:b/>
          <w:sz w:val="22"/>
          <w:szCs w:val="22"/>
        </w:rPr>
        <w:tab/>
      </w:r>
      <w:r w:rsidR="007F48E3" w:rsidRPr="00A2387D">
        <w:rPr>
          <w:rFonts w:ascii="Arial" w:hAnsi="Arial" w:cs="Arial"/>
          <w:b/>
          <w:sz w:val="22"/>
          <w:szCs w:val="22"/>
        </w:rPr>
        <w:tab/>
      </w:r>
      <w:r w:rsidR="00A2387D" w:rsidRPr="00A2387D">
        <w:rPr>
          <w:rFonts w:ascii="Arial" w:hAnsi="Arial" w:cs="Arial"/>
          <w:b/>
          <w:sz w:val="22"/>
          <w:szCs w:val="22"/>
        </w:rPr>
        <w:t>Renáta Hečková</w:t>
      </w:r>
    </w:p>
    <w:p w14:paraId="6C2D31E7" w14:textId="767CB71D" w:rsidR="00E318F9" w:rsidRPr="00A2387D" w:rsidRDefault="007F48E3" w:rsidP="009C69CF">
      <w:pPr>
        <w:ind w:firstLine="284"/>
      </w:pPr>
      <w:r w:rsidRPr="00A2387D">
        <w:rPr>
          <w:rFonts w:ascii="Arial" w:hAnsi="Arial" w:cs="Arial"/>
          <w:sz w:val="22"/>
          <w:szCs w:val="22"/>
        </w:rPr>
        <w:t>starost</w:t>
      </w:r>
      <w:r w:rsidR="00FE2B55" w:rsidRPr="00A2387D">
        <w:rPr>
          <w:rFonts w:ascii="Arial" w:hAnsi="Arial" w:cs="Arial"/>
          <w:sz w:val="22"/>
          <w:szCs w:val="22"/>
        </w:rPr>
        <w:t>k</w:t>
      </w:r>
      <w:r w:rsidRPr="00A2387D">
        <w:rPr>
          <w:rFonts w:ascii="Arial" w:hAnsi="Arial" w:cs="Arial"/>
          <w:sz w:val="22"/>
          <w:szCs w:val="22"/>
        </w:rPr>
        <w:t xml:space="preserve">a města                          </w:t>
      </w:r>
      <w:r w:rsidRPr="00A2387D">
        <w:rPr>
          <w:rFonts w:ascii="Arial" w:hAnsi="Arial" w:cs="Arial"/>
          <w:sz w:val="22"/>
          <w:szCs w:val="22"/>
        </w:rPr>
        <w:tab/>
      </w:r>
      <w:r w:rsidRPr="00A2387D">
        <w:rPr>
          <w:rFonts w:ascii="Arial" w:hAnsi="Arial" w:cs="Arial"/>
          <w:sz w:val="22"/>
          <w:szCs w:val="22"/>
        </w:rPr>
        <w:tab/>
      </w:r>
      <w:r w:rsidRPr="00A2387D">
        <w:rPr>
          <w:rFonts w:ascii="Arial" w:hAnsi="Arial" w:cs="Arial"/>
          <w:sz w:val="22"/>
          <w:szCs w:val="22"/>
        </w:rPr>
        <w:tab/>
      </w:r>
      <w:r w:rsidR="00A2387D" w:rsidRPr="00A2387D">
        <w:rPr>
          <w:rFonts w:ascii="Arial" w:hAnsi="Arial" w:cs="Arial"/>
          <w:sz w:val="22"/>
          <w:szCs w:val="22"/>
        </w:rPr>
        <w:t>předseda spolku</w:t>
      </w:r>
    </w:p>
    <w:sectPr w:rsidR="00E318F9" w:rsidRPr="00A2387D" w:rsidSect="008B63AA">
      <w:headerReference w:type="default" r:id="rId9"/>
      <w:footerReference w:type="default" r:id="rId10"/>
      <w:pgSz w:w="11906" w:h="16838"/>
      <w:pgMar w:top="1417" w:right="1417" w:bottom="1417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AB9F" w14:textId="77777777" w:rsidR="004B352A" w:rsidRDefault="004B352A">
      <w:r>
        <w:separator/>
      </w:r>
    </w:p>
  </w:endnote>
  <w:endnote w:type="continuationSeparator" w:id="0">
    <w:p w14:paraId="426D650D" w14:textId="77777777" w:rsidR="004B352A" w:rsidRDefault="004B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F9E33" w14:textId="77777777" w:rsidR="00E318F9" w:rsidRDefault="00E318F9"/>
  <w:sdt>
    <w:sdtPr>
      <w:id w:val="1536164085"/>
      <w:docPartObj>
        <w:docPartGallery w:val="AutoText"/>
      </w:docPartObj>
    </w:sdtPr>
    <w:sdtEndPr/>
    <w:sdtContent>
      <w:sdt>
        <w:sdtPr>
          <w:id w:val="-14538831"/>
          <w:docPartObj>
            <w:docPartGallery w:val="AutoText"/>
          </w:docPartObj>
        </w:sdtPr>
        <w:sdtEndPr/>
        <w:sdtContent>
          <w:p w14:paraId="5564EFAE" w14:textId="77777777" w:rsidR="00E318F9" w:rsidRDefault="007F48E3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DADDEE6" wp14:editId="224D0CC0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190" cy="442595"/>
                  <wp:effectExtent l="0" t="0" r="3810" b="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Město Orlová</w:t>
            </w:r>
          </w:p>
          <w:p w14:paraId="1C4BC84B" w14:textId="77777777" w:rsidR="00E318F9" w:rsidRDefault="007F48E3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>
              <w:rPr>
                <w:rFonts w:ascii="Arial" w:hAnsi="Arial" w:cs="Arial"/>
              </w:rPr>
              <w:t>Odbor 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22E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22E2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4FB62C" w14:textId="77777777" w:rsidR="00E318F9" w:rsidRDefault="00E31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A618E" w14:textId="77777777" w:rsidR="004B352A" w:rsidRDefault="004B352A">
      <w:r>
        <w:separator/>
      </w:r>
    </w:p>
  </w:footnote>
  <w:footnote w:type="continuationSeparator" w:id="0">
    <w:p w14:paraId="0938DA52" w14:textId="77777777" w:rsidR="004B352A" w:rsidRDefault="004B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0CB90" w14:textId="3168A577" w:rsidR="00E318F9" w:rsidRDefault="00E318F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DC5"/>
    <w:multiLevelType w:val="multilevel"/>
    <w:tmpl w:val="0AEF2DC5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1" w15:restartNumberingAfterBreak="0">
    <w:nsid w:val="0BD06CF9"/>
    <w:multiLevelType w:val="multilevel"/>
    <w:tmpl w:val="0BD06CF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177C83"/>
    <w:multiLevelType w:val="multilevel"/>
    <w:tmpl w:val="14177C83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733E"/>
    <w:multiLevelType w:val="multilevel"/>
    <w:tmpl w:val="17E5733E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F33AAE"/>
    <w:multiLevelType w:val="multilevel"/>
    <w:tmpl w:val="1CF33AA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multilevel"/>
    <w:tmpl w:val="1E7471E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2397113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2DAE3980"/>
    <w:multiLevelType w:val="multilevel"/>
    <w:tmpl w:val="2DAE39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939"/>
    <w:multiLevelType w:val="multilevel"/>
    <w:tmpl w:val="30AA1939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5C9E"/>
    <w:multiLevelType w:val="multilevel"/>
    <w:tmpl w:val="34B65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03D76"/>
    <w:multiLevelType w:val="multilevel"/>
    <w:tmpl w:val="72F0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16B26"/>
    <w:multiLevelType w:val="multilevel"/>
    <w:tmpl w:val="79516B2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BA"/>
    <w:rsid w:val="00035ACF"/>
    <w:rsid w:val="00052B1E"/>
    <w:rsid w:val="000872AC"/>
    <w:rsid w:val="000D6033"/>
    <w:rsid w:val="00130B09"/>
    <w:rsid w:val="001311BE"/>
    <w:rsid w:val="00132A29"/>
    <w:rsid w:val="00133EC7"/>
    <w:rsid w:val="00140AEC"/>
    <w:rsid w:val="002231BC"/>
    <w:rsid w:val="002314EE"/>
    <w:rsid w:val="002B487C"/>
    <w:rsid w:val="002D752B"/>
    <w:rsid w:val="002F013D"/>
    <w:rsid w:val="00380705"/>
    <w:rsid w:val="0039282E"/>
    <w:rsid w:val="003B7CCB"/>
    <w:rsid w:val="003D6B92"/>
    <w:rsid w:val="003F34A3"/>
    <w:rsid w:val="004547F3"/>
    <w:rsid w:val="004657E5"/>
    <w:rsid w:val="00480F82"/>
    <w:rsid w:val="004B352A"/>
    <w:rsid w:val="004B37B1"/>
    <w:rsid w:val="004B6E15"/>
    <w:rsid w:val="004C094C"/>
    <w:rsid w:val="004D65A0"/>
    <w:rsid w:val="00540AFB"/>
    <w:rsid w:val="00560C02"/>
    <w:rsid w:val="00572622"/>
    <w:rsid w:val="005A5373"/>
    <w:rsid w:val="005C2503"/>
    <w:rsid w:val="005D4C34"/>
    <w:rsid w:val="00601AAC"/>
    <w:rsid w:val="0066263F"/>
    <w:rsid w:val="00696A26"/>
    <w:rsid w:val="006C71C1"/>
    <w:rsid w:val="006D4724"/>
    <w:rsid w:val="006F41E3"/>
    <w:rsid w:val="00767610"/>
    <w:rsid w:val="007976FB"/>
    <w:rsid w:val="007A60C0"/>
    <w:rsid w:val="007B7E3B"/>
    <w:rsid w:val="007F48E3"/>
    <w:rsid w:val="00812E2F"/>
    <w:rsid w:val="00813AA4"/>
    <w:rsid w:val="008B63AA"/>
    <w:rsid w:val="008D1B16"/>
    <w:rsid w:val="00914EA5"/>
    <w:rsid w:val="009C69CF"/>
    <w:rsid w:val="00A12E45"/>
    <w:rsid w:val="00A176E1"/>
    <w:rsid w:val="00A2387D"/>
    <w:rsid w:val="00A61F02"/>
    <w:rsid w:val="00A76840"/>
    <w:rsid w:val="00B10CD8"/>
    <w:rsid w:val="00B41DB1"/>
    <w:rsid w:val="00B55948"/>
    <w:rsid w:val="00B777C8"/>
    <w:rsid w:val="00B96CF5"/>
    <w:rsid w:val="00BD4FF8"/>
    <w:rsid w:val="00C671FB"/>
    <w:rsid w:val="00C80B3A"/>
    <w:rsid w:val="00D31200"/>
    <w:rsid w:val="00D41983"/>
    <w:rsid w:val="00D62BBA"/>
    <w:rsid w:val="00D67E6A"/>
    <w:rsid w:val="00DF61C5"/>
    <w:rsid w:val="00E045C2"/>
    <w:rsid w:val="00E06952"/>
    <w:rsid w:val="00E129B2"/>
    <w:rsid w:val="00E13DF3"/>
    <w:rsid w:val="00E3164B"/>
    <w:rsid w:val="00E318F9"/>
    <w:rsid w:val="00E527A2"/>
    <w:rsid w:val="00EA1E86"/>
    <w:rsid w:val="00EB7000"/>
    <w:rsid w:val="00ED0A47"/>
    <w:rsid w:val="00ED20E3"/>
    <w:rsid w:val="00F22E2B"/>
    <w:rsid w:val="00F55B91"/>
    <w:rsid w:val="00FB7901"/>
    <w:rsid w:val="00FE2B55"/>
    <w:rsid w:val="7EB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A73F03"/>
  <w15:docId w15:val="{2E60E19F-F1EA-4998-8F99-F2C7F22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D67E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36846-4624-43F4-B965-476EC2A2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1884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 Michal</dc:creator>
  <cp:lastModifiedBy>Siekiera Tomáš</cp:lastModifiedBy>
  <cp:revision>6</cp:revision>
  <cp:lastPrinted>2023-01-10T07:57:00Z</cp:lastPrinted>
  <dcterms:created xsi:type="dcterms:W3CDTF">2025-02-21T08:05:00Z</dcterms:created>
  <dcterms:modified xsi:type="dcterms:W3CDTF">2025-04-01T11:51:00Z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