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61" w:rsidRDefault="00417261" w:rsidP="00417261">
      <w:pPr>
        <w:spacing w:before="120" w:after="60"/>
        <w:jc w:val="both"/>
        <w:rPr>
          <w:rFonts w:ascii="Montserrat" w:hAnsi="Montserrat" w:cs="Arial"/>
          <w:b/>
          <w:spacing w:val="60"/>
          <w:sz w:val="28"/>
          <w:szCs w:val="28"/>
        </w:rPr>
      </w:pPr>
      <w:r>
        <w:rPr>
          <w:rFonts w:ascii="Montserrat" w:hAnsi="Montserrat" w:cs="Arial"/>
          <w:b/>
          <w:spacing w:val="60"/>
          <w:sz w:val="28"/>
          <w:szCs w:val="28"/>
        </w:rPr>
        <w:t>rámcová příkazní smlouva</w:t>
      </w:r>
    </w:p>
    <w:p w:rsidR="00417261" w:rsidRDefault="00417261" w:rsidP="00417261">
      <w:pPr>
        <w:spacing w:before="120" w:after="60"/>
        <w:jc w:val="both"/>
        <w:rPr>
          <w:rFonts w:ascii="Montserrat" w:hAnsi="Montserrat" w:cs="Arial"/>
          <w:bCs/>
          <w:spacing w:val="60"/>
          <w:sz w:val="19"/>
          <w:szCs w:val="19"/>
        </w:rPr>
      </w:pPr>
      <w:r>
        <w:rPr>
          <w:rFonts w:ascii="Montserrat" w:hAnsi="Montserrat" w:cs="Arial"/>
          <w:bCs/>
          <w:spacing w:val="60"/>
          <w:sz w:val="19"/>
          <w:szCs w:val="19"/>
        </w:rPr>
        <w:t>č. 01225 o poskytování služeb a činností BOZP a PO</w:t>
      </w:r>
    </w:p>
    <w:p w:rsidR="00417261" w:rsidRDefault="00417261" w:rsidP="00417261">
      <w:pPr>
        <w:spacing w:after="100" w:afterAutospacing="1"/>
        <w:jc w:val="both"/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ve smyslu § 2444 Zákona č. 89/2012 Sb., občanského zákoníku, ve znění pozdějších předpisů</w:t>
      </w:r>
    </w:p>
    <w:p w:rsidR="00417261" w:rsidRDefault="00417261" w:rsidP="00417261">
      <w:pPr>
        <w:spacing w:before="120"/>
        <w:jc w:val="both"/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 xml:space="preserve">uzavřená </w:t>
      </w:r>
      <w:proofErr w:type="gramStart"/>
      <w:r>
        <w:rPr>
          <w:rFonts w:ascii="Montserrat" w:hAnsi="Montserrat" w:cs="Arial"/>
          <w:bCs/>
          <w:sz w:val="19"/>
          <w:szCs w:val="19"/>
        </w:rPr>
        <w:t>mezi</w:t>
      </w:r>
      <w:proofErr w:type="gramEnd"/>
      <w:r>
        <w:rPr>
          <w:rFonts w:ascii="Montserrat" w:hAnsi="Montserrat" w:cs="Arial"/>
          <w:bCs/>
          <w:sz w:val="19"/>
          <w:szCs w:val="19"/>
        </w:rPr>
        <w:t>:</w:t>
      </w:r>
    </w:p>
    <w:p w:rsidR="00417261" w:rsidRDefault="00417261" w:rsidP="00417261">
      <w:pPr>
        <w:tabs>
          <w:tab w:val="left" w:pos="397"/>
        </w:tabs>
        <w:rPr>
          <w:rFonts w:ascii="Montserrat" w:hAnsi="Montserrat" w:cs="Arial"/>
          <w:b/>
          <w:bCs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obchodní firma:</w:t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b/>
          <w:bCs/>
          <w:sz w:val="19"/>
          <w:szCs w:val="19"/>
        </w:rPr>
        <w:t xml:space="preserve">BOZP </w:t>
      </w:r>
      <w:proofErr w:type="spellStart"/>
      <w:r>
        <w:rPr>
          <w:rFonts w:ascii="Montserrat" w:hAnsi="Montserrat" w:cs="Arial"/>
          <w:b/>
          <w:bCs/>
          <w:sz w:val="19"/>
          <w:szCs w:val="19"/>
        </w:rPr>
        <w:t>Solution</w:t>
      </w:r>
      <w:proofErr w:type="spellEnd"/>
      <w:r>
        <w:rPr>
          <w:rFonts w:ascii="Montserrat" w:hAnsi="Montserrat" w:cs="Arial"/>
          <w:b/>
          <w:bCs/>
          <w:sz w:val="19"/>
          <w:szCs w:val="19"/>
        </w:rPr>
        <w:t xml:space="preserve"> s.r.o.</w:t>
      </w:r>
    </w:p>
    <w:p w:rsidR="00417261" w:rsidRDefault="00417261" w:rsidP="00417261">
      <w:pPr>
        <w:tabs>
          <w:tab w:val="left" w:pos="397"/>
        </w:tabs>
        <w:spacing w:after="60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  <w:t>vedená u Městského soudu v Praze, oddíl C, vložka 409903</w:t>
      </w: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IČ:</w:t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>22063617</w:t>
      </w: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adresa sídla:</w:t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>Příčná 1892/4, Nové Město, 110 00 Praha 1</w:t>
      </w:r>
    </w:p>
    <w:p w:rsidR="00417261" w:rsidRDefault="00417261" w:rsidP="00417261">
      <w:pPr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jednající:</w:t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>Ing. Richardem KAJZAREM, jednatelem</w:t>
      </w: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bankovní spojení:</w:t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proofErr w:type="spellStart"/>
      <w:r>
        <w:rPr>
          <w:rFonts w:ascii="Montserrat" w:hAnsi="Montserrat" w:cs="Arial"/>
          <w:bCs/>
          <w:sz w:val="19"/>
          <w:szCs w:val="19"/>
        </w:rPr>
        <w:t>Fio</w:t>
      </w:r>
      <w:proofErr w:type="spellEnd"/>
      <w:r>
        <w:rPr>
          <w:rFonts w:ascii="Montserrat" w:hAnsi="Montserrat" w:cs="Arial"/>
          <w:bCs/>
          <w:sz w:val="19"/>
          <w:szCs w:val="19"/>
        </w:rPr>
        <w:t xml:space="preserve"> banka, a.s., č. účtu: </w:t>
      </w:r>
      <w:r w:rsidR="00D56CBB">
        <w:rPr>
          <w:rFonts w:ascii="Montserrat" w:hAnsi="Montserrat" w:cs="Arial"/>
          <w:bCs/>
          <w:sz w:val="19"/>
          <w:szCs w:val="19"/>
        </w:rPr>
        <w:t>XXXXX/XXXXX</w:t>
      </w: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(dále jen „příkazník“)</w:t>
      </w:r>
    </w:p>
    <w:p w:rsidR="00417261" w:rsidRDefault="00417261" w:rsidP="00417261">
      <w:pPr>
        <w:spacing w:before="120" w:after="120"/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a klientem – právnickou osobou:</w:t>
      </w:r>
    </w:p>
    <w:p w:rsidR="00417261" w:rsidRDefault="00417261" w:rsidP="00417261">
      <w:pPr>
        <w:tabs>
          <w:tab w:val="left" w:pos="397"/>
        </w:tabs>
        <w:spacing w:after="60"/>
        <w:ind w:left="2124" w:hanging="2124"/>
        <w:rPr>
          <w:rFonts w:ascii="Montserrat" w:hAnsi="Montserrat" w:cs="Arial"/>
          <w:b/>
          <w:bCs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obchodní firma:</w:t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b/>
          <w:bCs/>
          <w:sz w:val="19"/>
          <w:szCs w:val="19"/>
        </w:rPr>
        <w:t>Základní škola a mateřská škola Český Těšín Pod Zvonek, příspěvková organizace</w:t>
      </w: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IČ:</w:t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>48004693</w:t>
      </w: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adresa sídla:</w:t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>Pod Zvonek 1835/28, 737 01 Český Těšín</w:t>
      </w:r>
    </w:p>
    <w:p w:rsidR="00417261" w:rsidRDefault="00417261" w:rsidP="00417261">
      <w:pPr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</w:rPr>
        <w:t>jednající:</w:t>
      </w:r>
      <w:r>
        <w:rPr>
          <w:rFonts w:ascii="Montserrat" w:hAnsi="Montserrat" w:cs="Arial"/>
          <w:bCs/>
          <w:sz w:val="19"/>
          <w:szCs w:val="19"/>
        </w:rPr>
        <w:tab/>
      </w:r>
      <w:r>
        <w:rPr>
          <w:rFonts w:ascii="Montserrat" w:hAnsi="Montserrat" w:cs="Arial"/>
          <w:bCs/>
          <w:sz w:val="19"/>
          <w:szCs w:val="19"/>
        </w:rPr>
        <w:tab/>
      </w:r>
      <w:r w:rsidR="00977AB9">
        <w:rPr>
          <w:rFonts w:ascii="Montserrat" w:hAnsi="Montserrat" w:cs="Arial"/>
          <w:bCs/>
          <w:sz w:val="19"/>
          <w:szCs w:val="19"/>
        </w:rPr>
        <w:t xml:space="preserve">Mgr. Renátou </w:t>
      </w:r>
      <w:proofErr w:type="spellStart"/>
      <w:r w:rsidR="00977AB9">
        <w:rPr>
          <w:rFonts w:ascii="Montserrat" w:hAnsi="Montserrat" w:cs="Arial"/>
          <w:bCs/>
          <w:sz w:val="19"/>
          <w:szCs w:val="19"/>
        </w:rPr>
        <w:t>Č</w:t>
      </w:r>
      <w:bookmarkStart w:id="0" w:name="_GoBack"/>
      <w:bookmarkEnd w:id="0"/>
      <w:r>
        <w:rPr>
          <w:rFonts w:ascii="Montserrat" w:hAnsi="Montserrat" w:cs="Arial"/>
          <w:bCs/>
          <w:sz w:val="19"/>
          <w:szCs w:val="19"/>
        </w:rPr>
        <w:t>alovou</w:t>
      </w:r>
      <w:proofErr w:type="spellEnd"/>
      <w:r>
        <w:rPr>
          <w:rFonts w:ascii="Montserrat" w:hAnsi="Montserrat" w:cs="Arial"/>
          <w:bCs/>
          <w:sz w:val="19"/>
          <w:szCs w:val="19"/>
        </w:rPr>
        <w:t xml:space="preserve"> WAPIENIKOVOU, ředitelkou</w:t>
      </w: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(dále jen „příkazce“)</w:t>
      </w:r>
    </w:p>
    <w:p w:rsidR="00417261" w:rsidRDefault="00417261" w:rsidP="00417261">
      <w:pPr>
        <w:spacing w:before="240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1 předmět smlouvy</w:t>
      </w:r>
    </w:p>
    <w:p w:rsidR="00417261" w:rsidRDefault="00417261" w:rsidP="00417261">
      <w:pPr>
        <w:tabs>
          <w:tab w:val="left" w:pos="720"/>
        </w:tabs>
        <w:spacing w:before="120" w:after="60"/>
        <w:ind w:left="720" w:hanging="720"/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1.1</w:t>
      </w:r>
      <w:r>
        <w:rPr>
          <w:rFonts w:ascii="Montserrat" w:hAnsi="Montserrat" w:cs="Arial"/>
          <w:sz w:val="19"/>
          <w:szCs w:val="19"/>
        </w:rPr>
        <w:tab/>
        <w:t xml:space="preserve">předmětem této smlouvy je sjednání podmínek, za kterých bude příkazník průběžně poskytovat příkazci </w:t>
      </w:r>
      <w:r>
        <w:rPr>
          <w:rFonts w:ascii="Montserrat" w:hAnsi="Montserrat" w:cs="Arial"/>
          <w:sz w:val="19"/>
          <w:szCs w:val="19"/>
          <w:u w:val="single"/>
        </w:rPr>
        <w:t>poradenské služby a činnosti v oblasti bezpečnosti a ochrany zdraví při práci</w:t>
      </w:r>
      <w:r>
        <w:rPr>
          <w:rFonts w:ascii="Montserrat" w:hAnsi="Montserrat" w:cs="Arial"/>
          <w:sz w:val="19"/>
          <w:szCs w:val="19"/>
        </w:rPr>
        <w:t xml:space="preserve"> (dále také „BOZP“), k nimž je příkazce povinen dle zákona č. 262/2006 Sb. Ve znění pozdějších předpisů.</w:t>
      </w:r>
    </w:p>
    <w:p w:rsidR="00417261" w:rsidRDefault="00417261" w:rsidP="00417261">
      <w:pPr>
        <w:tabs>
          <w:tab w:val="left" w:pos="720"/>
        </w:tabs>
        <w:spacing w:before="120" w:after="60"/>
        <w:ind w:left="720" w:hanging="720"/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1.2</w:t>
      </w:r>
      <w:r>
        <w:rPr>
          <w:rFonts w:ascii="Montserrat" w:hAnsi="Montserrat" w:cs="Arial"/>
          <w:sz w:val="19"/>
          <w:szCs w:val="19"/>
        </w:rPr>
        <w:tab/>
        <w:t xml:space="preserve">předmětem této smlouvy je sjednání podmínek, za kterých bude příkazník průběžně poskytovat příkazci </w:t>
      </w:r>
      <w:r>
        <w:rPr>
          <w:rFonts w:ascii="Montserrat" w:hAnsi="Montserrat" w:cs="Arial"/>
          <w:sz w:val="19"/>
          <w:szCs w:val="19"/>
          <w:u w:val="single"/>
        </w:rPr>
        <w:t>poradenské služby a činnosti v oblasti požární ochrany</w:t>
      </w:r>
      <w:r>
        <w:rPr>
          <w:rFonts w:ascii="Montserrat" w:hAnsi="Montserrat" w:cs="Arial"/>
          <w:sz w:val="19"/>
          <w:szCs w:val="19"/>
        </w:rPr>
        <w:t xml:space="preserve"> (dále také „PO“) k nimž je příkazce povinen dle zákona č. 133/1985 Sb., ve znění pozdějších předpisů.</w:t>
      </w:r>
    </w:p>
    <w:p w:rsidR="00417261" w:rsidRDefault="00417261" w:rsidP="00417261">
      <w:pPr>
        <w:tabs>
          <w:tab w:val="left" w:pos="720"/>
        </w:tabs>
        <w:spacing w:before="120" w:after="60"/>
        <w:ind w:left="720" w:hanging="720"/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1.3</w:t>
      </w:r>
      <w:r>
        <w:rPr>
          <w:rFonts w:ascii="Montserrat" w:hAnsi="Montserrat" w:cs="Arial"/>
          <w:sz w:val="19"/>
          <w:szCs w:val="19"/>
        </w:rPr>
        <w:tab/>
        <w:t xml:space="preserve">předmětem této smlouvy je </w:t>
      </w:r>
      <w:r>
        <w:rPr>
          <w:rFonts w:ascii="Montserrat" w:hAnsi="Montserrat" w:cs="Arial"/>
          <w:sz w:val="19"/>
          <w:szCs w:val="19"/>
          <w:u w:val="single"/>
        </w:rPr>
        <w:t>sjednání podmínek, které se týkají výše a splatnosti odměny</w:t>
      </w:r>
      <w:r>
        <w:rPr>
          <w:rFonts w:ascii="Montserrat" w:hAnsi="Montserrat" w:cs="Arial"/>
          <w:sz w:val="19"/>
          <w:szCs w:val="19"/>
        </w:rPr>
        <w:t>, kterou bude příkazce příkazníkovi hradit za služby a činnosti dle bodů 1.1 a 1.2 této smlouvy.</w:t>
      </w:r>
    </w:p>
    <w:p w:rsidR="00417261" w:rsidRDefault="00417261" w:rsidP="00417261">
      <w:pPr>
        <w:tabs>
          <w:tab w:val="left" w:pos="720"/>
        </w:tabs>
        <w:spacing w:before="120" w:after="60"/>
        <w:ind w:left="720" w:hanging="720"/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1.5</w:t>
      </w:r>
      <w:r>
        <w:rPr>
          <w:rFonts w:ascii="Montserrat" w:hAnsi="Montserrat" w:cs="Arial"/>
          <w:sz w:val="19"/>
          <w:szCs w:val="19"/>
        </w:rPr>
        <w:tab/>
        <w:t xml:space="preserve">předmět této smlouvy se vztahuje na plnění v provozovnách příkazce: </w:t>
      </w:r>
      <w:r>
        <w:rPr>
          <w:rFonts w:ascii="Montserrat" w:hAnsi="Montserrat"/>
          <w:sz w:val="19"/>
          <w:szCs w:val="19"/>
        </w:rPr>
        <w:t xml:space="preserve">737 01 Český Těšín ul. Pod Zvonek 1835/28; Slovenská 1911/1; Čáslavská 1834/8; </w:t>
      </w:r>
      <w:r>
        <w:rPr>
          <w:rFonts w:ascii="Montserrat" w:hAnsi="Montserrat" w:cs="Arial"/>
          <w:sz w:val="19"/>
          <w:szCs w:val="19"/>
        </w:rPr>
        <w:t xml:space="preserve">Okružní 1759; Pod Zvonek 1865/30; Dolní </w:t>
      </w:r>
      <w:proofErr w:type="spellStart"/>
      <w:r>
        <w:rPr>
          <w:rFonts w:ascii="Montserrat" w:hAnsi="Montserrat" w:cs="Arial"/>
          <w:sz w:val="19"/>
          <w:szCs w:val="19"/>
        </w:rPr>
        <w:t>Žukov</w:t>
      </w:r>
      <w:proofErr w:type="spellEnd"/>
      <w:r>
        <w:rPr>
          <w:rFonts w:ascii="Montserrat" w:hAnsi="Montserrat" w:cs="Arial"/>
          <w:sz w:val="19"/>
          <w:szCs w:val="19"/>
        </w:rPr>
        <w:t>, Pod Zvonek 91.</w:t>
      </w:r>
    </w:p>
    <w:p w:rsidR="00417261" w:rsidRDefault="00417261" w:rsidP="00417261">
      <w:pPr>
        <w:tabs>
          <w:tab w:val="left" w:pos="851"/>
        </w:tabs>
        <w:spacing w:before="240"/>
        <w:ind w:right="-143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2 povinnosti příkazníka</w:t>
      </w:r>
    </w:p>
    <w:p w:rsidR="00417261" w:rsidRDefault="00417261" w:rsidP="00417261">
      <w:pPr>
        <w:tabs>
          <w:tab w:val="left" w:pos="851"/>
        </w:tabs>
        <w:spacing w:before="240"/>
        <w:ind w:right="-143"/>
        <w:rPr>
          <w:rFonts w:ascii="Montserrat" w:hAnsi="Montserrat" w:cs="Arial"/>
          <w:bCs/>
          <w:sz w:val="19"/>
          <w:szCs w:val="19"/>
        </w:rPr>
      </w:pPr>
      <w:r>
        <w:rPr>
          <w:rFonts w:ascii="Montserrat" w:hAnsi="Montserrat" w:cs="Arial"/>
          <w:bCs/>
          <w:sz w:val="19"/>
          <w:szCs w:val="19"/>
          <w:u w:val="single"/>
        </w:rPr>
        <w:t>příkazník se v oblasti BOZP a PO zavazuje pro příkazce vykonávat zejména tyto služby a činnosti: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 souladu s požadavky právních a ostatních předpisů průběžně vést a aktualizovat dokumentaci k řízení BOZP a PO.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jednou ročně realizovat školení o právních a ostatních předpisech k zajištění BOZP a PO pro zaměstnance příkazce.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jednou za rok realizovat odbornou přípravu členů preventivní požární hlídky, pokud jsou naplněny podmínky pro její zřízení.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podílet se na objasnění příčin a okolností vzniklých úrazů u zaměstnanců příkazce a jiných osob v areálu příkazce.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připravovat záznamy o pracovních úrazech zaměstnanců příkazce.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vést pro příkazce v elektronické knize úrazů evidenci o všech úrazech.</w:t>
      </w:r>
    </w:p>
    <w:p w:rsidR="00417261" w:rsidRDefault="00417261" w:rsidP="00417261"/>
    <w:p w:rsidR="00417261" w:rsidRDefault="00417261" w:rsidP="00417261"/>
    <w:p w:rsidR="00417261" w:rsidRPr="00417261" w:rsidRDefault="00417261" w:rsidP="00417261"/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lastRenderedPageBreak/>
        <w:t>vést požární knihu.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realizovat prověrky BOZP, v rozsahu dle požadavků § 108 odst. 5 zákona č. 262/2006 Sb., zákoníku práce, ve znění pozdějších předpisů.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realizovat preventivní požární prohlídky (PPP), v rozsahu dle §§ 12 a 13 vyhlášky ministerstva vnitra č. 246/2001 Sb., o požární prevenci, ve znění pozdějších předpisů.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poskytovat poradenství v otázkách k problematice BOZP a PO mailem, telefonicky – pro případy složitějších dotazů a jejich komplikovaného vysvětlení může být nutno sjednat samostatnou schůzku, která je pak hrazena nad rámec služeb dle této smlouvy (viz níže).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fyzické kontroly dodržování předpisů na pracovištích příkazce.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fyzické kontroly používání osobních ochranných pracovních prostředků (OOPP) na pracovištích příkazce.</w:t>
      </w:r>
    </w:p>
    <w:p w:rsidR="00417261" w:rsidRDefault="00417261" w:rsidP="00417261">
      <w:pPr>
        <w:pStyle w:val="Nadpis2"/>
        <w:keepNext w:val="0"/>
        <w:numPr>
          <w:ilvl w:val="2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zpracovávání záznamů z kontrol, mimořádných událostí, odškodňovací komise apod.</w:t>
      </w:r>
    </w:p>
    <w:p w:rsidR="00417261" w:rsidRDefault="00417261" w:rsidP="00417261">
      <w:pPr>
        <w:pStyle w:val="Nadpis2"/>
        <w:keepNext w:val="0"/>
        <w:tabs>
          <w:tab w:val="left" w:pos="567"/>
        </w:tabs>
        <w:spacing w:before="120" w:after="0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interval pravidelných návštěv/kontrol k plnění výše uvedených služeb a činností je 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  <w:u w:val="single"/>
        </w:rPr>
        <w:t>3x ročně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.</w:t>
      </w:r>
    </w:p>
    <w:p w:rsidR="00417261" w:rsidRDefault="00417261" w:rsidP="00417261">
      <w:pPr>
        <w:spacing w:before="240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3 služby a činnosti nad rámec této smlouvy</w:t>
      </w:r>
    </w:p>
    <w:p w:rsidR="00417261" w:rsidRDefault="00417261" w:rsidP="00417261">
      <w:pPr>
        <w:pStyle w:val="Nadpis2"/>
        <w:keepNext w:val="0"/>
        <w:tabs>
          <w:tab w:val="left" w:pos="851"/>
        </w:tabs>
        <w:spacing w:before="120" w:after="0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níže uvedené služby a činnosti, případně další služby a činnosti jdoucí nad rámec této smlouvy, mohou být poskytnuty pouze po předchozím 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  <w:u w:val="single"/>
        </w:rPr>
        <w:t>písemném odsouhlasení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 ze strany příkazce co do jejich rozsahu a ceny. 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  <w:u w:val="single"/>
        </w:rPr>
        <w:t>V případě poskytnutí těchto služeb a činností bez předchozího souhlasu ze strany příkazníka se má za to, že tyto služby a činnosti jsou zahrnuty v odměně příkazníka sjednané v čl. 6 této smlouvy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přítomnost u kontroly oblastní inspekce práce (OIP) mimo interval pravidelných návštěv dle této smlouvy / orientačně 4.000,- CZK.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přítomnost u kontroly hasičského záchranného sboru (HZS) mimo interval pravidelných návštěv dle této smlouvy / orientačně 4.000,- CZK.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přítomnost u kontroly krajské hygienické stanice (KHS) mimo interval pravidelných návštěv dle této smlouvy / orientačně 4.000,- CZK.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vyžádaná návštěva u příkazce mimo interval pravidelných návštěv dle této smlouvy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školení o právních a ostatních předpisech k zajištění BOZP a PO pro zaměstnance příkazce vyžádané mimo pravidelný interval školení dle této smlouvy / cena dle 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realizace jiného samostatného školení pro práce dle požadavků příkazce (mimo pravidelné školení v BOZP a PO)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vyžádaná fyzická přítomnost při šetření příčin a okolností pracovních úrazů na pracovištích příkazce mimo interval pravidelných návštěv dle této smlouvy / cena dle 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vyžádaná fyzická přítomnost při šetření příčin a okolností požárů na pracovištích příkazce mimo interval pravidelných návštěv dle této smlouvy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(vyplnění) žádosti o provedení pracovně</w:t>
      </w:r>
      <w:r w:rsidR="00977AB9"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          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lékařské prohlídky ke konkrétní pracovní pozici / 800,- CZK / pracovní pozice.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(vyplnění) karty OOPP ke konkrétní pracovní pozici / 800,- CZK / pracovní pozice.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fyzické provedení zkoušek na přítomnost alkoholu ve vydechovaném vzduchu a jiných návykových látek (např. drog apod.)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dokumentace zdolávání požárů tzv. operativní karty, včetně projednání na HZS / cena dle dohody / orientačně 12.000,- CZK.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stanoviska k problematice BOZP ve vztahu k OIP, HZS, KHS, popř. pojišťovně nebo ČSSZ apod. / cena dle dohody / orientačně 1.500,- CZK.</w:t>
      </w:r>
    </w:p>
    <w:p w:rsidR="00417261" w:rsidRPr="00417261" w:rsidRDefault="00417261" w:rsidP="00417261"/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lastRenderedPageBreak/>
        <w:t>vypracování kategorizace prací pro KHS, tj. zpracování nových návrhů na zařazení prací do kategorií a případné zařazení pracovních činností do rizikových kategorií podle platné legislativy a zařazení pracovníků do kategorií prací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požárně bezpečnostního řešení (PBŘ)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zpracování klientem vyžádané aktualizace dokumentace na rámec požadavků legislativy např. při změně názvu firmy, sídla, statutárního orgánu apod.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dokumentace k problematice Prevence závažných havárií, havarijní plány apod. / cena dle 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zavedení a udržování systému řízení např. dle ČSN EN ISO 45001, ČSN EN ISO 14001 a ČSN EN ISO 9001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výkon činnosti koordinátora bezpečnosti a ochrany zdraví na staveništi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zpracování plánu bezpečnosti a ochrany zdraví při práci na staveništi,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zpracování technologických postupů např. pro stavební činnosti, výrobní činnosti, práce ve výškách apod.,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dodávky hasicích přístrojů a provedení revizí věcných prostředků požární ochrany a požárně bezpečnostních zařízení např. PHP, hydrantů, nouzového osvětlení, požárních dveří apod. / cena dle 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zpracování dokumentu k zajištění bezpečnosti a ochrany zdraví při práci na staveništi / orientačně 2.800,- CZK.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zpracování plánu bezpečnosti a ochrany zdraví při práci na staveništi / cena dle 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provedení revizí a kontrol vyhrazených technických zařízení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zpracování seznamu používaných chemických látek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bezpečnostních pokynů pro nakládání s nebezpečnými chemickými látkami a chemickými přípravky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bezpečnostních pokynů pro vyhrazená technická zařízení (např. systém bezpečné práce pro jeřábovou dopravu apod.)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místních provozních bezpečnostních předpisů pro stroje a zařízení / cena dle 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vypracování analýzy možností výskytu výbušné koncentrace / cena dle dohody.</w:t>
      </w:r>
    </w:p>
    <w:p w:rsidR="00417261" w:rsidRDefault="00417261" w:rsidP="00417261">
      <w:pPr>
        <w:pStyle w:val="Nadpis2"/>
        <w:keepNext w:val="0"/>
        <w:numPr>
          <w:ilvl w:val="2"/>
          <w:numId w:val="2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měření rizikových faktorů v pracovním prostředí / cena dle dohody.</w:t>
      </w:r>
    </w:p>
    <w:p w:rsidR="00417261" w:rsidRDefault="00417261" w:rsidP="00417261">
      <w:pPr>
        <w:pStyle w:val="Nadpis2"/>
        <w:keepNext w:val="0"/>
        <w:tabs>
          <w:tab w:val="left" w:pos="851"/>
        </w:tabs>
        <w:spacing w:before="120" w:after="0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výše uvedené služby a činnosti, v článku 2, bodech 2.1 a 2.2, případně další služby a činnosti jdoucí nad rámec této smlouvy se příkazník zavazuje realizovat v pracovních dnech, a to v pracovní době příkazníka tj. od 7:00 h – 16:00 h. Mimo tuto dobu a případně o víkendech je příkazník, např. za školení apod. oprávněn účtovat samostatný příplatek 2.500,- CZK, bez DPH.</w:t>
      </w:r>
    </w:p>
    <w:p w:rsidR="00417261" w:rsidRDefault="00417261" w:rsidP="00417261">
      <w:pPr>
        <w:keepNext/>
        <w:spacing w:before="240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4 povinnosti příkazce</w:t>
      </w:r>
    </w:p>
    <w:p w:rsidR="00417261" w:rsidRDefault="00417261" w:rsidP="00417261">
      <w:pPr>
        <w:pStyle w:val="Nadpis2"/>
        <w:keepNext w:val="0"/>
        <w:tabs>
          <w:tab w:val="left" w:pos="851"/>
        </w:tabs>
        <w:spacing w:before="120" w:after="0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  <w:u w:val="single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  <w:u w:val="single"/>
        </w:rPr>
        <w:t>příkazce se zavazuje poskytovat příkazníkovi součinnost při plnění služeb a činností dle předmětu této smlouvy, zejména pak:</w:t>
      </w:r>
    </w:p>
    <w:p w:rsidR="00417261" w:rsidRDefault="00417261" w:rsidP="00417261">
      <w:pPr>
        <w:pStyle w:val="Nadpis2"/>
        <w:keepNext w:val="0"/>
        <w:numPr>
          <w:ilvl w:val="2"/>
          <w:numId w:val="3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informovat příkazníka o všech podstatných zamýšlených nebo připravovaných změnách, ve vztahu k plnění povinností v oblasti BOZP a PO – např. výstavba, změna užívání nemovitostí, nákup nových vyhrazených technických zařízení, uvádění do provozu nových strojů a zařízení, změna majetkových vztahů, změna nebo zavádění nových technologií, změny činností, změny vnějších nebo vnitřních komunikačních systémů, svařování, kolaudace nových staveb apod.</w:t>
      </w:r>
    </w:p>
    <w:p w:rsidR="00417261" w:rsidRDefault="00417261" w:rsidP="00417261">
      <w:pPr>
        <w:pStyle w:val="Nadpis2"/>
        <w:keepNext w:val="0"/>
        <w:numPr>
          <w:ilvl w:val="2"/>
          <w:numId w:val="3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umožnit jednání příkazníka se statutárním zástupcem příkazce nebo s osobou statutárním zástupcem pověřenou je-li to potřebné k dosažení cílů této smlouvy.</w:t>
      </w:r>
    </w:p>
    <w:p w:rsidR="00417261" w:rsidRDefault="00417261" w:rsidP="00417261">
      <w:pPr>
        <w:pStyle w:val="Nadpis2"/>
        <w:keepNext w:val="0"/>
        <w:numPr>
          <w:ilvl w:val="2"/>
          <w:numId w:val="3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organizačně zajistit a vytvořit podmínky pro plnění služeb a činností dle předmětu této smlouvy.</w:t>
      </w:r>
    </w:p>
    <w:p w:rsidR="00417261" w:rsidRDefault="00417261" w:rsidP="00417261">
      <w:pPr>
        <w:pStyle w:val="Nadpis2"/>
        <w:keepNext w:val="0"/>
        <w:numPr>
          <w:ilvl w:val="2"/>
          <w:numId w:val="3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lastRenderedPageBreak/>
        <w:t>včas předložit k nahlédnutí, či prostudování, písemnosti nebo jiné dokumenty týkající se BOZP a PO, kterými je nutno se zabývat.</w:t>
      </w:r>
    </w:p>
    <w:p w:rsidR="00417261" w:rsidRDefault="00417261" w:rsidP="00417261">
      <w:pPr>
        <w:pStyle w:val="Nadpis2"/>
        <w:keepNext w:val="0"/>
        <w:numPr>
          <w:ilvl w:val="2"/>
          <w:numId w:val="3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informovat příkazníka o všech událostech majících vliv na plnění povinností příkazce v oblasti BOZP a PO (např. úrazy, mimořádné události, nákup nových strojů a zařízení, nákup nových chemických látek apod.).</w:t>
      </w:r>
    </w:p>
    <w:p w:rsidR="00417261" w:rsidRDefault="00417261" w:rsidP="00417261">
      <w:pPr>
        <w:spacing w:before="240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5 odpovědnost příkazníka</w:t>
      </w:r>
    </w:p>
    <w:p w:rsidR="00417261" w:rsidRDefault="00417261" w:rsidP="00417261">
      <w:pPr>
        <w:pStyle w:val="Nadpis2"/>
        <w:keepNext w:val="0"/>
        <w:numPr>
          <w:ilvl w:val="2"/>
          <w:numId w:val="4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příkazník odpovídá příkazci za škody vzniklé v důsledku vadného plnění povinností, ke kterým se touto smlouvou zavázal.</w:t>
      </w:r>
    </w:p>
    <w:p w:rsidR="00417261" w:rsidRDefault="00417261" w:rsidP="00417261">
      <w:pPr>
        <w:pStyle w:val="Nadpis2"/>
        <w:keepNext w:val="0"/>
        <w:numPr>
          <w:ilvl w:val="2"/>
          <w:numId w:val="4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příkazník neodpovídá za škody, které vzniknou z důvodu, že příkazce zatajil před příkazníkem pro služby a činnosti dle předmětu této smlouvy podstatné skutečnosti nebo podklady, nebo tyto skutečnosti sdělil příkazníkovi opožděně nebo opožděně předal potřebné doklady, nebo za škody vzniklé v důsledku nečinnosti příkazce např. viz čl. 4.</w:t>
      </w:r>
    </w:p>
    <w:p w:rsidR="00417261" w:rsidRDefault="00417261" w:rsidP="00417261">
      <w:pPr>
        <w:pStyle w:val="Nadpis2"/>
        <w:keepNext w:val="0"/>
        <w:numPr>
          <w:ilvl w:val="2"/>
          <w:numId w:val="4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příkazník rovněž neodpovídá za škody, na jejichž vznik byl příkazce upozorněn příkazníkem předem.</w:t>
      </w:r>
    </w:p>
    <w:p w:rsidR="00417261" w:rsidRDefault="00417261" w:rsidP="00417261">
      <w:pPr>
        <w:spacing w:before="240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6 odměna příkazníka</w:t>
      </w:r>
    </w:p>
    <w:p w:rsidR="00417261" w:rsidRDefault="00417261" w:rsidP="00417261">
      <w:pPr>
        <w:pStyle w:val="Nadpis2"/>
        <w:keepNext w:val="0"/>
        <w:numPr>
          <w:ilvl w:val="2"/>
          <w:numId w:val="5"/>
        </w:numPr>
        <w:tabs>
          <w:tab w:val="left" w:pos="567"/>
          <w:tab w:val="num" w:pos="720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příkazce se zavazuje včas a řádně uhradit odměnu příkazníka za činnosti a služby, které jsou předmětem této smlouvy.</w:t>
      </w:r>
    </w:p>
    <w:p w:rsidR="00417261" w:rsidRDefault="00417261" w:rsidP="00417261">
      <w:pPr>
        <w:pStyle w:val="Nadpis2"/>
        <w:keepNext w:val="0"/>
        <w:numPr>
          <w:ilvl w:val="2"/>
          <w:numId w:val="5"/>
        </w:numPr>
        <w:tabs>
          <w:tab w:val="left" w:pos="567"/>
          <w:tab w:val="num" w:pos="720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smluvní strany se dohodly na odměně příkazníka, za činnosti a služby poskytované příkazci, ve výši: 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  <w:u w:val="single"/>
        </w:rPr>
        <w:t>1.800,- CZK bez DPH měsíčně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 (jeden-tisíc-osm-set korun českých měsíčně).</w:t>
      </w:r>
    </w:p>
    <w:p w:rsidR="00417261" w:rsidRDefault="00417261" w:rsidP="00417261">
      <w:pPr>
        <w:pStyle w:val="Nadpis2"/>
        <w:keepNext w:val="0"/>
        <w:numPr>
          <w:ilvl w:val="2"/>
          <w:numId w:val="5"/>
        </w:numPr>
        <w:tabs>
          <w:tab w:val="left" w:pos="567"/>
          <w:tab w:val="num" w:pos="720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odměna příkazníka ve sjednané výši bude provedena na základě příkazníkem vystavené faktury (daňového dokladu).</w:t>
      </w:r>
    </w:p>
    <w:p w:rsidR="00417261" w:rsidRDefault="00417261" w:rsidP="00417261">
      <w:pPr>
        <w:pStyle w:val="Nadpis2"/>
        <w:keepNext w:val="0"/>
        <w:numPr>
          <w:ilvl w:val="2"/>
          <w:numId w:val="5"/>
        </w:numPr>
        <w:tabs>
          <w:tab w:val="left" w:pos="567"/>
          <w:tab w:val="num" w:pos="720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k odměně příkazníka bude připočtena DPH v souladu se Zákonem č. 235/2004 Sb., o dani z přidané hodnoty, ve znění pozdějších předpisů.</w:t>
      </w:r>
    </w:p>
    <w:p w:rsidR="00417261" w:rsidRDefault="00417261" w:rsidP="00417261">
      <w:pPr>
        <w:pStyle w:val="Nadpis2"/>
        <w:keepNext w:val="0"/>
        <w:numPr>
          <w:ilvl w:val="2"/>
          <w:numId w:val="5"/>
        </w:numPr>
        <w:tabs>
          <w:tab w:val="left" w:pos="567"/>
          <w:tab w:val="num" w:pos="720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splatnost odměny příkazníka bude vždy nejpozději k 15. dni po vystavení faktury. Za den úhrady se považuje den připsání sjednané částky na účet příkazníka.</w:t>
      </w:r>
    </w:p>
    <w:p w:rsidR="00417261" w:rsidRDefault="00417261" w:rsidP="00417261">
      <w:pPr>
        <w:pStyle w:val="Nadpis2"/>
        <w:keepNext w:val="0"/>
        <w:numPr>
          <w:ilvl w:val="2"/>
          <w:numId w:val="5"/>
        </w:numPr>
        <w:tabs>
          <w:tab w:val="left" w:pos="567"/>
          <w:tab w:val="num" w:pos="720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obě strany, které smlouvu </w:t>
      </w:r>
      <w:proofErr w:type="gramStart"/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uzavírají</w:t>
      </w:r>
      <w:proofErr w:type="gramEnd"/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 xml:space="preserve"> se </w:t>
      </w:r>
      <w:proofErr w:type="gramStart"/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dohodly</w:t>
      </w:r>
      <w:proofErr w:type="gramEnd"/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, že odměna příkazníka, uvedená v čl. 6 této smlouvy, a i ostatní ceny uvedené v této smlouvě, budou zajištěny proti inflaci a vzrůstajícím nákladům, navýšením o sazbu meziroční míry inflace, udávanou českým statistickým úřadem pro právě uplynulý rok, a to vždy k 1. lednu příslušného roku trvání této smlouvy, počínaje lednem roku 2026.</w:t>
      </w:r>
    </w:p>
    <w:p w:rsidR="00417261" w:rsidRDefault="00417261" w:rsidP="00417261">
      <w:pPr>
        <w:pStyle w:val="Nadpis2"/>
        <w:keepNext w:val="0"/>
        <w:numPr>
          <w:ilvl w:val="2"/>
          <w:numId w:val="5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nebude-li odměna příkazníka uhrazena v termínu splatnosti, je příkazník oprávněn požadovat po příkazci zaplacení smluvní pokuty ve výši 0,05 % z dlužné částky za každý započatý den po datu splatnosti.</w:t>
      </w:r>
    </w:p>
    <w:p w:rsidR="00417261" w:rsidRDefault="00417261" w:rsidP="00417261">
      <w:pPr>
        <w:keepNext/>
        <w:spacing w:before="240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7 platnost smlouvy</w:t>
      </w:r>
    </w:p>
    <w:p w:rsidR="00417261" w:rsidRDefault="00417261" w:rsidP="00417261">
      <w:pPr>
        <w:pStyle w:val="Nadpis2"/>
        <w:keepNext w:val="0"/>
        <w:numPr>
          <w:ilvl w:val="2"/>
          <w:numId w:val="6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tato smlouva nabývá platnosti dnem jejího podpisu poslední stranou, s účinností od 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  <w:u w:val="single"/>
        </w:rPr>
        <w:t>01/04/2025</w:t>
      </w: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.</w:t>
      </w:r>
    </w:p>
    <w:p w:rsidR="00417261" w:rsidRDefault="00417261" w:rsidP="00417261">
      <w:pPr>
        <w:pStyle w:val="Nadpis2"/>
        <w:keepNext w:val="0"/>
        <w:numPr>
          <w:ilvl w:val="2"/>
          <w:numId w:val="6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tato smlouva je uzavřena na dobu neurčitou.</w:t>
      </w:r>
    </w:p>
    <w:p w:rsidR="00417261" w:rsidRDefault="00417261" w:rsidP="00417261">
      <w:pPr>
        <w:pStyle w:val="Nadpis2"/>
        <w:keepNext w:val="0"/>
        <w:numPr>
          <w:ilvl w:val="2"/>
          <w:numId w:val="6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tato smlouva může být měněna jen písemnými dodatky.</w:t>
      </w:r>
    </w:p>
    <w:p w:rsidR="00417261" w:rsidRDefault="00417261" w:rsidP="00417261">
      <w:pPr>
        <w:pStyle w:val="Nadpis2"/>
        <w:keepNext w:val="0"/>
        <w:numPr>
          <w:ilvl w:val="2"/>
          <w:numId w:val="6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smluvní strany se dohodly, že každá ze smluvních stran je oprávněna podat výpověď této smlouvy, a to výpovědí ve smyslu Zákona č. 89/2012 Sb., občanského zákoníku, ve znění pozdějších předpisů. Výpověď této smlouvy musí být provedena písemnou formou. Tato smlouva zanikne ke konci měsíce následujícím po měsíci, v němž byla výpověď, druhé smluvní straně prokazatelně doručena.</w:t>
      </w:r>
    </w:p>
    <w:p w:rsidR="00417261" w:rsidRDefault="00417261" w:rsidP="00417261">
      <w:pPr>
        <w:pStyle w:val="Nadpis2"/>
        <w:keepNext w:val="0"/>
        <w:numPr>
          <w:ilvl w:val="2"/>
          <w:numId w:val="6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smluvní strany se dohodly, že řádné připsání každé jednotlivé platby stanovené v článku 6 této smlouvy, za služby dle této smlouvy, je nezbytnou podmínkou pro plnění povinností příkazníka stanovených touto smlouvou v článku 2. O přerušení služeb, ve smyslu tohoto bodu smlouvy, není příkazník povinen příkazce informovat.</w:t>
      </w:r>
    </w:p>
    <w:p w:rsidR="00417261" w:rsidRPr="00417261" w:rsidRDefault="00417261" w:rsidP="00417261"/>
    <w:p w:rsidR="00417261" w:rsidRDefault="00417261" w:rsidP="00417261">
      <w:pPr>
        <w:pStyle w:val="Nadpis2"/>
        <w:keepNext w:val="0"/>
        <w:numPr>
          <w:ilvl w:val="2"/>
          <w:numId w:val="6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lastRenderedPageBreak/>
        <w:t>tato smlouva a vztahy z ní se řídí právním řádem České republiky, zejména příslušnými ustanoveními Zákona č. 89/2012 Sb., občanského zákoníku, ve znění pozdějších předpisů.</w:t>
      </w:r>
    </w:p>
    <w:p w:rsidR="00417261" w:rsidRDefault="00417261" w:rsidP="00417261">
      <w:pPr>
        <w:spacing w:before="240"/>
        <w:jc w:val="center"/>
        <w:rPr>
          <w:rFonts w:ascii="Montserrat" w:hAnsi="Montserrat" w:cs="Arial"/>
          <w:b/>
          <w:bCs/>
          <w:sz w:val="19"/>
          <w:szCs w:val="19"/>
          <w:u w:val="single"/>
        </w:rPr>
      </w:pPr>
      <w:r>
        <w:rPr>
          <w:rFonts w:ascii="Montserrat" w:hAnsi="Montserrat" w:cs="Arial"/>
          <w:b/>
          <w:bCs/>
          <w:sz w:val="19"/>
          <w:szCs w:val="19"/>
          <w:u w:val="single"/>
        </w:rPr>
        <w:t>čl. 8 závěrečná ustanovení</w:t>
      </w:r>
    </w:p>
    <w:p w:rsidR="00417261" w:rsidRDefault="00417261" w:rsidP="00417261">
      <w:pPr>
        <w:pStyle w:val="Nadpis2"/>
        <w:keepNext w:val="0"/>
        <w:numPr>
          <w:ilvl w:val="2"/>
          <w:numId w:val="7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smluvní strany shodně prohlašují, že tato smlouva je výrazem projevů jejich svobodné, pravé a vážné vůle, že ji uzavírají na základě svých pravdivých údajů bez jakékoli tísně nebo nátlaku, což potvrzují svými vlastnoručními podpisy. Se smlouvou se seznámily a jejímu obsahu porozuměly.</w:t>
      </w:r>
    </w:p>
    <w:p w:rsidR="00417261" w:rsidRDefault="00417261" w:rsidP="00417261">
      <w:pPr>
        <w:pStyle w:val="Nadpis2"/>
        <w:keepNext w:val="0"/>
        <w:numPr>
          <w:ilvl w:val="2"/>
          <w:numId w:val="7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smluvní strany se zavazují vykonat veškeré úkony, jichž je podle této smlouvy, právních předpisů či z jiného důvodu zapotřebí k tomu, aby došlo k plné realizaci transakcí předvídaných touto smlouvou, a to i v případech, kdy to tato smlouva výslovně nezmiňuje.</w:t>
      </w:r>
    </w:p>
    <w:p w:rsidR="00417261" w:rsidRDefault="00417261" w:rsidP="00417261">
      <w:pPr>
        <w:pStyle w:val="Nadpis2"/>
        <w:keepNext w:val="0"/>
        <w:numPr>
          <w:ilvl w:val="2"/>
          <w:numId w:val="7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je-li některé z ustanovení této smlouvy neplatné, odporovatelné nebo nevynutitelné či stane-li se takovým v budoucnu, je či bude neplatné, odporovatelné nebo nevynutitelné pouze pro toto ustanovení a nedotýká se to platnosti a vynutitelnosti ustanoveních ostatních. Smluvní strany se zavazují vadné ustanovení bezodkladně nahradit ustanovením bezvadným, které v nejvyšší možné míře bude odpovídat obsahu a účelu vadného ustanovení.</w:t>
      </w:r>
    </w:p>
    <w:p w:rsidR="00417261" w:rsidRDefault="00417261" w:rsidP="00417261">
      <w:pPr>
        <w:pStyle w:val="Nadpis2"/>
        <w:keepNext w:val="0"/>
        <w:numPr>
          <w:ilvl w:val="2"/>
          <w:numId w:val="7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smluvní strany podpisem této smlouvy projevují, ve smyslu § 1724 Zákona č. 89/2012 Sb., občanského zákoníku, ve znění pozdějších předpisů, vůli zřídit mezi sebou závazek a řídit se obsahem této smlouvy.</w:t>
      </w:r>
    </w:p>
    <w:p w:rsidR="00417261" w:rsidRDefault="00417261" w:rsidP="00417261">
      <w:pPr>
        <w:pStyle w:val="Nadpis2"/>
        <w:keepNext w:val="0"/>
        <w:numPr>
          <w:ilvl w:val="2"/>
          <w:numId w:val="7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tato smlouva je sepsána ve dvou stejnopisech, z nichž po podepsání obdrží příkazce i příkazník po jednom vyhotovení.</w:t>
      </w:r>
    </w:p>
    <w:p w:rsidR="00417261" w:rsidRDefault="00417261" w:rsidP="00417261">
      <w:pPr>
        <w:pStyle w:val="Nadpis2"/>
        <w:keepNext w:val="0"/>
        <w:numPr>
          <w:ilvl w:val="2"/>
          <w:numId w:val="7"/>
        </w:numPr>
        <w:tabs>
          <w:tab w:val="left" w:pos="567"/>
        </w:tabs>
        <w:spacing w:before="120" w:after="0"/>
        <w:ind w:left="567" w:hanging="567"/>
        <w:jc w:val="both"/>
        <w:rPr>
          <w:rFonts w:ascii="Montserrat" w:hAnsi="Montserrat"/>
          <w:b w:val="0"/>
          <w:bCs w:val="0"/>
          <w:i w:val="0"/>
          <w:iCs w:val="0"/>
          <w:sz w:val="19"/>
          <w:szCs w:val="19"/>
        </w:rPr>
      </w:pPr>
      <w:r>
        <w:rPr>
          <w:rFonts w:ascii="Montserrat" w:hAnsi="Montserrat"/>
          <w:b w:val="0"/>
          <w:bCs w:val="0"/>
          <w:i w:val="0"/>
          <w:iCs w:val="0"/>
          <w:sz w:val="19"/>
          <w:szCs w:val="19"/>
        </w:rPr>
        <w:t>Základní škola a mateřská škola Český Těšín Pod Zvonek, příspěvková organizace informovala druhou smluvní stranu, že je povinným subjektem ve smyslu zákona č. 340/2015 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rovněž povinný subjekt ze zákona.</w:t>
      </w: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 xml:space="preserve">podepsáno dne: </w:t>
      </w:r>
      <w:proofErr w:type="gramStart"/>
      <w:r w:rsidR="00D56CBB">
        <w:rPr>
          <w:rFonts w:ascii="Montserrat" w:hAnsi="Montserrat" w:cs="Arial"/>
          <w:sz w:val="19"/>
          <w:szCs w:val="19"/>
        </w:rPr>
        <w:t>26.03.2025</w:t>
      </w:r>
      <w:proofErr w:type="gramEnd"/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</w:p>
    <w:p w:rsidR="00417261" w:rsidRDefault="00417261" w:rsidP="00417261">
      <w:pPr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>…………………………………………</w:t>
      </w:r>
      <w:r w:rsidR="00D56CBB">
        <w:rPr>
          <w:rFonts w:ascii="Montserrat" w:hAnsi="Montserrat" w:cs="Arial"/>
          <w:sz w:val="19"/>
          <w:szCs w:val="19"/>
        </w:rPr>
        <w:t>….............</w:t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 w:rsidR="00D56CBB"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>.....................................</w:t>
      </w:r>
    </w:p>
    <w:p w:rsidR="00417261" w:rsidRDefault="00D56CBB" w:rsidP="00417261">
      <w:pPr>
        <w:rPr>
          <w:rFonts w:ascii="Montserrat" w:hAnsi="Montserrat" w:cs="Arial"/>
          <w:spacing w:val="80"/>
          <w:sz w:val="19"/>
          <w:szCs w:val="19"/>
        </w:rPr>
      </w:pPr>
      <w:r>
        <w:rPr>
          <w:rFonts w:ascii="Montserrat" w:hAnsi="Montserrat" w:cs="Arial"/>
          <w:spacing w:val="80"/>
          <w:sz w:val="19"/>
          <w:szCs w:val="19"/>
        </w:rPr>
        <w:t xml:space="preserve">příkazník </w:t>
      </w:r>
      <w:r>
        <w:rPr>
          <w:rFonts w:ascii="Montserrat" w:hAnsi="Montserrat" w:cs="Arial"/>
          <w:spacing w:val="80"/>
          <w:sz w:val="19"/>
          <w:szCs w:val="19"/>
        </w:rPr>
        <w:tab/>
      </w:r>
      <w:r>
        <w:rPr>
          <w:rFonts w:ascii="Montserrat" w:hAnsi="Montserrat" w:cs="Arial"/>
          <w:spacing w:val="80"/>
          <w:sz w:val="19"/>
          <w:szCs w:val="19"/>
        </w:rPr>
        <w:tab/>
      </w:r>
      <w:r>
        <w:rPr>
          <w:rFonts w:ascii="Montserrat" w:hAnsi="Montserrat" w:cs="Arial"/>
          <w:spacing w:val="80"/>
          <w:sz w:val="19"/>
          <w:szCs w:val="19"/>
        </w:rPr>
        <w:tab/>
      </w:r>
      <w:r>
        <w:rPr>
          <w:rFonts w:ascii="Montserrat" w:hAnsi="Montserrat" w:cs="Arial"/>
          <w:spacing w:val="80"/>
          <w:sz w:val="19"/>
          <w:szCs w:val="19"/>
        </w:rPr>
        <w:tab/>
      </w:r>
      <w:r w:rsidR="00417261">
        <w:rPr>
          <w:rFonts w:ascii="Montserrat" w:hAnsi="Montserrat" w:cs="Arial"/>
          <w:spacing w:val="80"/>
          <w:sz w:val="19"/>
          <w:szCs w:val="19"/>
        </w:rPr>
        <w:t>příkazce</w:t>
      </w:r>
    </w:p>
    <w:p w:rsidR="00417261" w:rsidRDefault="00D56CBB" w:rsidP="00417261">
      <w:pPr>
        <w:ind w:left="709" w:hanging="709"/>
        <w:jc w:val="both"/>
        <w:rPr>
          <w:rFonts w:ascii="Montserrat" w:hAnsi="Montserrat" w:cs="Arial"/>
          <w:b/>
          <w:bCs/>
          <w:sz w:val="19"/>
          <w:szCs w:val="19"/>
        </w:rPr>
      </w:pPr>
      <w:r>
        <w:rPr>
          <w:rFonts w:ascii="Montserrat" w:hAnsi="Montserrat" w:cs="Arial"/>
          <w:b/>
          <w:bCs/>
          <w:sz w:val="19"/>
          <w:szCs w:val="19"/>
        </w:rPr>
        <w:t xml:space="preserve">BOZP </w:t>
      </w:r>
      <w:proofErr w:type="spellStart"/>
      <w:r>
        <w:rPr>
          <w:rFonts w:ascii="Montserrat" w:hAnsi="Montserrat" w:cs="Arial"/>
          <w:b/>
          <w:bCs/>
          <w:sz w:val="19"/>
          <w:szCs w:val="19"/>
        </w:rPr>
        <w:t>Solution</w:t>
      </w:r>
      <w:proofErr w:type="spellEnd"/>
      <w:r>
        <w:rPr>
          <w:rFonts w:ascii="Montserrat" w:hAnsi="Montserrat" w:cs="Arial"/>
          <w:b/>
          <w:bCs/>
          <w:sz w:val="19"/>
          <w:szCs w:val="19"/>
        </w:rPr>
        <w:t xml:space="preserve"> s.r.o.</w:t>
      </w:r>
      <w:r>
        <w:rPr>
          <w:rFonts w:ascii="Montserrat" w:hAnsi="Montserrat" w:cs="Arial"/>
          <w:b/>
          <w:bCs/>
          <w:sz w:val="19"/>
          <w:szCs w:val="19"/>
        </w:rPr>
        <w:tab/>
      </w:r>
      <w:r>
        <w:rPr>
          <w:rFonts w:ascii="Montserrat" w:hAnsi="Montserrat" w:cs="Arial"/>
          <w:b/>
          <w:bCs/>
          <w:sz w:val="19"/>
          <w:szCs w:val="19"/>
        </w:rPr>
        <w:tab/>
      </w:r>
      <w:r>
        <w:rPr>
          <w:rFonts w:ascii="Montserrat" w:hAnsi="Montserrat" w:cs="Arial"/>
          <w:b/>
          <w:bCs/>
          <w:sz w:val="19"/>
          <w:szCs w:val="19"/>
        </w:rPr>
        <w:tab/>
      </w:r>
      <w:proofErr w:type="spellStart"/>
      <w:r w:rsidR="00417261">
        <w:rPr>
          <w:rFonts w:ascii="Montserrat" w:hAnsi="Montserrat" w:cs="Arial"/>
          <w:b/>
          <w:bCs/>
          <w:sz w:val="19"/>
          <w:szCs w:val="19"/>
        </w:rPr>
        <w:t>Z</w:t>
      </w:r>
      <w:r>
        <w:rPr>
          <w:rFonts w:ascii="Montserrat" w:hAnsi="Montserrat" w:cs="Arial"/>
          <w:b/>
          <w:bCs/>
          <w:sz w:val="19"/>
          <w:szCs w:val="19"/>
        </w:rPr>
        <w:t>akladní</w:t>
      </w:r>
      <w:proofErr w:type="spellEnd"/>
      <w:r>
        <w:rPr>
          <w:rFonts w:ascii="Montserrat" w:hAnsi="Montserrat" w:cs="Arial"/>
          <w:b/>
          <w:bCs/>
          <w:sz w:val="19"/>
          <w:szCs w:val="19"/>
        </w:rPr>
        <w:t xml:space="preserve"> škola a mateřská škola Český Těšín </w:t>
      </w:r>
      <w:r w:rsidR="00417261">
        <w:rPr>
          <w:rFonts w:ascii="Montserrat" w:hAnsi="Montserrat" w:cs="Arial"/>
          <w:b/>
          <w:bCs/>
          <w:sz w:val="19"/>
          <w:szCs w:val="19"/>
        </w:rPr>
        <w:t>Pod Zvonek</w:t>
      </w:r>
    </w:p>
    <w:p w:rsidR="00417261" w:rsidRDefault="00D56CBB" w:rsidP="00417261">
      <w:pPr>
        <w:ind w:left="709" w:hanging="709"/>
        <w:jc w:val="both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 xml:space="preserve">Ing. Richard KAJZAR, jednatel </w:t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proofErr w:type="spellStart"/>
      <w:proofErr w:type="gramStart"/>
      <w:r>
        <w:rPr>
          <w:rFonts w:ascii="Montserrat" w:hAnsi="Montserrat" w:cs="Arial"/>
          <w:sz w:val="19"/>
          <w:szCs w:val="19"/>
        </w:rPr>
        <w:t>Mgr.Renáta</w:t>
      </w:r>
      <w:proofErr w:type="spellEnd"/>
      <w:proofErr w:type="gramEnd"/>
      <w:r>
        <w:rPr>
          <w:rFonts w:ascii="Montserrat" w:hAnsi="Montserrat" w:cs="Arial"/>
          <w:sz w:val="19"/>
          <w:szCs w:val="19"/>
        </w:rPr>
        <w:t xml:space="preserve"> Čalová WAPIENIKOVÁ, </w:t>
      </w:r>
      <w:r w:rsidR="00417261">
        <w:rPr>
          <w:rFonts w:ascii="Montserrat" w:hAnsi="Montserrat" w:cs="Arial"/>
          <w:sz w:val="19"/>
          <w:szCs w:val="19"/>
        </w:rPr>
        <w:t>ředitelka</w:t>
      </w:r>
    </w:p>
    <w:p w:rsidR="00B477CC" w:rsidRDefault="00B477CC"/>
    <w:sectPr w:rsidR="00B477CC" w:rsidSect="00417261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67C"/>
    <w:multiLevelType w:val="multilevel"/>
    <w:tmpl w:val="C69284A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5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7DA42B8"/>
    <w:multiLevelType w:val="multilevel"/>
    <w:tmpl w:val="30D4B70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7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3CD7726"/>
    <w:multiLevelType w:val="multilevel"/>
    <w:tmpl w:val="80221A0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4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4D0D42B0"/>
    <w:multiLevelType w:val="multilevel"/>
    <w:tmpl w:val="A73296F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3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43363E5"/>
    <w:multiLevelType w:val="multilevel"/>
    <w:tmpl w:val="C39A61C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8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757E467D"/>
    <w:multiLevelType w:val="multilevel"/>
    <w:tmpl w:val="B6E4D11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2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77BC2F2C"/>
    <w:multiLevelType w:val="multilevel"/>
    <w:tmpl w:val="4E38404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6.%3"/>
      <w:lvlJc w:val="left"/>
      <w:pPr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61"/>
    <w:rsid w:val="00417261"/>
    <w:rsid w:val="00977AB9"/>
    <w:rsid w:val="00B477CC"/>
    <w:rsid w:val="00D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959F"/>
  <w15:chartTrackingRefBased/>
  <w15:docId w15:val="{00B4AC73-B317-4B5F-91A4-3B36341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7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17261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2088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2</cp:revision>
  <dcterms:created xsi:type="dcterms:W3CDTF">2025-04-01T12:33:00Z</dcterms:created>
  <dcterms:modified xsi:type="dcterms:W3CDTF">2025-04-01T12:54:00Z</dcterms:modified>
</cp:coreProperties>
</file>