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BC1" w:rsidRDefault="00000000">
      <w:pPr>
        <w:spacing w:after="203" w:line="259" w:lineRule="auto"/>
        <w:ind w:left="154"/>
        <w:jc w:val="center"/>
      </w:pPr>
      <w:r>
        <w:rPr>
          <w:sz w:val="18"/>
        </w:rPr>
        <w:t>ID nabídky 0000769397</w:t>
      </w:r>
    </w:p>
    <w:p w:rsidR="00252BC1" w:rsidRDefault="00000000">
      <w:pPr>
        <w:spacing w:after="625" w:line="216" w:lineRule="auto"/>
        <w:ind w:left="72" w:right="4120" w:firstLine="7"/>
        <w:jc w:val="left"/>
      </w:pPr>
      <w:r>
        <w:rPr>
          <w:noProof/>
        </w:rPr>
        <w:drawing>
          <wp:anchor distT="0" distB="0" distL="114300" distR="114300" simplePos="0" relativeHeight="251658240" behindDoc="0" locked="0" layoutInCell="1" allowOverlap="0">
            <wp:simplePos x="0" y="0"/>
            <wp:positionH relativeFrom="column">
              <wp:posOffset>6027919</wp:posOffset>
            </wp:positionH>
            <wp:positionV relativeFrom="paragraph">
              <wp:posOffset>-7556</wp:posOffset>
            </wp:positionV>
            <wp:extent cx="544251" cy="548849"/>
            <wp:effectExtent l="0" t="0" r="0" b="0"/>
            <wp:wrapSquare wrapText="bothSides"/>
            <wp:docPr id="3900" name="Picture 3900"/>
            <wp:cNvGraphicFramePr/>
            <a:graphic xmlns:a="http://schemas.openxmlformats.org/drawingml/2006/main">
              <a:graphicData uri="http://schemas.openxmlformats.org/drawingml/2006/picture">
                <pic:pic xmlns:pic="http://schemas.openxmlformats.org/drawingml/2006/picture">
                  <pic:nvPicPr>
                    <pic:cNvPr id="3900" name="Picture 3900"/>
                    <pic:cNvPicPr/>
                  </pic:nvPicPr>
                  <pic:blipFill>
                    <a:blip r:embed="rId7"/>
                    <a:stretch>
                      <a:fillRect/>
                    </a:stretch>
                  </pic:blipFill>
                  <pic:spPr>
                    <a:xfrm>
                      <a:off x="0" y="0"/>
                      <a:ext cx="544251" cy="548849"/>
                    </a:xfrm>
                    <a:prstGeom prst="rect">
                      <a:avLst/>
                    </a:prstGeom>
                  </pic:spPr>
                </pic:pic>
              </a:graphicData>
            </a:graphic>
          </wp:anchor>
        </w:drawing>
      </w:r>
      <w:r>
        <w:rPr>
          <w:sz w:val="32"/>
        </w:rPr>
        <w:t>Dodatek č.: 1-298520798098 0 k Rámcové smlouvě č.: 1-275</w:t>
      </w:r>
      <w:r w:rsidR="00083AF7">
        <w:rPr>
          <w:sz w:val="32"/>
        </w:rPr>
        <w:t>6</w:t>
      </w:r>
      <w:r>
        <w:rPr>
          <w:sz w:val="32"/>
        </w:rPr>
        <w:t>55116924 0</w:t>
      </w:r>
    </w:p>
    <w:p w:rsidR="00252BC1" w:rsidRDefault="00000000">
      <w:pPr>
        <w:spacing w:after="27"/>
      </w:pPr>
      <w:r>
        <w:t>(dále jen „Dodatek”) uzavřený mezi</w:t>
      </w:r>
    </w:p>
    <w:p w:rsidR="00252BC1" w:rsidRDefault="00000000">
      <w:pPr>
        <w:tabs>
          <w:tab w:val="center" w:pos="3342"/>
          <w:tab w:val="center" w:pos="6860"/>
        </w:tabs>
        <w:spacing w:after="41"/>
        <w:ind w:left="0" w:firstLine="0"/>
        <w:jc w:val="left"/>
      </w:pPr>
      <w:r>
        <w:tab/>
        <w:t>Vodafone Czech Republic a.s.</w:t>
      </w:r>
      <w:r>
        <w:tab/>
        <w:t>Ústav anorganické chemie AV ČR, v. v. i.</w:t>
      </w:r>
    </w:p>
    <w:tbl>
      <w:tblPr>
        <w:tblStyle w:val="TableGrid"/>
        <w:tblW w:w="6554" w:type="dxa"/>
        <w:tblInd w:w="151" w:type="dxa"/>
        <w:tblCellMar>
          <w:top w:w="0" w:type="dxa"/>
          <w:left w:w="0" w:type="dxa"/>
          <w:bottom w:w="0" w:type="dxa"/>
          <w:right w:w="0" w:type="dxa"/>
        </w:tblCellMar>
        <w:tblLook w:val="04A0" w:firstRow="1" w:lastRow="0" w:firstColumn="1" w:lastColumn="0" w:noHBand="0" w:noVBand="1"/>
      </w:tblPr>
      <w:tblGrid>
        <w:gridCol w:w="2118"/>
        <w:gridCol w:w="3010"/>
        <w:gridCol w:w="1426"/>
      </w:tblGrid>
      <w:tr w:rsidR="00252BC1">
        <w:trPr>
          <w:trHeight w:val="234"/>
        </w:trPr>
        <w:tc>
          <w:tcPr>
            <w:tcW w:w="2118" w:type="dxa"/>
            <w:tcBorders>
              <w:top w:val="nil"/>
              <w:left w:val="nil"/>
              <w:bottom w:val="nil"/>
              <w:right w:val="nil"/>
            </w:tcBorders>
          </w:tcPr>
          <w:p w:rsidR="00252BC1" w:rsidRDefault="00000000">
            <w:pPr>
              <w:spacing w:after="0" w:line="259" w:lineRule="auto"/>
              <w:ind w:left="7" w:firstLine="0"/>
              <w:jc w:val="left"/>
            </w:pPr>
            <w:r>
              <w:t>Sídlo</w:t>
            </w:r>
          </w:p>
        </w:tc>
        <w:tc>
          <w:tcPr>
            <w:tcW w:w="3011" w:type="dxa"/>
            <w:tcBorders>
              <w:top w:val="nil"/>
              <w:left w:val="nil"/>
              <w:bottom w:val="nil"/>
              <w:right w:val="nil"/>
            </w:tcBorders>
          </w:tcPr>
          <w:p w:rsidR="00252BC1" w:rsidRDefault="00000000">
            <w:pPr>
              <w:spacing w:after="0" w:line="259" w:lineRule="auto"/>
              <w:ind w:left="14" w:firstLine="0"/>
              <w:jc w:val="left"/>
            </w:pPr>
            <w:r>
              <w:rPr>
                <w:sz w:val="18"/>
              </w:rPr>
              <w:t>náměstí Junkových 2</w:t>
            </w:r>
          </w:p>
        </w:tc>
        <w:tc>
          <w:tcPr>
            <w:tcW w:w="1426" w:type="dxa"/>
            <w:tcBorders>
              <w:top w:val="nil"/>
              <w:left w:val="nil"/>
              <w:bottom w:val="nil"/>
              <w:right w:val="nil"/>
            </w:tcBorders>
          </w:tcPr>
          <w:p w:rsidR="00252BC1" w:rsidRDefault="00000000">
            <w:pPr>
              <w:spacing w:after="0" w:line="259" w:lineRule="auto"/>
              <w:ind w:left="158" w:firstLine="0"/>
              <w:jc w:val="left"/>
            </w:pPr>
            <w:r>
              <w:rPr>
                <w:sz w:val="18"/>
              </w:rPr>
              <w:t>Řež 1001</w:t>
            </w:r>
          </w:p>
        </w:tc>
      </w:tr>
      <w:tr w:rsidR="00252BC1">
        <w:trPr>
          <w:trHeight w:val="240"/>
        </w:trPr>
        <w:tc>
          <w:tcPr>
            <w:tcW w:w="2118" w:type="dxa"/>
            <w:tcBorders>
              <w:top w:val="nil"/>
              <w:left w:val="nil"/>
              <w:bottom w:val="nil"/>
              <w:right w:val="nil"/>
            </w:tcBorders>
          </w:tcPr>
          <w:p w:rsidR="00252BC1" w:rsidRDefault="00252BC1">
            <w:pPr>
              <w:spacing w:after="160" w:line="259" w:lineRule="auto"/>
              <w:ind w:left="0" w:firstLine="0"/>
              <w:jc w:val="left"/>
            </w:pPr>
          </w:p>
        </w:tc>
        <w:tc>
          <w:tcPr>
            <w:tcW w:w="3011" w:type="dxa"/>
            <w:tcBorders>
              <w:top w:val="nil"/>
              <w:left w:val="nil"/>
              <w:bottom w:val="nil"/>
              <w:right w:val="nil"/>
            </w:tcBorders>
          </w:tcPr>
          <w:p w:rsidR="00252BC1" w:rsidRDefault="00000000">
            <w:pPr>
              <w:spacing w:after="0" w:line="259" w:lineRule="auto"/>
              <w:ind w:left="22" w:firstLine="0"/>
              <w:jc w:val="left"/>
            </w:pPr>
            <w:r>
              <w:rPr>
                <w:sz w:val="18"/>
              </w:rPr>
              <w:t>155 OO Praha 5</w:t>
            </w:r>
          </w:p>
        </w:tc>
        <w:tc>
          <w:tcPr>
            <w:tcW w:w="1426" w:type="dxa"/>
            <w:tcBorders>
              <w:top w:val="nil"/>
              <w:left w:val="nil"/>
              <w:bottom w:val="nil"/>
              <w:right w:val="nil"/>
            </w:tcBorders>
          </w:tcPr>
          <w:p w:rsidR="00252BC1" w:rsidRDefault="00000000">
            <w:pPr>
              <w:spacing w:after="0" w:line="259" w:lineRule="auto"/>
              <w:ind w:left="158" w:firstLine="0"/>
              <w:jc w:val="left"/>
            </w:pPr>
            <w:r>
              <w:rPr>
                <w:sz w:val="18"/>
              </w:rPr>
              <w:t>25068 Husinec</w:t>
            </w:r>
          </w:p>
        </w:tc>
      </w:tr>
      <w:tr w:rsidR="00252BC1">
        <w:trPr>
          <w:trHeight w:val="235"/>
        </w:trPr>
        <w:tc>
          <w:tcPr>
            <w:tcW w:w="2118" w:type="dxa"/>
            <w:tcBorders>
              <w:top w:val="nil"/>
              <w:left w:val="nil"/>
              <w:bottom w:val="nil"/>
              <w:right w:val="nil"/>
            </w:tcBorders>
          </w:tcPr>
          <w:p w:rsidR="00252BC1" w:rsidRDefault="00252BC1">
            <w:pPr>
              <w:spacing w:after="160" w:line="259" w:lineRule="auto"/>
              <w:ind w:left="0" w:firstLine="0"/>
              <w:jc w:val="left"/>
            </w:pPr>
          </w:p>
        </w:tc>
        <w:tc>
          <w:tcPr>
            <w:tcW w:w="3011" w:type="dxa"/>
            <w:tcBorders>
              <w:top w:val="nil"/>
              <w:left w:val="nil"/>
              <w:bottom w:val="nil"/>
              <w:right w:val="nil"/>
            </w:tcBorders>
          </w:tcPr>
          <w:p w:rsidR="00252BC1" w:rsidRDefault="00000000">
            <w:pPr>
              <w:spacing w:after="0" w:line="259" w:lineRule="auto"/>
              <w:ind w:left="14" w:firstLine="0"/>
              <w:jc w:val="left"/>
            </w:pPr>
            <w:r>
              <w:rPr>
                <w:rFonts w:ascii="Times New Roman" w:eastAsia="Times New Roman" w:hAnsi="Times New Roman" w:cs="Times New Roman"/>
                <w:sz w:val="18"/>
              </w:rPr>
              <w:t>25788001</w:t>
            </w:r>
          </w:p>
        </w:tc>
        <w:tc>
          <w:tcPr>
            <w:tcW w:w="1426" w:type="dxa"/>
            <w:tcBorders>
              <w:top w:val="nil"/>
              <w:left w:val="nil"/>
              <w:bottom w:val="nil"/>
              <w:right w:val="nil"/>
            </w:tcBorders>
          </w:tcPr>
          <w:p w:rsidR="00252BC1" w:rsidRDefault="00000000">
            <w:pPr>
              <w:spacing w:after="0" w:line="259" w:lineRule="auto"/>
              <w:ind w:left="158" w:firstLine="0"/>
              <w:jc w:val="left"/>
            </w:pPr>
            <w:r>
              <w:rPr>
                <w:rFonts w:ascii="Times New Roman" w:eastAsia="Times New Roman" w:hAnsi="Times New Roman" w:cs="Times New Roman"/>
                <w:sz w:val="18"/>
              </w:rPr>
              <w:t>61388980</w:t>
            </w:r>
          </w:p>
        </w:tc>
      </w:tr>
      <w:tr w:rsidR="00252BC1">
        <w:trPr>
          <w:trHeight w:val="237"/>
        </w:trPr>
        <w:tc>
          <w:tcPr>
            <w:tcW w:w="2118" w:type="dxa"/>
            <w:tcBorders>
              <w:top w:val="nil"/>
              <w:left w:val="nil"/>
              <w:bottom w:val="nil"/>
              <w:right w:val="nil"/>
            </w:tcBorders>
          </w:tcPr>
          <w:p w:rsidR="00252BC1" w:rsidRDefault="00000000">
            <w:pPr>
              <w:spacing w:after="0" w:line="259" w:lineRule="auto"/>
              <w:ind w:left="7" w:firstLine="0"/>
              <w:jc w:val="left"/>
            </w:pPr>
            <w:r>
              <w:t>DIČ</w:t>
            </w:r>
          </w:p>
        </w:tc>
        <w:tc>
          <w:tcPr>
            <w:tcW w:w="3011" w:type="dxa"/>
            <w:tcBorders>
              <w:top w:val="nil"/>
              <w:left w:val="nil"/>
              <w:bottom w:val="nil"/>
              <w:right w:val="nil"/>
            </w:tcBorders>
          </w:tcPr>
          <w:p w:rsidR="00252BC1" w:rsidRDefault="00000000">
            <w:pPr>
              <w:spacing w:after="0" w:line="259" w:lineRule="auto"/>
              <w:ind w:left="14" w:firstLine="0"/>
              <w:jc w:val="left"/>
            </w:pPr>
            <w:r>
              <w:rPr>
                <w:sz w:val="18"/>
              </w:rPr>
              <w:t>CZ25788001</w:t>
            </w:r>
          </w:p>
        </w:tc>
        <w:tc>
          <w:tcPr>
            <w:tcW w:w="1426" w:type="dxa"/>
            <w:tcBorders>
              <w:top w:val="nil"/>
              <w:left w:val="nil"/>
              <w:bottom w:val="nil"/>
              <w:right w:val="nil"/>
            </w:tcBorders>
          </w:tcPr>
          <w:p w:rsidR="00252BC1" w:rsidRDefault="00252BC1">
            <w:pPr>
              <w:spacing w:after="160" w:line="259" w:lineRule="auto"/>
              <w:ind w:left="0" w:firstLine="0"/>
              <w:jc w:val="left"/>
            </w:pPr>
          </w:p>
        </w:tc>
      </w:tr>
      <w:tr w:rsidR="00252BC1">
        <w:trPr>
          <w:trHeight w:val="252"/>
        </w:trPr>
        <w:tc>
          <w:tcPr>
            <w:tcW w:w="2118" w:type="dxa"/>
            <w:tcBorders>
              <w:top w:val="nil"/>
              <w:left w:val="nil"/>
              <w:bottom w:val="nil"/>
              <w:right w:val="nil"/>
            </w:tcBorders>
          </w:tcPr>
          <w:p w:rsidR="00252BC1" w:rsidRDefault="00000000">
            <w:pPr>
              <w:spacing w:after="0" w:line="259" w:lineRule="auto"/>
              <w:ind w:left="7" w:firstLine="0"/>
              <w:jc w:val="left"/>
            </w:pPr>
            <w:r>
              <w:rPr>
                <w:sz w:val="18"/>
              </w:rPr>
              <w:t xml:space="preserve">Bank. spojení, č. </w:t>
            </w:r>
            <w:proofErr w:type="spellStart"/>
            <w:r>
              <w:rPr>
                <w:sz w:val="18"/>
              </w:rPr>
              <w:t>ú.</w:t>
            </w:r>
            <w:proofErr w:type="spellEnd"/>
          </w:p>
        </w:tc>
        <w:tc>
          <w:tcPr>
            <w:tcW w:w="3011" w:type="dxa"/>
            <w:tcBorders>
              <w:top w:val="nil"/>
              <w:left w:val="nil"/>
              <w:bottom w:val="nil"/>
              <w:right w:val="nil"/>
            </w:tcBorders>
          </w:tcPr>
          <w:p w:rsidR="00252BC1" w:rsidRDefault="00000000">
            <w:pPr>
              <w:spacing w:after="0" w:line="259" w:lineRule="auto"/>
              <w:ind w:left="14" w:firstLine="0"/>
              <w:jc w:val="left"/>
            </w:pPr>
            <w:r>
              <w:rPr>
                <w:sz w:val="18"/>
              </w:rPr>
              <w:t xml:space="preserve">ČSOB, č. </w:t>
            </w:r>
            <w:proofErr w:type="spellStart"/>
            <w:r>
              <w:rPr>
                <w:sz w:val="18"/>
              </w:rPr>
              <w:t>ú.</w:t>
            </w:r>
            <w:proofErr w:type="spellEnd"/>
            <w:r>
              <w:rPr>
                <w:sz w:val="18"/>
              </w:rPr>
              <w:t xml:space="preserve"> 1 17292/0300</w:t>
            </w:r>
          </w:p>
        </w:tc>
        <w:tc>
          <w:tcPr>
            <w:tcW w:w="1426" w:type="dxa"/>
            <w:tcBorders>
              <w:top w:val="nil"/>
              <w:left w:val="nil"/>
              <w:bottom w:val="nil"/>
              <w:right w:val="nil"/>
            </w:tcBorders>
          </w:tcPr>
          <w:p w:rsidR="00252BC1" w:rsidRDefault="00252BC1">
            <w:pPr>
              <w:spacing w:after="160" w:line="259" w:lineRule="auto"/>
              <w:ind w:left="0" w:firstLine="0"/>
              <w:jc w:val="left"/>
            </w:pPr>
          </w:p>
        </w:tc>
      </w:tr>
      <w:tr w:rsidR="00252BC1">
        <w:trPr>
          <w:trHeight w:val="244"/>
        </w:trPr>
        <w:tc>
          <w:tcPr>
            <w:tcW w:w="2118" w:type="dxa"/>
            <w:tcBorders>
              <w:top w:val="nil"/>
              <w:left w:val="nil"/>
              <w:bottom w:val="nil"/>
              <w:right w:val="nil"/>
            </w:tcBorders>
          </w:tcPr>
          <w:p w:rsidR="00252BC1" w:rsidRDefault="00000000">
            <w:pPr>
              <w:spacing w:after="0" w:line="259" w:lineRule="auto"/>
              <w:ind w:left="0" w:firstLine="0"/>
              <w:jc w:val="left"/>
            </w:pPr>
            <w:proofErr w:type="spellStart"/>
            <w:r>
              <w:t>Zaps</w:t>
            </w:r>
            <w:proofErr w:type="spellEnd"/>
            <w:r>
              <w:t xml:space="preserve">. v OR u </w:t>
            </w:r>
            <w:proofErr w:type="spellStart"/>
            <w:r>
              <w:t>rejstř</w:t>
            </w:r>
            <w:proofErr w:type="spellEnd"/>
            <w:r>
              <w:t>. soudu v</w:t>
            </w:r>
          </w:p>
        </w:tc>
        <w:tc>
          <w:tcPr>
            <w:tcW w:w="3011" w:type="dxa"/>
            <w:tcBorders>
              <w:top w:val="nil"/>
              <w:left w:val="nil"/>
              <w:bottom w:val="nil"/>
              <w:right w:val="nil"/>
            </w:tcBorders>
          </w:tcPr>
          <w:p w:rsidR="00252BC1" w:rsidRDefault="00000000">
            <w:pPr>
              <w:spacing w:after="0" w:line="259" w:lineRule="auto"/>
              <w:ind w:left="14" w:firstLine="0"/>
              <w:jc w:val="left"/>
            </w:pPr>
            <w:r>
              <w:t>Praze</w:t>
            </w:r>
          </w:p>
        </w:tc>
        <w:tc>
          <w:tcPr>
            <w:tcW w:w="1426" w:type="dxa"/>
            <w:tcBorders>
              <w:top w:val="nil"/>
              <w:left w:val="nil"/>
              <w:bottom w:val="nil"/>
              <w:right w:val="nil"/>
            </w:tcBorders>
          </w:tcPr>
          <w:p w:rsidR="00252BC1" w:rsidRDefault="00252BC1">
            <w:pPr>
              <w:spacing w:after="160" w:line="259" w:lineRule="auto"/>
              <w:ind w:left="0" w:firstLine="0"/>
              <w:jc w:val="left"/>
            </w:pPr>
          </w:p>
        </w:tc>
      </w:tr>
      <w:tr w:rsidR="00252BC1">
        <w:trPr>
          <w:trHeight w:val="245"/>
        </w:trPr>
        <w:tc>
          <w:tcPr>
            <w:tcW w:w="2118" w:type="dxa"/>
            <w:tcBorders>
              <w:top w:val="nil"/>
              <w:left w:val="nil"/>
              <w:bottom w:val="nil"/>
              <w:right w:val="nil"/>
            </w:tcBorders>
          </w:tcPr>
          <w:p w:rsidR="00252BC1" w:rsidRDefault="00000000">
            <w:pPr>
              <w:spacing w:after="0" w:line="259" w:lineRule="auto"/>
              <w:ind w:left="0" w:firstLine="0"/>
              <w:jc w:val="left"/>
            </w:pPr>
            <w:r>
              <w:t>oddíl B, vložka</w:t>
            </w:r>
          </w:p>
        </w:tc>
        <w:tc>
          <w:tcPr>
            <w:tcW w:w="3011" w:type="dxa"/>
            <w:tcBorders>
              <w:top w:val="nil"/>
              <w:left w:val="nil"/>
              <w:bottom w:val="nil"/>
              <w:right w:val="nil"/>
            </w:tcBorders>
          </w:tcPr>
          <w:p w:rsidR="00252BC1" w:rsidRDefault="00000000">
            <w:pPr>
              <w:spacing w:after="0" w:line="259" w:lineRule="auto"/>
              <w:ind w:left="14" w:firstLine="0"/>
              <w:jc w:val="left"/>
            </w:pPr>
            <w:r>
              <w:rPr>
                <w:rFonts w:ascii="Times New Roman" w:eastAsia="Times New Roman" w:hAnsi="Times New Roman" w:cs="Times New Roman"/>
                <w:sz w:val="18"/>
              </w:rPr>
              <w:t>6064</w:t>
            </w:r>
          </w:p>
        </w:tc>
        <w:tc>
          <w:tcPr>
            <w:tcW w:w="1426" w:type="dxa"/>
            <w:tcBorders>
              <w:top w:val="nil"/>
              <w:left w:val="nil"/>
              <w:bottom w:val="nil"/>
              <w:right w:val="nil"/>
            </w:tcBorders>
          </w:tcPr>
          <w:p w:rsidR="00252BC1" w:rsidRDefault="00252BC1">
            <w:pPr>
              <w:spacing w:after="160" w:line="259" w:lineRule="auto"/>
              <w:ind w:left="0" w:firstLine="0"/>
              <w:jc w:val="left"/>
            </w:pPr>
          </w:p>
        </w:tc>
      </w:tr>
      <w:tr w:rsidR="00252BC1">
        <w:trPr>
          <w:trHeight w:val="247"/>
        </w:trPr>
        <w:tc>
          <w:tcPr>
            <w:tcW w:w="2118" w:type="dxa"/>
            <w:tcBorders>
              <w:top w:val="nil"/>
              <w:left w:val="nil"/>
              <w:bottom w:val="nil"/>
              <w:right w:val="nil"/>
            </w:tcBorders>
          </w:tcPr>
          <w:p w:rsidR="00252BC1" w:rsidRDefault="00000000">
            <w:pPr>
              <w:spacing w:after="0" w:line="259" w:lineRule="auto"/>
              <w:ind w:left="0" w:firstLine="0"/>
              <w:jc w:val="left"/>
            </w:pPr>
            <w:r>
              <w:rPr>
                <w:sz w:val="18"/>
              </w:rPr>
              <w:t>Zastoupen</w:t>
            </w:r>
          </w:p>
        </w:tc>
        <w:tc>
          <w:tcPr>
            <w:tcW w:w="3011" w:type="dxa"/>
            <w:tcBorders>
              <w:top w:val="nil"/>
              <w:left w:val="nil"/>
              <w:bottom w:val="nil"/>
              <w:right w:val="nil"/>
            </w:tcBorders>
          </w:tcPr>
          <w:p w:rsidR="00252BC1" w:rsidRDefault="00000000">
            <w:pPr>
              <w:spacing w:after="0" w:line="259" w:lineRule="auto"/>
              <w:ind w:left="0" w:firstLine="0"/>
              <w:jc w:val="left"/>
            </w:pPr>
            <w:r>
              <w:rPr>
                <w:sz w:val="18"/>
              </w:rPr>
              <w:t>Alexandra Staňková</w:t>
            </w:r>
          </w:p>
        </w:tc>
        <w:tc>
          <w:tcPr>
            <w:tcW w:w="1426" w:type="dxa"/>
            <w:tcBorders>
              <w:top w:val="nil"/>
              <w:left w:val="nil"/>
              <w:bottom w:val="nil"/>
              <w:right w:val="nil"/>
            </w:tcBorders>
          </w:tcPr>
          <w:p w:rsidR="00252BC1" w:rsidRDefault="00000000">
            <w:pPr>
              <w:spacing w:after="0" w:line="259" w:lineRule="auto"/>
              <w:ind w:left="151" w:firstLine="0"/>
              <w:jc w:val="left"/>
            </w:pPr>
            <w:r>
              <w:t>Kamil Lang</w:t>
            </w:r>
          </w:p>
        </w:tc>
      </w:tr>
      <w:tr w:rsidR="00252BC1">
        <w:trPr>
          <w:trHeight w:val="243"/>
        </w:trPr>
        <w:tc>
          <w:tcPr>
            <w:tcW w:w="2118" w:type="dxa"/>
            <w:tcBorders>
              <w:top w:val="nil"/>
              <w:left w:val="nil"/>
              <w:bottom w:val="nil"/>
              <w:right w:val="nil"/>
            </w:tcBorders>
          </w:tcPr>
          <w:p w:rsidR="00252BC1" w:rsidRDefault="00252BC1">
            <w:pPr>
              <w:spacing w:after="160" w:line="259" w:lineRule="auto"/>
              <w:ind w:left="0" w:firstLine="0"/>
              <w:jc w:val="left"/>
            </w:pPr>
          </w:p>
        </w:tc>
        <w:tc>
          <w:tcPr>
            <w:tcW w:w="3011" w:type="dxa"/>
            <w:tcBorders>
              <w:top w:val="nil"/>
              <w:left w:val="nil"/>
              <w:bottom w:val="nil"/>
              <w:right w:val="nil"/>
            </w:tcBorders>
          </w:tcPr>
          <w:p w:rsidR="00252BC1" w:rsidRDefault="00000000">
            <w:pPr>
              <w:spacing w:after="0" w:line="259" w:lineRule="auto"/>
              <w:ind w:left="14" w:firstLine="0"/>
              <w:jc w:val="left"/>
            </w:pPr>
            <w:r>
              <w:rPr>
                <w:sz w:val="18"/>
              </w:rPr>
              <w:t>Ředitel Vodafone Business péče</w:t>
            </w:r>
          </w:p>
        </w:tc>
        <w:tc>
          <w:tcPr>
            <w:tcW w:w="1426" w:type="dxa"/>
            <w:tcBorders>
              <w:top w:val="nil"/>
              <w:left w:val="nil"/>
              <w:bottom w:val="nil"/>
              <w:right w:val="nil"/>
            </w:tcBorders>
          </w:tcPr>
          <w:p w:rsidR="00252BC1" w:rsidRDefault="00000000">
            <w:pPr>
              <w:spacing w:after="0" w:line="259" w:lineRule="auto"/>
              <w:ind w:left="144" w:firstLine="0"/>
              <w:jc w:val="left"/>
            </w:pPr>
            <w:r>
              <w:rPr>
                <w:sz w:val="18"/>
              </w:rPr>
              <w:t>Ředitel</w:t>
            </w:r>
          </w:p>
        </w:tc>
      </w:tr>
      <w:tr w:rsidR="00252BC1">
        <w:trPr>
          <w:trHeight w:val="208"/>
        </w:trPr>
        <w:tc>
          <w:tcPr>
            <w:tcW w:w="2118" w:type="dxa"/>
            <w:tcBorders>
              <w:top w:val="nil"/>
              <w:left w:val="nil"/>
              <w:bottom w:val="nil"/>
              <w:right w:val="nil"/>
            </w:tcBorders>
          </w:tcPr>
          <w:p w:rsidR="00252BC1" w:rsidRDefault="00000000">
            <w:pPr>
              <w:spacing w:after="0" w:line="259" w:lineRule="auto"/>
              <w:ind w:left="0" w:firstLine="0"/>
              <w:jc w:val="left"/>
            </w:pPr>
            <w:r>
              <w:t>E-mail</w:t>
            </w:r>
          </w:p>
        </w:tc>
        <w:tc>
          <w:tcPr>
            <w:tcW w:w="3011" w:type="dxa"/>
            <w:tcBorders>
              <w:top w:val="nil"/>
              <w:left w:val="nil"/>
              <w:bottom w:val="nil"/>
              <w:right w:val="nil"/>
            </w:tcBorders>
          </w:tcPr>
          <w:p w:rsidR="00252BC1" w:rsidRDefault="00252BC1">
            <w:pPr>
              <w:spacing w:after="160" w:line="259" w:lineRule="auto"/>
              <w:ind w:left="0" w:firstLine="0"/>
              <w:jc w:val="left"/>
            </w:pPr>
          </w:p>
        </w:tc>
        <w:tc>
          <w:tcPr>
            <w:tcW w:w="1426" w:type="dxa"/>
            <w:tcBorders>
              <w:top w:val="nil"/>
              <w:left w:val="nil"/>
              <w:bottom w:val="nil"/>
              <w:right w:val="nil"/>
            </w:tcBorders>
          </w:tcPr>
          <w:p w:rsidR="00252BC1" w:rsidRDefault="00000000">
            <w:pPr>
              <w:spacing w:after="0" w:line="259" w:lineRule="auto"/>
              <w:ind w:left="0" w:firstLine="0"/>
              <w:jc w:val="right"/>
            </w:pPr>
            <w:r>
              <w:rPr>
                <w:sz w:val="18"/>
              </w:rPr>
              <w:t>vincenc@iic.cas.cz</w:t>
            </w:r>
          </w:p>
        </w:tc>
      </w:tr>
    </w:tbl>
    <w:p w:rsidR="00252BC1" w:rsidRDefault="00000000">
      <w:pPr>
        <w:tabs>
          <w:tab w:val="center" w:pos="3072"/>
          <w:tab w:val="center" w:pos="6050"/>
        </w:tabs>
        <w:spacing w:after="308" w:line="269" w:lineRule="auto"/>
        <w:ind w:left="0" w:firstLine="0"/>
        <w:jc w:val="left"/>
      </w:pPr>
      <w:r>
        <w:rPr>
          <w:sz w:val="18"/>
        </w:rPr>
        <w:tab/>
        <w:t>&gt; (dále jen „Vodafone”)</w:t>
      </w:r>
      <w:r>
        <w:rPr>
          <w:sz w:val="18"/>
        </w:rPr>
        <w:tab/>
        <w:t>&gt; (dále jen „Zákazník”)</w:t>
      </w:r>
    </w:p>
    <w:p w:rsidR="00252BC1" w:rsidRDefault="00000000">
      <w:pPr>
        <w:spacing w:after="308" w:line="269" w:lineRule="auto"/>
        <w:ind w:left="31"/>
        <w:jc w:val="left"/>
      </w:pPr>
      <w:r>
        <w:rPr>
          <w:sz w:val="18"/>
        </w:rPr>
        <w:t>&gt; (dále společně „smluvní strany')</w:t>
      </w:r>
    </w:p>
    <w:p w:rsidR="00252BC1" w:rsidRDefault="00000000">
      <w:pPr>
        <w:spacing w:after="429"/>
        <w:ind w:left="39"/>
      </w:pPr>
      <w:r>
        <w:t>Smluvní strany uzavřely Rámcovou smlouvu o poskytování zvýhodněných podmínek č. 1-275655116924 0 (dále jen „Smlouva”). Zákazník a Vodafone se dohodli na uzavření Dodatku ke Smlouvě v tomto znění:</w:t>
      </w:r>
    </w:p>
    <w:p w:rsidR="00252BC1" w:rsidRDefault="00000000">
      <w:pPr>
        <w:spacing w:after="429"/>
        <w:ind w:left="46"/>
      </w:pPr>
      <w:r>
        <w:t>Ustanovení čl. 2 a 3 Smlouvy se v plném rozsahu nahrazují a zní:</w:t>
      </w:r>
    </w:p>
    <w:p w:rsidR="00252BC1" w:rsidRDefault="00000000">
      <w:pPr>
        <w:pStyle w:val="Nadpis1"/>
        <w:ind w:left="446" w:hanging="432"/>
      </w:pPr>
      <w:r>
        <w:t>Práva a závazky smluvních stran</w:t>
      </w:r>
    </w:p>
    <w:p w:rsidR="00252BC1" w:rsidRDefault="00000000">
      <w:pPr>
        <w:ind w:left="741" w:hanging="360"/>
      </w:pPr>
      <w:r>
        <w:t xml:space="preserve">2.1. Vodafone je oprávněn stanovit Zákazníkovi Volací limit pro čerpání Služeb </w:t>
      </w:r>
      <w:proofErr w:type="spellStart"/>
      <w:r>
        <w:t>Vodafonu</w:t>
      </w:r>
      <w:proofErr w:type="spellEnd"/>
      <w:r>
        <w:t xml:space="preserve"> v každém zúčtovacím období, a to jednotlivě pro každou SIM kartu zařazenou pod právní režim této Smlouvy.</w:t>
      </w:r>
    </w:p>
    <w:p w:rsidR="00252BC1" w:rsidRDefault="00000000">
      <w:pPr>
        <w:ind w:left="727" w:hanging="346"/>
      </w:pPr>
      <w:r>
        <w:t xml:space="preserve">2.2. Zákazník se zavazuje, že po dobu trvání Smlouvy neklesne rozsah užívaných Služeb pod minimální měsíční částku ve výši 2800,- Kč. Minimální měsíční částka se rovná celkové částce za poskytnuté Služby (bez DPH) v jednom zúčtovacím období (měsíci) po uplatnění veškerých slev a zvýhodnění (bonusů) poskytnutých Zákazníkovi a zobrazených ve Vyúčtování Služeb, nikoliv však částce odpovídající platbám Zákazníka za zboží a služby třetích stran (např. </w:t>
      </w:r>
      <w:proofErr w:type="spellStart"/>
      <w:r>
        <w:t>Audiotex</w:t>
      </w:r>
      <w:proofErr w:type="spellEnd"/>
      <w:r>
        <w:t xml:space="preserve">, M-Platby, prémiové SMS) Či poplatkům spojeným s pozdní úhradou Vyúčtování. Pokud za srovnávací období (které tvoří vždy tři po sobě jdoucí zúčtovací období počínaje prvním celým zúčtovacím obdobím) klesne celková částka vyúčtovaná za Služby (bez DPH) pod částku odpovídající trojnásobku minimální měsíční částky, a to počínaje prvním úplným zúčtovacím obdobím stanoveným </w:t>
      </w:r>
      <w:proofErr w:type="spellStart"/>
      <w:r>
        <w:t>Vodafonem</w:t>
      </w:r>
      <w:proofErr w:type="spellEnd"/>
      <w:r>
        <w:t xml:space="preserve">, zavazuje se Zákazník uhradit </w:t>
      </w:r>
      <w:proofErr w:type="spellStart"/>
      <w:r>
        <w:t>Vodafonu</w:t>
      </w:r>
      <w:proofErr w:type="spellEnd"/>
      <w:r>
        <w:t xml:space="preserve"> doúčtování závazku minimální měsíční částky ve výši rozdílu mezi těmito částkami. Takto vypočítaná částka doúčtování závazku minimální měsíční částky podléhá DPH, která bude uplatněna a připočtena ve výši dle platných právních předpisů. V </w:t>
      </w:r>
      <w:proofErr w:type="spellStart"/>
      <w:r>
        <w:t>pňpadě</w:t>
      </w:r>
      <w:proofErr w:type="spellEnd"/>
      <w:r>
        <w:t xml:space="preserve">, že srovnávací období bude kratší než 3 celá zúčtovací období (poslední srovnávací období před ukončením Smlouvy), je srovnávacím obdobím vždy jedno zúčtovací období (pro účely splnění závazku a </w:t>
      </w:r>
      <w:proofErr w:type="spellStart"/>
      <w:r>
        <w:t>pňpadné</w:t>
      </w:r>
      <w:proofErr w:type="spellEnd"/>
      <w:r>
        <w:t xml:space="preserve"> stanovení výše doúčtování závazku minimální měsíční částky bude posuzována jedna minimální měsíční částka).</w:t>
      </w:r>
    </w:p>
    <w:p w:rsidR="00252BC1" w:rsidRDefault="00000000">
      <w:pPr>
        <w:ind w:left="734" w:hanging="353"/>
      </w:pPr>
      <w:r>
        <w:t xml:space="preserve">2.3. V </w:t>
      </w:r>
      <w:proofErr w:type="spellStart"/>
      <w:r>
        <w:t>pňpadě</w:t>
      </w:r>
      <w:proofErr w:type="spellEnd"/>
      <w:r>
        <w:t xml:space="preserve">, že Zákazník poruší své povinnosti vyplývající z této Smlouvy podstatným způsobem (porušení čl. 8.2 Všeobecných podmínek nebo čl. 8.3 Obchodních podmínek), je Vodafone bez ohledu na to, zda využije své právo na odstoupení od Smlouvy, oprávněn požadovat a Zákazník povinen uhradit </w:t>
      </w:r>
      <w:proofErr w:type="spellStart"/>
      <w:r>
        <w:t>Vodafonu</w:t>
      </w:r>
      <w:proofErr w:type="spellEnd"/>
      <w:r>
        <w:t xml:space="preserve"> smluvní pokutu ve výši součinu minimální měsíční částky a počtu pravidelných zúčtovacích období zbývajících do konce sjednané doby trvání Smlouvy, a to počínaje zúčtovacím obdobím, v jehož průběhu Vodafone vyzval Zákazníka </w:t>
      </w:r>
      <w:r>
        <w:lastRenderedPageBreak/>
        <w:t xml:space="preserve">k uhrazení smluvní pokuty. Pokud Zákazník ukončí v průběhu trvání této Smlouvy podnikatelskou činnost a dojde tak k předčasnému ukončení této Smlouvy, zavazuje se Zákazník vrátit </w:t>
      </w:r>
      <w:proofErr w:type="spellStart"/>
      <w:r>
        <w:t>Vodafonu</w:t>
      </w:r>
      <w:proofErr w:type="spellEnd"/>
      <w:r>
        <w:t xml:space="preserve"> veškerá zvýhodnění, která na základě této Smlouvy od </w:t>
      </w:r>
      <w:proofErr w:type="spellStart"/>
      <w:r>
        <w:t>Vodafonu</w:t>
      </w:r>
      <w:proofErr w:type="spellEnd"/>
      <w:r>
        <w:t xml:space="preserve"> obdržel.</w:t>
      </w:r>
    </w:p>
    <w:p w:rsidR="00252BC1" w:rsidRDefault="00000000">
      <w:pPr>
        <w:spacing w:after="641"/>
        <w:ind w:left="748" w:hanging="367"/>
      </w:pPr>
      <w:r>
        <w:t xml:space="preserve">2.4. Zaplacení smluvní pokuty ani vrácení zvýhodnění nemá vliv na nárok </w:t>
      </w:r>
      <w:proofErr w:type="spellStart"/>
      <w:r>
        <w:t>Vodafonu</w:t>
      </w:r>
      <w:proofErr w:type="spellEnd"/>
      <w:r>
        <w:t xml:space="preserve"> na náhradu vzniklé </w:t>
      </w:r>
      <w:proofErr w:type="spellStart"/>
      <w:r>
        <w:t>škodyv</w:t>
      </w:r>
      <w:proofErr w:type="spellEnd"/>
      <w:r>
        <w:t xml:space="preserve"> celém rozsahu. Smluvní pokuty jsou splatné ve lhůtě uvedené ve vyúčtování smluvní pokuty vystaveném </w:t>
      </w:r>
      <w:proofErr w:type="spellStart"/>
      <w:r>
        <w:t>Vodafonem</w:t>
      </w:r>
      <w:proofErr w:type="spellEnd"/>
      <w:r>
        <w:t>.</w:t>
      </w:r>
    </w:p>
    <w:p w:rsidR="00252BC1" w:rsidRDefault="00000000">
      <w:pPr>
        <w:spacing w:after="0" w:line="265" w:lineRule="auto"/>
        <w:ind w:left="535" w:right="1844"/>
        <w:jc w:val="left"/>
      </w:pPr>
      <w:r>
        <w:rPr>
          <w:noProof/>
        </w:rPr>
        <w:drawing>
          <wp:anchor distT="0" distB="0" distL="114300" distR="114300" simplePos="0" relativeHeight="251659264" behindDoc="0" locked="0" layoutInCell="1" allowOverlap="0">
            <wp:simplePos x="0" y="0"/>
            <wp:positionH relativeFrom="column">
              <wp:posOffset>361309</wp:posOffset>
            </wp:positionH>
            <wp:positionV relativeFrom="paragraph">
              <wp:posOffset>-64417</wp:posOffset>
            </wp:positionV>
            <wp:extent cx="1477252" cy="471095"/>
            <wp:effectExtent l="0" t="0" r="0" b="0"/>
            <wp:wrapSquare wrapText="bothSides"/>
            <wp:docPr id="3899" name="Picture 3899"/>
            <wp:cNvGraphicFramePr/>
            <a:graphic xmlns:a="http://schemas.openxmlformats.org/drawingml/2006/main">
              <a:graphicData uri="http://schemas.openxmlformats.org/drawingml/2006/picture">
                <pic:pic xmlns:pic="http://schemas.openxmlformats.org/drawingml/2006/picture">
                  <pic:nvPicPr>
                    <pic:cNvPr id="3899" name="Picture 3899"/>
                    <pic:cNvPicPr/>
                  </pic:nvPicPr>
                  <pic:blipFill>
                    <a:blip r:embed="rId8"/>
                    <a:stretch>
                      <a:fillRect/>
                    </a:stretch>
                  </pic:blipFill>
                  <pic:spPr>
                    <a:xfrm>
                      <a:off x="0" y="0"/>
                      <a:ext cx="1477252" cy="471095"/>
                    </a:xfrm>
                    <a:prstGeom prst="rect">
                      <a:avLst/>
                    </a:prstGeom>
                  </pic:spPr>
                </pic:pic>
              </a:graphicData>
            </a:graphic>
          </wp:anchor>
        </w:drawing>
      </w:r>
      <w:r>
        <w:rPr>
          <w:sz w:val="16"/>
        </w:rPr>
        <w:t xml:space="preserve">Vodafone Czech a.s. Vodafone péče náměstí </w:t>
      </w:r>
      <w:r>
        <w:rPr>
          <w:sz w:val="16"/>
        </w:rPr>
        <w:tab/>
        <w:t xml:space="preserve">IČO: 25788001 , </w:t>
      </w:r>
    </w:p>
    <w:p w:rsidR="00252BC1" w:rsidRDefault="00000000">
      <w:pPr>
        <w:tabs>
          <w:tab w:val="center" w:pos="4267"/>
          <w:tab w:val="center" w:pos="4934"/>
          <w:tab w:val="center" w:pos="6662"/>
        </w:tabs>
        <w:spacing w:after="36" w:line="256" w:lineRule="auto"/>
        <w:ind w:left="0" w:firstLine="0"/>
        <w:jc w:val="left"/>
      </w:pPr>
      <w:r>
        <w:rPr>
          <w:sz w:val="16"/>
        </w:rPr>
        <w:tab/>
        <w:t xml:space="preserve">155 OO </w:t>
      </w:r>
      <w:r>
        <w:rPr>
          <w:sz w:val="16"/>
        </w:rPr>
        <w:tab/>
        <w:t>5</w:t>
      </w:r>
      <w:r>
        <w:rPr>
          <w:sz w:val="16"/>
        </w:rPr>
        <w:tab/>
        <w:t>vodafone.cz</w:t>
      </w:r>
    </w:p>
    <w:p w:rsidR="00252BC1" w:rsidRDefault="00000000">
      <w:pPr>
        <w:tabs>
          <w:tab w:val="center" w:pos="4505"/>
          <w:tab w:val="center" w:pos="5816"/>
          <w:tab w:val="center" w:pos="6727"/>
        </w:tabs>
        <w:spacing w:after="0" w:line="259" w:lineRule="auto"/>
        <w:ind w:left="0" w:firstLine="0"/>
        <w:jc w:val="left"/>
      </w:pPr>
      <w:r>
        <w:rPr>
          <w:sz w:val="12"/>
        </w:rPr>
        <w:tab/>
        <w:t xml:space="preserve">Společnost zapsaná </w:t>
      </w:r>
      <w:r>
        <w:rPr>
          <w:sz w:val="12"/>
        </w:rPr>
        <w:tab/>
      </w:r>
      <w:proofErr w:type="spellStart"/>
      <w:r>
        <w:rPr>
          <w:sz w:val="12"/>
        </w:rPr>
        <w:t>rejstfiku</w:t>
      </w:r>
      <w:proofErr w:type="spellEnd"/>
      <w:r>
        <w:rPr>
          <w:sz w:val="12"/>
        </w:rPr>
        <w:t xml:space="preserve"> </w:t>
      </w:r>
      <w:r>
        <w:rPr>
          <w:sz w:val="12"/>
        </w:rPr>
        <w:tab/>
        <w:t xml:space="preserve">Městským </w:t>
      </w:r>
    </w:p>
    <w:p w:rsidR="00252BC1" w:rsidRDefault="00000000">
      <w:pPr>
        <w:spacing w:after="0" w:line="259" w:lineRule="auto"/>
        <w:ind w:left="154" w:right="43"/>
        <w:jc w:val="center"/>
      </w:pPr>
      <w:r>
        <w:rPr>
          <w:sz w:val="18"/>
        </w:rPr>
        <w:t>Dodatek č. 1-298520798098 0k Účastnické smlouvě č. 1-275655116924 0</w:t>
      </w:r>
    </w:p>
    <w:p w:rsidR="00252BC1" w:rsidRDefault="00000000">
      <w:pPr>
        <w:tabs>
          <w:tab w:val="center" w:pos="4851"/>
          <w:tab w:val="right" w:pos="10343"/>
        </w:tabs>
        <w:spacing w:after="193" w:line="259" w:lineRule="auto"/>
        <w:ind w:left="0" w:right="-742" w:firstLine="0"/>
        <w:jc w:val="left"/>
      </w:pPr>
      <w:r>
        <w:rPr>
          <w:sz w:val="18"/>
        </w:rPr>
        <w:tab/>
        <w:t xml:space="preserve">ID </w:t>
      </w:r>
      <w:proofErr w:type="spellStart"/>
      <w:r>
        <w:rPr>
          <w:sz w:val="18"/>
        </w:rPr>
        <w:t>Rabídky</w:t>
      </w:r>
      <w:proofErr w:type="spellEnd"/>
      <w:r>
        <w:rPr>
          <w:sz w:val="18"/>
        </w:rPr>
        <w:t xml:space="preserve"> 0000769397</w:t>
      </w:r>
      <w:r>
        <w:rPr>
          <w:sz w:val="18"/>
        </w:rPr>
        <w:tab/>
      </w:r>
      <w:r>
        <w:rPr>
          <w:noProof/>
        </w:rPr>
        <w:drawing>
          <wp:inline distT="0" distB="0" distL="0" distR="0">
            <wp:extent cx="539677" cy="553422"/>
            <wp:effectExtent l="0" t="0" r="0" b="0"/>
            <wp:docPr id="9417" name="Picture 9417"/>
            <wp:cNvGraphicFramePr/>
            <a:graphic xmlns:a="http://schemas.openxmlformats.org/drawingml/2006/main">
              <a:graphicData uri="http://schemas.openxmlformats.org/drawingml/2006/picture">
                <pic:pic xmlns:pic="http://schemas.openxmlformats.org/drawingml/2006/picture">
                  <pic:nvPicPr>
                    <pic:cNvPr id="9417" name="Picture 9417"/>
                    <pic:cNvPicPr/>
                  </pic:nvPicPr>
                  <pic:blipFill>
                    <a:blip r:embed="rId9"/>
                    <a:stretch>
                      <a:fillRect/>
                    </a:stretch>
                  </pic:blipFill>
                  <pic:spPr>
                    <a:xfrm>
                      <a:off x="0" y="0"/>
                      <a:ext cx="539677" cy="553422"/>
                    </a:xfrm>
                    <a:prstGeom prst="rect">
                      <a:avLst/>
                    </a:prstGeom>
                  </pic:spPr>
                </pic:pic>
              </a:graphicData>
            </a:graphic>
          </wp:inline>
        </w:drawing>
      </w:r>
    </w:p>
    <w:p w:rsidR="00252BC1" w:rsidRDefault="00000000">
      <w:pPr>
        <w:spacing w:after="462"/>
        <w:ind w:left="741" w:hanging="360"/>
      </w:pPr>
      <w:r>
        <w:t>2.5. Smluvní strany se dohodly, že Zákazník složí v souladu s čl. 2.5 Obchodních podmínek Volací jistinu k zajištění poskytnutých výhod ve výši 0,- KČ.</w:t>
      </w:r>
    </w:p>
    <w:p w:rsidR="00252BC1" w:rsidRDefault="00000000">
      <w:pPr>
        <w:pStyle w:val="Nadpis1"/>
        <w:spacing w:after="44"/>
        <w:ind w:left="583" w:hanging="569"/>
      </w:pPr>
      <w:r>
        <w:t>Sjednaná doba trvání Smlouvy</w:t>
      </w:r>
    </w:p>
    <w:p w:rsidR="00252BC1" w:rsidRDefault="00000000">
      <w:pPr>
        <w:ind w:left="391"/>
      </w:pPr>
      <w:r>
        <w:t>3.1. Tato smlouva se uzavírá na dobu určitou do 29.03.2027.</w:t>
      </w:r>
    </w:p>
    <w:p w:rsidR="00252BC1" w:rsidRDefault="00000000">
      <w:pPr>
        <w:spacing w:after="150"/>
        <w:ind w:left="734" w:hanging="353"/>
      </w:pPr>
      <w:r>
        <w:t>3.2. Po uplynutí doby určité uvedené v bodu 3.1 se Smlouva mění na smlouvu uzavřenou na dobu neurčitou a všechny Služby budou i nadále Zákazníkovi poskytovány za podmínek a v rozsahu stanovených v této Smlouvě. Smlouvu lze vypovědět dle čl. 8.4 Obchodních podmínek. Pro vyloučení pochybností se uvádí, že slevy či zvýhodnění na zboží uvedené v Rozpisu lze čerpat pouze do uplynutí doby určité dle bodu 3.1 ; po jejím uplynutí nárok na nevyčerpanou část slevy zaniká.</w:t>
      </w:r>
    </w:p>
    <w:p w:rsidR="00252BC1" w:rsidRDefault="00000000">
      <w:pPr>
        <w:ind w:left="741" w:right="122" w:hanging="360"/>
      </w:pPr>
      <w:r>
        <w:t xml:space="preserve">3.3. V </w:t>
      </w:r>
      <w:proofErr w:type="spellStart"/>
      <w:r>
        <w:t>pňpadě</w:t>
      </w:r>
      <w:proofErr w:type="spellEnd"/>
      <w:r>
        <w:t xml:space="preserve"> předčasného ukončení této smlouvy před uplynutím sjednané doby určité (zejména výpovědí, odstoupením, dohodou smluvních stran či ukončením podle bodu 3.7 níže) se zákazník, pokud je právnickou osobou, zavazuje </w:t>
      </w:r>
      <w:r>
        <w:rPr>
          <w:u w:val="single" w:color="000000"/>
        </w:rPr>
        <w:t xml:space="preserve">zaplatit </w:t>
      </w:r>
      <w:proofErr w:type="spellStart"/>
      <w:r>
        <w:rPr>
          <w:u w:val="single" w:color="000000"/>
        </w:rPr>
        <w:t>Vodafonu</w:t>
      </w:r>
      <w:proofErr w:type="spellEnd"/>
      <w:r>
        <w:rPr>
          <w:u w:val="single" w:color="000000"/>
        </w:rPr>
        <w:t xml:space="preserve"> úhradu jakožto součást celkové odměny za služby</w:t>
      </w:r>
      <w:r>
        <w:t xml:space="preserve">, které se vypočítá jako součet všech minimálních měsíčních částek zbývajících k úhradě počítáno od zániku účinnosti smlouvy do konce původně sjednané doby určité. Takto vypočítaná částka doúčtování závazku minimální měsíční částky podléhá DPH, která bude uplatněna a </w:t>
      </w:r>
      <w:proofErr w:type="spellStart"/>
      <w:r>
        <w:t>prłpočtena</w:t>
      </w:r>
      <w:proofErr w:type="spellEnd"/>
      <w:r>
        <w:t xml:space="preserve"> ve výši dle platných právních předpisů.</w:t>
      </w:r>
    </w:p>
    <w:p w:rsidR="00252BC1" w:rsidRDefault="00000000">
      <w:pPr>
        <w:spacing w:after="145"/>
        <w:ind w:left="734" w:hanging="353"/>
      </w:pPr>
      <w:r>
        <w:t xml:space="preserve">3.4. Kterákoliv ze smluvních stran je oprávněna od této Smlouvy </w:t>
      </w:r>
      <w:proofErr w:type="spellStart"/>
      <w:r>
        <w:t>odstoupitv</w:t>
      </w:r>
      <w:proofErr w:type="spellEnd"/>
      <w:r>
        <w:t xml:space="preserve"> </w:t>
      </w:r>
      <w:proofErr w:type="spellStart"/>
      <w:r>
        <w:t>pňpadě</w:t>
      </w:r>
      <w:proofErr w:type="spellEnd"/>
      <w:r>
        <w:t xml:space="preserve"> porušení Smlouvy druhou smluvní stranou podstatným způsobem. Za porušení Smlouvy podstatným způsobem se kromě </w:t>
      </w:r>
      <w:proofErr w:type="spellStart"/>
      <w:r>
        <w:t>pňpadů</w:t>
      </w:r>
      <w:proofErr w:type="spellEnd"/>
      <w:r>
        <w:t xml:space="preserve"> uvedených v občanském zákoníku rozumí také </w:t>
      </w:r>
      <w:proofErr w:type="spellStart"/>
      <w:r>
        <w:t>pípady</w:t>
      </w:r>
      <w:proofErr w:type="spellEnd"/>
      <w:r>
        <w:t xml:space="preserve"> uvedené v čl. 8.2 Všeobecných podmínek a v čl. 8.3 Obchodních podmínek.</w:t>
      </w:r>
    </w:p>
    <w:p w:rsidR="00252BC1" w:rsidRDefault="00000000">
      <w:pPr>
        <w:ind w:left="734" w:right="108" w:hanging="353"/>
      </w:pPr>
      <w:r>
        <w:t xml:space="preserve">3.5. Slevy poskytované na zboží jsou podmíněné sjednanou minimální měsíční částkou po celou dobu trvání smlouvy, na kterou byla uzavřena (dle bodu 2.2 a 3.1 této smlouvy). V </w:t>
      </w:r>
      <w:proofErr w:type="spellStart"/>
      <w:r>
        <w:t>prłpadě</w:t>
      </w:r>
      <w:proofErr w:type="spellEnd"/>
      <w:r>
        <w:t xml:space="preserve"> předčasného ukončení smlouvy před uplynutím doby určité dodatečně zaniká nárok na tyto slevy a Vodafone je oprávněn doúčtovat úhradu za zboží v poměrné výši (poměrnou část vyčerpaných slev). V tomto </w:t>
      </w:r>
      <w:proofErr w:type="spellStart"/>
      <w:r>
        <w:t>pňpadě</w:t>
      </w:r>
      <w:proofErr w:type="spellEnd"/>
      <w:r>
        <w:t xml:space="preserve"> také zaniká nárok na podmíněné slevy na odborné instalace a Vodafone je oprávněn je doúčtovat ve výši poskytnuté slevy.</w:t>
      </w:r>
    </w:p>
    <w:p w:rsidR="00252BC1" w:rsidRDefault="00000000">
      <w:pPr>
        <w:spacing w:after="119" w:line="217" w:lineRule="auto"/>
        <w:ind w:left="734" w:right="57" w:hanging="367"/>
        <w:jc w:val="left"/>
      </w:pPr>
      <w:r>
        <w:t>3.6. Pro vyloučení pochybností, ukončením Smlouvy (</w:t>
      </w:r>
      <w:r>
        <w:rPr>
          <w:u w:val="single" w:color="000000"/>
        </w:rPr>
        <w:t xml:space="preserve">výpovědí </w:t>
      </w:r>
      <w:proofErr w:type="spellStart"/>
      <w:r>
        <w:rPr>
          <w:u w:val="single" w:color="000000"/>
        </w:rPr>
        <w:t>Smlouyyt</w:t>
      </w:r>
      <w:proofErr w:type="spellEnd"/>
      <w:r>
        <w:rPr>
          <w:u w:val="single" w:color="000000"/>
        </w:rPr>
        <w:t xml:space="preserve"> odstoupením od Smlouvy nebo jinak) nedochází k ukončení jednotlivých smluv o poskytování služeb elektronických komunikací</w:t>
      </w:r>
      <w:r>
        <w:t xml:space="preserve"> (tj. k ukončení poskytování služeb a deaktivaci SIM karty) u SIM karet zařazených pod právní režim této Smlouvy.</w:t>
      </w:r>
    </w:p>
    <w:p w:rsidR="00252BC1" w:rsidRDefault="00000000">
      <w:pPr>
        <w:spacing w:after="108" w:line="220" w:lineRule="auto"/>
        <w:ind w:left="720" w:right="29" w:hanging="353"/>
      </w:pPr>
      <w:r>
        <w:t xml:space="preserve">3.7. V </w:t>
      </w:r>
      <w:proofErr w:type="spellStart"/>
      <w:r>
        <w:t>pňpadě</w:t>
      </w:r>
      <w:proofErr w:type="spellEnd"/>
      <w:r>
        <w:t xml:space="preserve">, že pro poskytování některé ze Služeb mají být do sítě </w:t>
      </w:r>
      <w:proofErr w:type="spellStart"/>
      <w:r>
        <w:t>Vodafonu</w:t>
      </w:r>
      <w:proofErr w:type="spellEnd"/>
      <w:r>
        <w:t xml:space="preserve"> přenesena telefonní čísla Účastníka ze sítě jiného poskytovatele a Zákazník všechna tato čísla nepřenese do sítě Vodafone nejpozději do 3 měsíců od nabytí účinnosti Smlouvy (resp. od začátku prvního zúčtovacího období, ve kterém je stanovena minimální měsíční částka), nebo v této lhůtě pro přenos dojde k předčasnému ukončení Smlouvy z jakéhokoliv důvodu, je Zákazník po</w:t>
      </w:r>
      <w:r>
        <w:rPr>
          <w:u w:val="single" w:color="000000"/>
        </w:rPr>
        <w:t xml:space="preserve">vinen uhradit Poskytovateli smluvní pokutu ve výši 1.000 Kč za každé nepřenesené telefonní číslo a bez ohledu na uplatnění práva na smluvní pokutu je Vodafone oprávněn od této </w:t>
      </w:r>
      <w:proofErr w:type="spellStart"/>
      <w:r>
        <w:rPr>
          <w:u w:val="single" w:color="000000"/>
        </w:rPr>
        <w:t>Smlouyy</w:t>
      </w:r>
      <w:proofErr w:type="spellEnd"/>
      <w:r>
        <w:rPr>
          <w:u w:val="single" w:color="000000"/>
        </w:rPr>
        <w:t xml:space="preserve"> odstoupit.</w:t>
      </w:r>
      <w:r>
        <w:t xml:space="preserve"> </w:t>
      </w:r>
      <w:r>
        <w:rPr>
          <w:u w:val="single" w:color="000000"/>
        </w:rPr>
        <w:t>V případě, že po uzavření této Smlouvy dojde k ukončení všech Služeb na všech mobilních telefonních číslech/</w:t>
      </w:r>
      <w:proofErr w:type="spellStart"/>
      <w:r>
        <w:rPr>
          <w:u w:val="single" w:color="000000"/>
        </w:rPr>
        <w:t>MSlSDN</w:t>
      </w:r>
      <w:proofErr w:type="spellEnd"/>
      <w:r>
        <w:rPr>
          <w:u w:val="single" w:color="000000"/>
        </w:rPr>
        <w:t xml:space="preserve"> </w:t>
      </w:r>
      <w:r>
        <w:t>zařazených pod právní režim této Smlouvy</w:t>
      </w:r>
      <w:r>
        <w:rPr>
          <w:u w:val="single" w:color="000000"/>
        </w:rPr>
        <w:t>, je Vodafone oprávněn tuto smlouvu vypovědět.</w:t>
      </w:r>
      <w:r>
        <w:t xml:space="preserve"> </w:t>
      </w:r>
      <w:r>
        <w:rPr>
          <w:u w:val="single" w:color="000000"/>
        </w:rPr>
        <w:t>V případě, že po uzavření této Smlouvy dojde k ukončení všech služeb zařazených pod právní režim této Smlouvy (ať již služeb elektronických komunikací, či jiných služeb), tato Smlouva ukončením poslední služby automaticky zaniká.</w:t>
      </w:r>
    </w:p>
    <w:p w:rsidR="00252BC1" w:rsidRDefault="00000000">
      <w:pPr>
        <w:spacing w:after="664"/>
        <w:ind w:left="734" w:hanging="353"/>
      </w:pPr>
      <w:r>
        <w:lastRenderedPageBreak/>
        <w:t xml:space="preserve">3.8. Poskytovatel je oprávněn každoročně zvýšit cenu za poskytované Služby o </w:t>
      </w:r>
      <w:proofErr w:type="spellStart"/>
      <w:r>
        <w:t>pňrůstek</w:t>
      </w:r>
      <w:proofErr w:type="spellEnd"/>
      <w:r>
        <w:t xml:space="preserve"> průměrného ročního indexu spotřebitelských cen (dále jen „míra inflace”) vyhlášený Českým statistickým úřadem za předcházející kalendářní rok, a to s účinností od následujícího kalendářního měsíce po vyhlášení Českým statistickým úřadem. Přičemž cena za Služby může být navýšena každoročně maximálně o IO %. U Smluv uzavřených po 30.09. </w:t>
      </w:r>
      <w:proofErr w:type="spellStart"/>
      <w:r>
        <w:t>prłslušného</w:t>
      </w:r>
      <w:proofErr w:type="spellEnd"/>
      <w:r>
        <w:t xml:space="preserve"> kalendářního roku nebude tato doložka v aplikována v prvním kalendářním roce po uzavření Smlouvy. Pro vyloučení všech pochybností se uvádí, že zvýšení ceny o míru inflace dle předchozí věty se nepovažuje za změnu smlouvy dle čl. 3 Všeobecných podmínek.</w:t>
      </w:r>
    </w:p>
    <w:p w:rsidR="00252BC1" w:rsidRDefault="00000000">
      <w:pPr>
        <w:spacing w:after="9" w:line="259" w:lineRule="auto"/>
        <w:ind w:left="0" w:firstLine="0"/>
        <w:jc w:val="center"/>
      </w:pPr>
      <w:proofErr w:type="spellStart"/>
      <w:r>
        <w:rPr>
          <w:sz w:val="26"/>
        </w:rPr>
        <w:t>Il</w:t>
      </w:r>
      <w:proofErr w:type="spellEnd"/>
      <w:r>
        <w:rPr>
          <w:sz w:val="26"/>
        </w:rPr>
        <w:t>.</w:t>
      </w:r>
    </w:p>
    <w:p w:rsidR="00252BC1" w:rsidRDefault="00000000">
      <w:pPr>
        <w:spacing w:after="119" w:line="217" w:lineRule="auto"/>
        <w:ind w:left="-1" w:right="57" w:firstLine="4"/>
        <w:jc w:val="left"/>
      </w:pPr>
      <w:r>
        <w:rPr>
          <w:u w:val="single" w:color="000000"/>
        </w:rPr>
        <w:t xml:space="preserve">Obchodní podmínky. Podmínky, Rozpis a přehled </w:t>
      </w:r>
      <w:r>
        <w:t>individuálních podmínek (dále jen „</w:t>
      </w:r>
      <w:r>
        <w:rPr>
          <w:u w:val="single" w:color="000000"/>
        </w:rPr>
        <w:t xml:space="preserve">Přehled”) </w:t>
      </w:r>
      <w:proofErr w:type="spellStart"/>
      <w:r>
        <w:rPr>
          <w:u w:val="single" w:color="000000"/>
        </w:rPr>
        <w:t>tvorł</w:t>
      </w:r>
      <w:proofErr w:type="spellEnd"/>
      <w:r>
        <w:rPr>
          <w:u w:val="single" w:color="000000"/>
        </w:rPr>
        <w:t xml:space="preserve"> nedílnou součást Smlouvy</w:t>
      </w:r>
      <w:r>
        <w:t xml:space="preserve">. Aktuální verze Obchodních podmínek, Podmínek a Ceníku jsou k dispozici na stránkách vodafone.cz. V </w:t>
      </w:r>
      <w:proofErr w:type="spellStart"/>
      <w:r>
        <w:t>pňpadě</w:t>
      </w:r>
      <w:proofErr w:type="spellEnd"/>
      <w:r>
        <w:t xml:space="preserve"> rozporu Smlouvy, Všeobecných podmínek a ostatních dokumentů má přednost úprava obsažená ve Smlouvě. V případě rozporů jednotlivých součástí Smlouvy má přednost Rozpis, Přehled, dále Obchodní podmínky a nakonec Podmínky.</w:t>
      </w:r>
    </w:p>
    <w:p w:rsidR="00252BC1" w:rsidRDefault="00252BC1">
      <w:pPr>
        <w:sectPr w:rsidR="00252BC1">
          <w:footerReference w:type="even" r:id="rId10"/>
          <w:footerReference w:type="default" r:id="rId11"/>
          <w:footerReference w:type="first" r:id="rId12"/>
          <w:pgSz w:w="11920" w:h="16840"/>
          <w:pgMar w:top="566" w:right="1563" w:bottom="578" w:left="756" w:header="708" w:footer="317" w:gutter="0"/>
          <w:cols w:space="708"/>
        </w:sectPr>
      </w:pPr>
    </w:p>
    <w:p w:rsidR="00252BC1" w:rsidRDefault="00000000">
      <w:pPr>
        <w:tabs>
          <w:tab w:val="center" w:pos="2777"/>
          <w:tab w:val="center" w:pos="5726"/>
          <w:tab w:val="center" w:pos="6723"/>
        </w:tabs>
        <w:spacing w:after="0" w:line="265" w:lineRule="auto"/>
        <w:ind w:left="0" w:firstLine="0"/>
        <w:jc w:val="left"/>
      </w:pPr>
      <w:r>
        <w:rPr>
          <w:sz w:val="16"/>
        </w:rPr>
        <w:tab/>
      </w:r>
      <w:r>
        <w:rPr>
          <w:noProof/>
        </w:rPr>
        <w:drawing>
          <wp:inline distT="0" distB="0" distL="0" distR="0">
            <wp:extent cx="18294" cy="457374"/>
            <wp:effectExtent l="0" t="0" r="0" b="0"/>
            <wp:docPr id="9390" name="Picture 9390"/>
            <wp:cNvGraphicFramePr/>
            <a:graphic xmlns:a="http://schemas.openxmlformats.org/drawingml/2006/main">
              <a:graphicData uri="http://schemas.openxmlformats.org/drawingml/2006/picture">
                <pic:pic xmlns:pic="http://schemas.openxmlformats.org/drawingml/2006/picture">
                  <pic:nvPicPr>
                    <pic:cNvPr id="9390" name="Picture 9390"/>
                    <pic:cNvPicPr/>
                  </pic:nvPicPr>
                  <pic:blipFill>
                    <a:blip r:embed="rId13"/>
                    <a:stretch>
                      <a:fillRect/>
                    </a:stretch>
                  </pic:blipFill>
                  <pic:spPr>
                    <a:xfrm>
                      <a:off x="0" y="0"/>
                      <a:ext cx="18294" cy="457374"/>
                    </a:xfrm>
                    <a:prstGeom prst="rect">
                      <a:avLst/>
                    </a:prstGeom>
                  </pic:spPr>
                </pic:pic>
              </a:graphicData>
            </a:graphic>
          </wp:inline>
        </w:drawing>
      </w:r>
      <w:proofErr w:type="spellStart"/>
      <w:r>
        <w:rPr>
          <w:sz w:val="16"/>
        </w:rPr>
        <w:t>IlliII</w:t>
      </w:r>
      <w:proofErr w:type="spellEnd"/>
      <w:r>
        <w:rPr>
          <w:sz w:val="16"/>
        </w:rPr>
        <w:t xml:space="preserve"> II </w:t>
      </w:r>
      <w:proofErr w:type="spellStart"/>
      <w:r>
        <w:rPr>
          <w:sz w:val="16"/>
        </w:rPr>
        <w:t>II</w:t>
      </w:r>
      <w:proofErr w:type="spellEnd"/>
      <w:r>
        <w:rPr>
          <w:sz w:val="16"/>
        </w:rPr>
        <w:t xml:space="preserve"> </w:t>
      </w:r>
      <w:proofErr w:type="spellStart"/>
      <w:r>
        <w:rPr>
          <w:sz w:val="16"/>
        </w:rPr>
        <w:t>II</w:t>
      </w:r>
      <w:proofErr w:type="spellEnd"/>
      <w:r>
        <w:rPr>
          <w:sz w:val="16"/>
        </w:rPr>
        <w:t xml:space="preserve"> </w:t>
      </w:r>
      <w:proofErr w:type="spellStart"/>
      <w:r>
        <w:rPr>
          <w:sz w:val="16"/>
        </w:rPr>
        <w:t>II</w:t>
      </w:r>
      <w:proofErr w:type="spellEnd"/>
      <w:r>
        <w:rPr>
          <w:sz w:val="16"/>
        </w:rPr>
        <w:t xml:space="preserve"> IIII I III IIIII IIII</w:t>
      </w:r>
      <w:r>
        <w:rPr>
          <w:noProof/>
        </w:rPr>
        <w:drawing>
          <wp:inline distT="0" distB="0" distL="0" distR="0">
            <wp:extent cx="416192" cy="461948"/>
            <wp:effectExtent l="0" t="0" r="0" b="0"/>
            <wp:docPr id="24111" name="Picture 24111"/>
            <wp:cNvGraphicFramePr/>
            <a:graphic xmlns:a="http://schemas.openxmlformats.org/drawingml/2006/main">
              <a:graphicData uri="http://schemas.openxmlformats.org/drawingml/2006/picture">
                <pic:pic xmlns:pic="http://schemas.openxmlformats.org/drawingml/2006/picture">
                  <pic:nvPicPr>
                    <pic:cNvPr id="24111" name="Picture 24111"/>
                    <pic:cNvPicPr/>
                  </pic:nvPicPr>
                  <pic:blipFill>
                    <a:blip r:embed="rId14"/>
                    <a:stretch>
                      <a:fillRect/>
                    </a:stretch>
                  </pic:blipFill>
                  <pic:spPr>
                    <a:xfrm>
                      <a:off x="0" y="0"/>
                      <a:ext cx="416192" cy="461948"/>
                    </a:xfrm>
                    <a:prstGeom prst="rect">
                      <a:avLst/>
                    </a:prstGeom>
                  </pic:spPr>
                </pic:pic>
              </a:graphicData>
            </a:graphic>
          </wp:inline>
        </w:drawing>
      </w:r>
      <w:r>
        <w:rPr>
          <w:sz w:val="16"/>
        </w:rPr>
        <w:t>Vodafone náměstí 155 OO Praha Czech 5</w:t>
      </w:r>
      <w:r>
        <w:rPr>
          <w:sz w:val="16"/>
        </w:rPr>
        <w:tab/>
        <w:t>a.s.</w:t>
      </w:r>
      <w:r>
        <w:rPr>
          <w:sz w:val="16"/>
        </w:rPr>
        <w:tab/>
      </w:r>
      <w:proofErr w:type="spellStart"/>
      <w:r>
        <w:rPr>
          <w:sz w:val="16"/>
        </w:rPr>
        <w:t>vodafone.czVodafone</w:t>
      </w:r>
      <w:proofErr w:type="spellEnd"/>
      <w:r>
        <w:rPr>
          <w:sz w:val="16"/>
        </w:rPr>
        <w:t xml:space="preserve"> IČO: 25788001 </w:t>
      </w:r>
    </w:p>
    <w:p w:rsidR="00252BC1" w:rsidRDefault="00000000">
      <w:pPr>
        <w:tabs>
          <w:tab w:val="center" w:pos="4462"/>
          <w:tab w:val="center" w:pos="5773"/>
          <w:tab w:val="center" w:pos="6680"/>
        </w:tabs>
        <w:spacing w:after="0" w:line="259" w:lineRule="auto"/>
        <w:ind w:left="0" w:firstLine="0"/>
        <w:jc w:val="left"/>
      </w:pPr>
      <w:r>
        <w:rPr>
          <w:sz w:val="12"/>
        </w:rPr>
        <w:tab/>
        <w:t xml:space="preserve">Společnost zapsaná </w:t>
      </w:r>
      <w:r>
        <w:rPr>
          <w:sz w:val="12"/>
        </w:rPr>
        <w:tab/>
        <w:t xml:space="preserve">rejstříku </w:t>
      </w:r>
      <w:r>
        <w:rPr>
          <w:sz w:val="12"/>
        </w:rPr>
        <w:tab/>
        <w:t xml:space="preserve">Městským </w:t>
      </w:r>
    </w:p>
    <w:p w:rsidR="00252BC1" w:rsidRDefault="00000000">
      <w:pPr>
        <w:spacing w:after="0" w:line="259" w:lineRule="auto"/>
        <w:ind w:left="154" w:right="108"/>
        <w:jc w:val="center"/>
      </w:pPr>
      <w:r>
        <w:rPr>
          <w:sz w:val="18"/>
        </w:rPr>
        <w:t>Dodatek č. 1-298520798098 0 k Účastnické smlouvě č. 1-275655116924 0</w:t>
      </w:r>
    </w:p>
    <w:p w:rsidR="00252BC1" w:rsidRDefault="00000000">
      <w:pPr>
        <w:tabs>
          <w:tab w:val="center" w:pos="4829"/>
          <w:tab w:val="right" w:pos="10335"/>
        </w:tabs>
        <w:spacing w:after="212" w:line="259" w:lineRule="auto"/>
        <w:ind w:left="0" w:right="-720" w:firstLine="0"/>
        <w:jc w:val="left"/>
      </w:pPr>
      <w:r>
        <w:rPr>
          <w:sz w:val="18"/>
        </w:rPr>
        <w:tab/>
        <w:t>ID nabídky 0000769397</w:t>
      </w:r>
      <w:r>
        <w:rPr>
          <w:sz w:val="18"/>
        </w:rPr>
        <w:tab/>
      </w:r>
      <w:r>
        <w:rPr>
          <w:noProof/>
        </w:rPr>
        <w:drawing>
          <wp:inline distT="0" distB="0" distL="0" distR="0">
            <wp:extent cx="539677" cy="544275"/>
            <wp:effectExtent l="0" t="0" r="0" b="0"/>
            <wp:docPr id="13465" name="Picture 13465"/>
            <wp:cNvGraphicFramePr/>
            <a:graphic xmlns:a="http://schemas.openxmlformats.org/drawingml/2006/main">
              <a:graphicData uri="http://schemas.openxmlformats.org/drawingml/2006/picture">
                <pic:pic xmlns:pic="http://schemas.openxmlformats.org/drawingml/2006/picture">
                  <pic:nvPicPr>
                    <pic:cNvPr id="13465" name="Picture 13465"/>
                    <pic:cNvPicPr/>
                  </pic:nvPicPr>
                  <pic:blipFill>
                    <a:blip r:embed="rId15"/>
                    <a:stretch>
                      <a:fillRect/>
                    </a:stretch>
                  </pic:blipFill>
                  <pic:spPr>
                    <a:xfrm>
                      <a:off x="0" y="0"/>
                      <a:ext cx="539677" cy="544275"/>
                    </a:xfrm>
                    <a:prstGeom prst="rect">
                      <a:avLst/>
                    </a:prstGeom>
                  </pic:spPr>
                </pic:pic>
              </a:graphicData>
            </a:graphic>
          </wp:inline>
        </w:drawing>
      </w:r>
    </w:p>
    <w:p w:rsidR="00252BC1" w:rsidRDefault="00000000">
      <w:pPr>
        <w:spacing w:after="77"/>
        <w:ind w:left="24"/>
      </w:pPr>
      <w:r>
        <w:t>Zákazník podpisem Dodatku potvrzuje, že se seznámil a bez výhrad souhlasí a akceptuje Obchodní podmínky, Podmínky, Všeobecné podmínky, Ceník, jakož i nové znění Smlouvy, včetně jejích nedílných součástí.</w:t>
      </w:r>
    </w:p>
    <w:p w:rsidR="00252BC1" w:rsidRDefault="00000000">
      <w:pPr>
        <w:ind w:left="32"/>
      </w:pPr>
      <w:r>
        <w:t>Není-li v tomto Dodatku uvedeno jinak, podpisem Dodatku uděluje Zákazník souhlasy se zpracováním údajů uvedených v Informacích, a to k účelům uvedeným v Informacích.</w:t>
      </w:r>
    </w:p>
    <w:p w:rsidR="00252BC1" w:rsidRDefault="00000000">
      <w:pPr>
        <w:spacing w:after="27"/>
        <w:ind w:left="32"/>
      </w:pPr>
      <w:r>
        <w:t>Pro vyloučení jakýchkoliv pochyb bude ponecháno nastavení služeb na všech účastnických mobilních číslech (dále jen</w:t>
      </w:r>
    </w:p>
    <w:p w:rsidR="00252BC1" w:rsidRDefault="00000000">
      <w:pPr>
        <w:spacing w:after="27"/>
        <w:ind w:left="24"/>
      </w:pPr>
      <w:r>
        <w:t>„MSISDN”) podle stávajícího znění Smlouvy, přičemž veškeré výhody čerpané na těchto MSISDN do účinnosti tohoto</w:t>
      </w:r>
    </w:p>
    <w:p w:rsidR="00252BC1" w:rsidRDefault="00000000">
      <w:pPr>
        <w:spacing w:after="27"/>
        <w:ind w:left="32"/>
      </w:pPr>
      <w:r>
        <w:t>Dodatku budou poskytovány i po jeho účinnosti, pokud tak bude výslovně a písemně mezi smluvními stranami dohodnuto.</w:t>
      </w:r>
    </w:p>
    <w:p w:rsidR="00252BC1" w:rsidRDefault="00000000">
      <w:pPr>
        <w:spacing w:after="119" w:line="217" w:lineRule="auto"/>
        <w:ind w:left="-1" w:right="57" w:firstLine="4"/>
        <w:jc w:val="left"/>
      </w:pPr>
      <w:r>
        <w:t xml:space="preserve">Rozpis přiložený k tomuto Dodatku nahrazuje předchozí Rozpisy a nárok na nevyčerpanou část slev dle předchozích Rozpisů zaniká. V </w:t>
      </w:r>
      <w:proofErr w:type="spellStart"/>
      <w:r>
        <w:t>pňpadě</w:t>
      </w:r>
      <w:proofErr w:type="spellEnd"/>
      <w:r>
        <w:t xml:space="preserve"> doúčtování slev podle bodu 3.5 Smlouvy nebudou doúčtovány slevy poskytnuté na základě předchozích Rozpisů. Přehled přiložený k tomuto Dodatku nahrazuje předchozí Přehledy.</w:t>
      </w:r>
    </w:p>
    <w:p w:rsidR="00252BC1" w:rsidRDefault="00000000">
      <w:pPr>
        <w:spacing w:after="78"/>
        <w:ind w:left="32"/>
      </w:pPr>
      <w:r>
        <w:t>Dodatek byl vyhotoven ve dvou (2) stejnopisech, přičemž každá ze smluvních stran obdrží po jednom z nich.</w:t>
      </w:r>
    </w:p>
    <w:p w:rsidR="00252BC1" w:rsidRDefault="00000000">
      <w:pPr>
        <w:spacing w:after="2310" w:line="217" w:lineRule="auto"/>
        <w:ind w:left="-1" w:right="57" w:firstLine="4"/>
        <w:jc w:val="left"/>
      </w:pPr>
      <w:r>
        <w:t xml:space="preserve">Dodatek nabývá platnosti dnem podpisu oběma smluvními stranami a účinnosti po prověření návratnosti nabízených výhod a prověření důvěryhodnosti a schopnosti Zákazníka plnit své závazky vyplývající ze Smlouvy ve znění tohoto Dodatku s </w:t>
      </w:r>
      <w:proofErr w:type="spellStart"/>
      <w:r>
        <w:t>Vodafonem</w:t>
      </w:r>
      <w:proofErr w:type="spellEnd"/>
      <w:r>
        <w:t xml:space="preserve">. V </w:t>
      </w:r>
      <w:proofErr w:type="spellStart"/>
      <w:r>
        <w:t>pňpadě</w:t>
      </w:r>
      <w:proofErr w:type="spellEnd"/>
      <w:r>
        <w:t xml:space="preserve">, že výsledek prověření prokáže návratnost poskytovaných výhod a důvěryhodnost Zákazníka, vyrozumí Vodafone o této skutečnosti písemně Zákazníka. Dodatek nabývá účinnosti dnem doručení tohoto vyrozumění Zákazníkovi. Pro vyloučení pochybností se uvádí, že postačí vyrozumění ve formě e-mailové zprávy odeslané na e-mailovou adresu Zákazníka uvedenou v záhlaví Dodatku. Jestliže Vodafone nedoručí vyrozumění o kladném výsledku prověření Zákazníkovi nejpozději do 30 kalendářních dnů od podpisu tohoto Dodatku, pak tento Dodatek automaticky zaniká a Smlouva zůstává nedotčena tímto Dodatkem. Smluvní strany se dohodly, že v </w:t>
      </w:r>
      <w:proofErr w:type="spellStart"/>
      <w:r>
        <w:t>pňpadě</w:t>
      </w:r>
      <w:proofErr w:type="spellEnd"/>
      <w:r>
        <w:t xml:space="preserve"> doručování vyrozumění ve formě emailové zprávy je vyrozumění považováno za doručené dnem následujícím po odeslání e-mailové zprávy ze strany </w:t>
      </w:r>
      <w:proofErr w:type="spellStart"/>
      <w:r>
        <w:t>Vodafonu</w:t>
      </w:r>
      <w:proofErr w:type="spellEnd"/>
      <w:r>
        <w:t>.</w:t>
      </w:r>
    </w:p>
    <w:tbl>
      <w:tblPr>
        <w:tblStyle w:val="TableGrid"/>
        <w:tblW w:w="8232" w:type="dxa"/>
        <w:tblInd w:w="7" w:type="dxa"/>
        <w:tblCellMar>
          <w:top w:w="21" w:type="dxa"/>
          <w:left w:w="0" w:type="dxa"/>
          <w:bottom w:w="9" w:type="dxa"/>
          <w:right w:w="0" w:type="dxa"/>
        </w:tblCellMar>
        <w:tblLook w:val="04A0" w:firstRow="1" w:lastRow="0" w:firstColumn="1" w:lastColumn="0" w:noHBand="0" w:noVBand="1"/>
      </w:tblPr>
      <w:tblGrid>
        <w:gridCol w:w="4026"/>
        <w:gridCol w:w="4206"/>
      </w:tblGrid>
      <w:tr w:rsidR="00252BC1">
        <w:trPr>
          <w:trHeight w:val="401"/>
        </w:trPr>
        <w:tc>
          <w:tcPr>
            <w:tcW w:w="4026" w:type="dxa"/>
            <w:tcBorders>
              <w:top w:val="nil"/>
              <w:left w:val="nil"/>
              <w:bottom w:val="nil"/>
              <w:right w:val="nil"/>
            </w:tcBorders>
          </w:tcPr>
          <w:p w:rsidR="00252BC1" w:rsidRDefault="00000000">
            <w:pPr>
              <w:spacing w:after="0" w:line="259" w:lineRule="auto"/>
              <w:ind w:left="0" w:firstLine="0"/>
              <w:jc w:val="left"/>
            </w:pPr>
            <w:r>
              <w:rPr>
                <w:sz w:val="22"/>
              </w:rPr>
              <w:t>Vodafone Czech Republic a.s.</w:t>
            </w:r>
          </w:p>
        </w:tc>
        <w:tc>
          <w:tcPr>
            <w:tcW w:w="4206" w:type="dxa"/>
            <w:tcBorders>
              <w:top w:val="nil"/>
              <w:left w:val="nil"/>
              <w:bottom w:val="nil"/>
              <w:right w:val="nil"/>
            </w:tcBorders>
          </w:tcPr>
          <w:p w:rsidR="00252BC1" w:rsidRDefault="00000000">
            <w:pPr>
              <w:spacing w:after="0" w:line="259" w:lineRule="auto"/>
              <w:ind w:left="0" w:firstLine="0"/>
              <w:jc w:val="right"/>
            </w:pPr>
            <w:r>
              <w:rPr>
                <w:sz w:val="22"/>
              </w:rPr>
              <w:t>Ústav anorganické chemie AV ČR, v. v. i.</w:t>
            </w:r>
          </w:p>
        </w:tc>
      </w:tr>
      <w:tr w:rsidR="00252BC1">
        <w:trPr>
          <w:trHeight w:val="487"/>
        </w:trPr>
        <w:tc>
          <w:tcPr>
            <w:tcW w:w="4026" w:type="dxa"/>
            <w:tcBorders>
              <w:top w:val="nil"/>
              <w:left w:val="nil"/>
              <w:bottom w:val="nil"/>
              <w:right w:val="nil"/>
            </w:tcBorders>
            <w:vAlign w:val="center"/>
          </w:tcPr>
          <w:p w:rsidR="00252BC1" w:rsidRDefault="00000000">
            <w:pPr>
              <w:spacing w:after="0" w:line="259" w:lineRule="auto"/>
              <w:ind w:left="7" w:firstLine="0"/>
              <w:jc w:val="left"/>
            </w:pPr>
            <w:r>
              <w:lastRenderedPageBreak/>
              <w:t>Místo:</w:t>
            </w:r>
          </w:p>
        </w:tc>
        <w:tc>
          <w:tcPr>
            <w:tcW w:w="4206" w:type="dxa"/>
            <w:tcBorders>
              <w:top w:val="nil"/>
              <w:left w:val="nil"/>
              <w:bottom w:val="nil"/>
              <w:right w:val="nil"/>
            </w:tcBorders>
            <w:vAlign w:val="center"/>
          </w:tcPr>
          <w:p w:rsidR="00252BC1" w:rsidRDefault="00000000">
            <w:pPr>
              <w:spacing w:after="0" w:line="259" w:lineRule="auto"/>
              <w:ind w:left="915" w:firstLine="0"/>
              <w:jc w:val="left"/>
            </w:pPr>
            <w:r>
              <w:t>Místo:</w:t>
            </w:r>
          </w:p>
        </w:tc>
      </w:tr>
      <w:tr w:rsidR="00252BC1">
        <w:trPr>
          <w:trHeight w:val="409"/>
        </w:trPr>
        <w:tc>
          <w:tcPr>
            <w:tcW w:w="4026" w:type="dxa"/>
            <w:tcBorders>
              <w:top w:val="nil"/>
              <w:left w:val="nil"/>
              <w:bottom w:val="nil"/>
              <w:right w:val="nil"/>
            </w:tcBorders>
            <w:vAlign w:val="center"/>
          </w:tcPr>
          <w:p w:rsidR="00252BC1" w:rsidRDefault="00000000">
            <w:pPr>
              <w:tabs>
                <w:tab w:val="center" w:pos="1909"/>
              </w:tabs>
              <w:spacing w:after="0" w:line="259" w:lineRule="auto"/>
              <w:ind w:left="0" w:firstLine="0"/>
              <w:jc w:val="left"/>
            </w:pPr>
            <w:r>
              <w:rPr>
                <w:sz w:val="22"/>
              </w:rPr>
              <w:t>Datum:</w:t>
            </w:r>
            <w:r>
              <w:rPr>
                <w:sz w:val="22"/>
              </w:rPr>
              <w:tab/>
              <w:t>dne 28.3.2025</w:t>
            </w:r>
          </w:p>
        </w:tc>
        <w:tc>
          <w:tcPr>
            <w:tcW w:w="4206" w:type="dxa"/>
            <w:tcBorders>
              <w:top w:val="nil"/>
              <w:left w:val="nil"/>
              <w:bottom w:val="nil"/>
              <w:right w:val="nil"/>
            </w:tcBorders>
          </w:tcPr>
          <w:p w:rsidR="00252BC1" w:rsidRDefault="00000000">
            <w:pPr>
              <w:tabs>
                <w:tab w:val="center" w:pos="1221"/>
                <w:tab w:val="center" w:pos="2823"/>
                <w:tab w:val="center" w:pos="3486"/>
                <w:tab w:val="center" w:pos="3781"/>
              </w:tabs>
              <w:spacing w:after="0" w:line="259" w:lineRule="auto"/>
              <w:ind w:left="0" w:firstLine="0"/>
              <w:jc w:val="left"/>
            </w:pPr>
            <w:r>
              <w:rPr>
                <w:sz w:val="22"/>
              </w:rPr>
              <w:tab/>
              <w:t>Datum:</w:t>
            </w:r>
            <w:r>
              <w:rPr>
                <w:sz w:val="22"/>
              </w:rPr>
              <w:tab/>
              <w:t xml:space="preserve">dne </w:t>
            </w:r>
            <w:r w:rsidR="00083AF7">
              <w:rPr>
                <w:sz w:val="22"/>
              </w:rPr>
              <w:t>28.3.2025</w:t>
            </w:r>
          </w:p>
        </w:tc>
      </w:tr>
      <w:tr w:rsidR="00252BC1">
        <w:trPr>
          <w:trHeight w:val="413"/>
        </w:trPr>
        <w:tc>
          <w:tcPr>
            <w:tcW w:w="4026" w:type="dxa"/>
            <w:tcBorders>
              <w:top w:val="nil"/>
              <w:left w:val="nil"/>
              <w:bottom w:val="nil"/>
              <w:right w:val="nil"/>
            </w:tcBorders>
            <w:vAlign w:val="center"/>
          </w:tcPr>
          <w:p w:rsidR="00252BC1" w:rsidRDefault="00000000">
            <w:pPr>
              <w:tabs>
                <w:tab w:val="center" w:pos="2067"/>
              </w:tabs>
              <w:spacing w:after="0" w:line="259" w:lineRule="auto"/>
              <w:ind w:left="0" w:firstLine="0"/>
              <w:jc w:val="left"/>
            </w:pPr>
            <w:r>
              <w:t>Jméno:</w:t>
            </w:r>
            <w:r>
              <w:tab/>
              <w:t>Alexandra Staňková</w:t>
            </w:r>
          </w:p>
        </w:tc>
        <w:tc>
          <w:tcPr>
            <w:tcW w:w="4206" w:type="dxa"/>
            <w:tcBorders>
              <w:top w:val="nil"/>
              <w:left w:val="nil"/>
              <w:bottom w:val="nil"/>
              <w:right w:val="nil"/>
            </w:tcBorders>
            <w:vAlign w:val="center"/>
          </w:tcPr>
          <w:p w:rsidR="00252BC1" w:rsidRDefault="00000000">
            <w:pPr>
              <w:tabs>
                <w:tab w:val="center" w:pos="1210"/>
                <w:tab w:val="center" w:pos="2658"/>
              </w:tabs>
              <w:spacing w:after="0" w:line="259" w:lineRule="auto"/>
              <w:ind w:left="0" w:firstLine="0"/>
              <w:jc w:val="left"/>
            </w:pPr>
            <w:r>
              <w:rPr>
                <w:sz w:val="22"/>
              </w:rPr>
              <w:tab/>
              <w:t>Jméno:</w:t>
            </w:r>
            <w:r>
              <w:rPr>
                <w:sz w:val="22"/>
              </w:rPr>
              <w:tab/>
              <w:t>Kamil Lang</w:t>
            </w:r>
          </w:p>
        </w:tc>
      </w:tr>
      <w:tr w:rsidR="00252BC1">
        <w:trPr>
          <w:trHeight w:val="315"/>
        </w:trPr>
        <w:tc>
          <w:tcPr>
            <w:tcW w:w="4026" w:type="dxa"/>
            <w:tcBorders>
              <w:top w:val="nil"/>
              <w:left w:val="nil"/>
              <w:bottom w:val="nil"/>
              <w:right w:val="nil"/>
            </w:tcBorders>
            <w:vAlign w:val="bottom"/>
          </w:tcPr>
          <w:p w:rsidR="00252BC1" w:rsidRDefault="00000000">
            <w:pPr>
              <w:tabs>
                <w:tab w:val="center" w:pos="2553"/>
              </w:tabs>
              <w:spacing w:after="0" w:line="259" w:lineRule="auto"/>
              <w:ind w:left="0" w:firstLine="0"/>
              <w:jc w:val="left"/>
            </w:pPr>
            <w:r>
              <w:t>Pozice:</w:t>
            </w:r>
            <w:r>
              <w:tab/>
              <w:t>Ředitel Vodafone Business péče</w:t>
            </w:r>
          </w:p>
        </w:tc>
        <w:tc>
          <w:tcPr>
            <w:tcW w:w="4206" w:type="dxa"/>
            <w:tcBorders>
              <w:top w:val="nil"/>
              <w:left w:val="nil"/>
              <w:bottom w:val="nil"/>
              <w:right w:val="nil"/>
            </w:tcBorders>
          </w:tcPr>
          <w:p w:rsidR="00252BC1" w:rsidRDefault="00000000">
            <w:pPr>
              <w:tabs>
                <w:tab w:val="center" w:pos="1210"/>
                <w:tab w:val="center" w:pos="2503"/>
              </w:tabs>
              <w:spacing w:after="0" w:line="259" w:lineRule="auto"/>
              <w:ind w:left="0" w:firstLine="0"/>
              <w:jc w:val="left"/>
            </w:pPr>
            <w:r>
              <w:rPr>
                <w:sz w:val="22"/>
              </w:rPr>
              <w:tab/>
              <w:t>Pozice:</w:t>
            </w:r>
            <w:r>
              <w:rPr>
                <w:sz w:val="22"/>
              </w:rPr>
              <w:tab/>
              <w:t>Ředitel</w:t>
            </w:r>
          </w:p>
        </w:tc>
      </w:tr>
    </w:tbl>
    <w:p w:rsidR="00252BC1" w:rsidRDefault="00000000">
      <w:pPr>
        <w:tabs>
          <w:tab w:val="center" w:pos="5251"/>
          <w:tab w:val="center" w:pos="7973"/>
        </w:tabs>
        <w:spacing w:after="0" w:line="259" w:lineRule="auto"/>
        <w:ind w:left="0" w:firstLine="0"/>
        <w:jc w:val="left"/>
      </w:pPr>
      <w:r>
        <w:rPr>
          <w:sz w:val="22"/>
        </w:rPr>
        <w:t xml:space="preserve">Podpis: </w:t>
      </w:r>
      <w:proofErr w:type="spellStart"/>
      <w:r>
        <w:rPr>
          <w:sz w:val="22"/>
        </w:rPr>
        <w:t>zZ</w:t>
      </w:r>
      <w:r>
        <w:rPr>
          <w:sz w:val="22"/>
          <w:u w:val="single" w:color="000000"/>
        </w:rPr>
        <w:t>z</w:t>
      </w:r>
      <w:proofErr w:type="spellEnd"/>
      <w:r>
        <w:rPr>
          <w:sz w:val="22"/>
        </w:rPr>
        <w:t>-n</w:t>
      </w:r>
      <w:r>
        <w:rPr>
          <w:sz w:val="22"/>
        </w:rPr>
        <w:tab/>
        <w:t>Podpis:</w:t>
      </w:r>
      <w:r>
        <w:rPr>
          <w:sz w:val="22"/>
        </w:rPr>
        <w:tab/>
      </w:r>
    </w:p>
    <w:tbl>
      <w:tblPr>
        <w:tblStyle w:val="TableGrid"/>
        <w:tblW w:w="4141" w:type="dxa"/>
        <w:tblInd w:w="4934" w:type="dxa"/>
        <w:tblCellMar>
          <w:top w:w="15" w:type="dxa"/>
          <w:left w:w="0" w:type="dxa"/>
          <w:bottom w:w="0" w:type="dxa"/>
          <w:right w:w="0" w:type="dxa"/>
        </w:tblCellMar>
        <w:tblLook w:val="04A0" w:firstRow="1" w:lastRow="0" w:firstColumn="1" w:lastColumn="0" w:noHBand="0" w:noVBand="1"/>
      </w:tblPr>
      <w:tblGrid>
        <w:gridCol w:w="1217"/>
        <w:gridCol w:w="2924"/>
      </w:tblGrid>
      <w:tr w:rsidR="00252BC1">
        <w:trPr>
          <w:trHeight w:val="792"/>
        </w:trPr>
        <w:tc>
          <w:tcPr>
            <w:tcW w:w="1217" w:type="dxa"/>
            <w:tcBorders>
              <w:top w:val="nil"/>
              <w:left w:val="nil"/>
              <w:bottom w:val="nil"/>
              <w:right w:val="nil"/>
            </w:tcBorders>
          </w:tcPr>
          <w:p w:rsidR="00252BC1" w:rsidRDefault="00252BC1">
            <w:pPr>
              <w:spacing w:after="0" w:line="259" w:lineRule="auto"/>
              <w:ind w:left="0" w:firstLine="0"/>
              <w:jc w:val="left"/>
            </w:pPr>
          </w:p>
        </w:tc>
        <w:tc>
          <w:tcPr>
            <w:tcW w:w="2924" w:type="dxa"/>
            <w:tcBorders>
              <w:top w:val="nil"/>
              <w:left w:val="nil"/>
              <w:bottom w:val="nil"/>
              <w:right w:val="nil"/>
            </w:tcBorders>
          </w:tcPr>
          <w:p w:rsidR="00252BC1" w:rsidRDefault="00252BC1">
            <w:pPr>
              <w:spacing w:after="0" w:line="259" w:lineRule="auto"/>
              <w:ind w:left="375" w:firstLine="0"/>
              <w:jc w:val="center"/>
            </w:pPr>
          </w:p>
        </w:tc>
      </w:tr>
    </w:tbl>
    <w:p w:rsidR="00252BC1" w:rsidRDefault="00000000">
      <w:pPr>
        <w:spacing w:after="9" w:line="256" w:lineRule="auto"/>
        <w:ind w:left="579" w:right="2114"/>
        <w:jc w:val="center"/>
      </w:pPr>
      <w:r>
        <w:rPr>
          <w:noProof/>
        </w:rPr>
        <w:drawing>
          <wp:anchor distT="0" distB="0" distL="114300" distR="114300" simplePos="0" relativeHeight="251660288" behindDoc="0" locked="0" layoutInCell="1" allowOverlap="0">
            <wp:simplePos x="0" y="0"/>
            <wp:positionH relativeFrom="column">
              <wp:posOffset>361309</wp:posOffset>
            </wp:positionH>
            <wp:positionV relativeFrom="paragraph">
              <wp:posOffset>-27411</wp:posOffset>
            </wp:positionV>
            <wp:extent cx="1481825" cy="548849"/>
            <wp:effectExtent l="0" t="0" r="0" b="0"/>
            <wp:wrapSquare wrapText="bothSides"/>
            <wp:docPr id="13464" name="Picture 13464"/>
            <wp:cNvGraphicFramePr/>
            <a:graphic xmlns:a="http://schemas.openxmlformats.org/drawingml/2006/main">
              <a:graphicData uri="http://schemas.openxmlformats.org/drawingml/2006/picture">
                <pic:pic xmlns:pic="http://schemas.openxmlformats.org/drawingml/2006/picture">
                  <pic:nvPicPr>
                    <pic:cNvPr id="13464" name="Picture 13464"/>
                    <pic:cNvPicPr/>
                  </pic:nvPicPr>
                  <pic:blipFill>
                    <a:blip r:embed="rId16"/>
                    <a:stretch>
                      <a:fillRect/>
                    </a:stretch>
                  </pic:blipFill>
                  <pic:spPr>
                    <a:xfrm>
                      <a:off x="0" y="0"/>
                      <a:ext cx="1481825" cy="548849"/>
                    </a:xfrm>
                    <a:prstGeom prst="rect">
                      <a:avLst/>
                    </a:prstGeom>
                  </pic:spPr>
                </pic:pic>
              </a:graphicData>
            </a:graphic>
          </wp:anchor>
        </w:drawing>
      </w:r>
      <w:r>
        <w:rPr>
          <w:sz w:val="16"/>
        </w:rPr>
        <w:t xml:space="preserve">Vodafone Czech </w:t>
      </w:r>
      <w:r>
        <w:rPr>
          <w:sz w:val="16"/>
        </w:rPr>
        <w:tab/>
        <w:t>a.s.</w:t>
      </w:r>
      <w:r>
        <w:rPr>
          <w:sz w:val="16"/>
        </w:rPr>
        <w:tab/>
        <w:t xml:space="preserve">Vodafone péče náměstí </w:t>
      </w:r>
      <w:r>
        <w:rPr>
          <w:sz w:val="16"/>
        </w:rPr>
        <w:tab/>
        <w:t xml:space="preserve">IČO: 25788001. </w:t>
      </w:r>
    </w:p>
    <w:p w:rsidR="00252BC1" w:rsidRDefault="00000000">
      <w:pPr>
        <w:tabs>
          <w:tab w:val="center" w:pos="4502"/>
          <w:tab w:val="center" w:pos="6655"/>
        </w:tabs>
        <w:spacing w:after="36" w:line="256" w:lineRule="auto"/>
        <w:ind w:left="0" w:firstLine="0"/>
        <w:jc w:val="left"/>
      </w:pPr>
      <w:r>
        <w:rPr>
          <w:sz w:val="16"/>
        </w:rPr>
        <w:tab/>
        <w:t>155 OO Praha 5</w:t>
      </w:r>
      <w:r>
        <w:rPr>
          <w:sz w:val="16"/>
        </w:rPr>
        <w:tab/>
        <w:t>vodafone.cz</w:t>
      </w:r>
    </w:p>
    <w:p w:rsidR="00252BC1" w:rsidRDefault="00000000">
      <w:pPr>
        <w:tabs>
          <w:tab w:val="center" w:pos="4697"/>
          <w:tab w:val="center" w:pos="5809"/>
        </w:tabs>
        <w:spacing w:after="0" w:line="259" w:lineRule="auto"/>
        <w:ind w:left="0" w:firstLine="0"/>
        <w:jc w:val="left"/>
      </w:pPr>
      <w:r>
        <w:rPr>
          <w:sz w:val="10"/>
        </w:rPr>
        <w:tab/>
      </w:r>
      <w:r>
        <w:rPr>
          <w:noProof/>
        </w:rPr>
        <w:drawing>
          <wp:inline distT="0" distB="0" distL="0" distR="0">
            <wp:extent cx="384177" cy="68607"/>
            <wp:effectExtent l="0" t="0" r="0" b="0"/>
            <wp:docPr id="24113" name="Picture 24113"/>
            <wp:cNvGraphicFramePr/>
            <a:graphic xmlns:a="http://schemas.openxmlformats.org/drawingml/2006/main">
              <a:graphicData uri="http://schemas.openxmlformats.org/drawingml/2006/picture">
                <pic:pic xmlns:pic="http://schemas.openxmlformats.org/drawingml/2006/picture">
                  <pic:nvPicPr>
                    <pic:cNvPr id="24113" name="Picture 24113"/>
                    <pic:cNvPicPr/>
                  </pic:nvPicPr>
                  <pic:blipFill>
                    <a:blip r:embed="rId17"/>
                    <a:stretch>
                      <a:fillRect/>
                    </a:stretch>
                  </pic:blipFill>
                  <pic:spPr>
                    <a:xfrm>
                      <a:off x="0" y="0"/>
                      <a:ext cx="384177" cy="68607"/>
                    </a:xfrm>
                    <a:prstGeom prst="rect">
                      <a:avLst/>
                    </a:prstGeom>
                  </pic:spPr>
                </pic:pic>
              </a:graphicData>
            </a:graphic>
          </wp:inline>
        </w:drawing>
      </w:r>
      <w:r>
        <w:rPr>
          <w:sz w:val="10"/>
        </w:rPr>
        <w:tab/>
      </w:r>
      <w:proofErr w:type="spellStart"/>
      <w:r>
        <w:rPr>
          <w:sz w:val="10"/>
        </w:rPr>
        <w:t>reĺ%tŕiku</w:t>
      </w:r>
      <w:proofErr w:type="spellEnd"/>
      <w:r>
        <w:rPr>
          <w:sz w:val="10"/>
        </w:rPr>
        <w:t xml:space="preserve"> </w:t>
      </w:r>
    </w:p>
    <w:sectPr w:rsidR="00252BC1">
      <w:type w:val="continuous"/>
      <w:pgSz w:w="11920" w:h="16840"/>
      <w:pgMar w:top="528" w:right="1541" w:bottom="569" w:left="76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A1A" w:rsidRDefault="005D7A1A">
      <w:pPr>
        <w:spacing w:after="0" w:line="240" w:lineRule="auto"/>
      </w:pPr>
      <w:r>
        <w:separator/>
      </w:r>
    </w:p>
  </w:endnote>
  <w:endnote w:type="continuationSeparator" w:id="0">
    <w:p w:rsidR="005D7A1A" w:rsidRDefault="005D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BC1" w:rsidRDefault="00000000">
    <w:pPr>
      <w:spacing w:after="114" w:line="259" w:lineRule="auto"/>
      <w:ind w:left="0" w:right="-735" w:firstLine="0"/>
      <w:jc w:val="right"/>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w:t>
    </w:r>
    <w:fldSimple w:instr=" NUMPAGES   \* MERGEFORMAT ">
      <w:r>
        <w:rPr>
          <w:rFonts w:ascii="Times New Roman" w:eastAsia="Times New Roman" w:hAnsi="Times New Roman" w:cs="Times New Roman"/>
          <w:sz w:val="22"/>
        </w:rPr>
        <w:t>3</w:t>
      </w:r>
    </w:fldSimple>
  </w:p>
  <w:p w:rsidR="00252BC1" w:rsidRDefault="00000000">
    <w:pPr>
      <w:spacing w:after="42" w:line="241" w:lineRule="auto"/>
      <w:ind w:left="4574" w:right="72" w:firstLine="533"/>
    </w:pPr>
    <w:r>
      <w:rPr>
        <w:sz w:val="16"/>
      </w:rPr>
      <w:t xml:space="preserve">Republic o zákazníky: 800 </w:t>
    </w:r>
    <w:r>
      <w:rPr>
        <w:sz w:val="18"/>
      </w:rPr>
      <w:t xml:space="preserve">77 </w:t>
    </w:r>
    <w:r>
      <w:rPr>
        <w:sz w:val="14"/>
      </w:rPr>
      <w:t xml:space="preserve">OO </w:t>
    </w:r>
    <w:r>
      <w:rPr>
        <w:sz w:val="18"/>
      </w:rPr>
      <w:t xml:space="preserve">77 </w:t>
    </w:r>
    <w:r>
      <w:rPr>
        <w:sz w:val="16"/>
      </w:rPr>
      <w:t xml:space="preserve">Junkových </w:t>
    </w:r>
    <w:r>
      <w:rPr>
        <w:sz w:val="18"/>
      </w:rPr>
      <w:t>2</w:t>
    </w:r>
    <w:r>
      <w:rPr>
        <w:sz w:val="18"/>
      </w:rPr>
      <w:tab/>
    </w:r>
    <w:r>
      <w:rPr>
        <w:sz w:val="16"/>
      </w:rPr>
      <w:t>DIČ: CZ25788001</w:t>
    </w:r>
  </w:p>
  <w:p w:rsidR="00252BC1" w:rsidRDefault="00000000">
    <w:pPr>
      <w:spacing w:after="0" w:line="216" w:lineRule="auto"/>
      <w:ind w:left="4991" w:right="821" w:hanging="3853"/>
      <w:jc w:val="left"/>
    </w:pPr>
    <w:r>
      <w:rPr>
        <w:rFonts w:ascii="Times New Roman" w:eastAsia="Times New Roman" w:hAnsi="Times New Roman" w:cs="Times New Roman"/>
        <w:sz w:val="32"/>
      </w:rPr>
      <w:t>0 5 2 - 0 3 0 0</w:t>
    </w:r>
    <w:r>
      <w:rPr>
        <w:rFonts w:ascii="Times New Roman" w:eastAsia="Times New Roman" w:hAnsi="Times New Roman" w:cs="Times New Roman"/>
        <w:sz w:val="32"/>
      </w:rPr>
      <w:tab/>
    </w:r>
    <w:r>
      <w:rPr>
        <w:sz w:val="12"/>
      </w:rPr>
      <w:t xml:space="preserve">obchodním </w:t>
    </w:r>
    <w:r>
      <w:rPr>
        <w:sz w:val="12"/>
      </w:rPr>
      <w:tab/>
      <w:t xml:space="preserve">vedeném </w:t>
    </w:r>
    <w:r>
      <w:rPr>
        <w:sz w:val="12"/>
      </w:rPr>
      <w:tab/>
      <w:t xml:space="preserve">soudem </w:t>
    </w:r>
    <w:r>
      <w:rPr>
        <w:sz w:val="14"/>
      </w:rPr>
      <w:t xml:space="preserve">v </w:t>
    </w:r>
    <w:r>
      <w:rPr>
        <w:sz w:val="12"/>
      </w:rPr>
      <w:t xml:space="preserve">Praze. oddíl B, vložka 6064. </w:t>
    </w:r>
    <w:r>
      <w:rPr>
        <w:sz w:val="14"/>
      </w:rPr>
      <w:t xml:space="preserve">v </w:t>
    </w:r>
  </w:p>
  <w:p w:rsidR="00252BC1" w:rsidRDefault="00000000">
    <w:pPr>
      <w:spacing w:after="0" w:line="259" w:lineRule="auto"/>
      <w:ind w:left="-447" w:firstLine="0"/>
      <w:jc w:val="left"/>
    </w:pPr>
    <w:r>
      <w:rPr>
        <w:sz w:val="14"/>
      </w:rPr>
      <w:t>C2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BC1" w:rsidRDefault="00000000">
    <w:pPr>
      <w:spacing w:after="114" w:line="259" w:lineRule="auto"/>
      <w:ind w:left="0" w:right="-735" w:firstLine="0"/>
      <w:jc w:val="right"/>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w:t>
    </w:r>
    <w:fldSimple w:instr=" NUMPAGES   \* MERGEFORMAT ">
      <w:r>
        <w:rPr>
          <w:rFonts w:ascii="Times New Roman" w:eastAsia="Times New Roman" w:hAnsi="Times New Roman" w:cs="Times New Roman"/>
          <w:sz w:val="22"/>
        </w:rPr>
        <w:t>3</w:t>
      </w:r>
    </w:fldSimple>
  </w:p>
  <w:p w:rsidR="00252BC1" w:rsidRDefault="00000000">
    <w:pPr>
      <w:spacing w:after="42" w:line="241" w:lineRule="auto"/>
      <w:ind w:left="4574" w:right="72" w:firstLine="533"/>
    </w:pPr>
    <w:r>
      <w:rPr>
        <w:sz w:val="16"/>
      </w:rPr>
      <w:t xml:space="preserve">Republic o zákazníky: 800 </w:t>
    </w:r>
    <w:r>
      <w:rPr>
        <w:sz w:val="18"/>
      </w:rPr>
      <w:t xml:space="preserve">77 </w:t>
    </w:r>
    <w:r>
      <w:rPr>
        <w:sz w:val="14"/>
      </w:rPr>
      <w:t xml:space="preserve">OO </w:t>
    </w:r>
    <w:r>
      <w:rPr>
        <w:sz w:val="18"/>
      </w:rPr>
      <w:t xml:space="preserve">77 </w:t>
    </w:r>
    <w:r>
      <w:rPr>
        <w:sz w:val="16"/>
      </w:rPr>
      <w:t xml:space="preserve">Junkových </w:t>
    </w:r>
    <w:r>
      <w:rPr>
        <w:sz w:val="18"/>
      </w:rPr>
      <w:t>2</w:t>
    </w:r>
    <w:r>
      <w:rPr>
        <w:sz w:val="18"/>
      </w:rPr>
      <w:tab/>
    </w:r>
    <w:r>
      <w:rPr>
        <w:sz w:val="16"/>
      </w:rPr>
      <w:t>DIČ: CZ25788001</w:t>
    </w:r>
  </w:p>
  <w:p w:rsidR="00252BC1" w:rsidRDefault="00000000">
    <w:pPr>
      <w:spacing w:after="0" w:line="216" w:lineRule="auto"/>
      <w:ind w:left="4991" w:right="821" w:hanging="3853"/>
      <w:jc w:val="left"/>
    </w:pPr>
    <w:r>
      <w:rPr>
        <w:rFonts w:ascii="Times New Roman" w:eastAsia="Times New Roman" w:hAnsi="Times New Roman" w:cs="Times New Roman"/>
        <w:sz w:val="32"/>
      </w:rPr>
      <w:t>0 5 2 - 0 3 0 0</w:t>
    </w:r>
    <w:r>
      <w:rPr>
        <w:rFonts w:ascii="Times New Roman" w:eastAsia="Times New Roman" w:hAnsi="Times New Roman" w:cs="Times New Roman"/>
        <w:sz w:val="32"/>
      </w:rPr>
      <w:tab/>
    </w:r>
    <w:r>
      <w:rPr>
        <w:sz w:val="12"/>
      </w:rPr>
      <w:t xml:space="preserve">obchodním </w:t>
    </w:r>
    <w:r>
      <w:rPr>
        <w:sz w:val="12"/>
      </w:rPr>
      <w:tab/>
      <w:t xml:space="preserve">vedeném </w:t>
    </w:r>
    <w:r>
      <w:rPr>
        <w:sz w:val="12"/>
      </w:rPr>
      <w:tab/>
      <w:t xml:space="preserve">soudem </w:t>
    </w:r>
    <w:r>
      <w:rPr>
        <w:sz w:val="14"/>
      </w:rPr>
      <w:t xml:space="preserve">v </w:t>
    </w:r>
    <w:r>
      <w:rPr>
        <w:sz w:val="12"/>
      </w:rPr>
      <w:t xml:space="preserve">Praze. oddíl B, vložka 6064. </w:t>
    </w:r>
    <w:r>
      <w:rPr>
        <w:sz w:val="14"/>
      </w:rPr>
      <w:t xml:space="preserve">v </w:t>
    </w:r>
  </w:p>
  <w:p w:rsidR="00252BC1" w:rsidRDefault="00000000">
    <w:pPr>
      <w:spacing w:after="0" w:line="259" w:lineRule="auto"/>
      <w:ind w:left="-447" w:firstLine="0"/>
      <w:jc w:val="left"/>
    </w:pPr>
    <w:r>
      <w:rPr>
        <w:sz w:val="14"/>
      </w:rPr>
      <w:t>C2 General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BC1" w:rsidRDefault="00000000">
    <w:pPr>
      <w:spacing w:after="114" w:line="259" w:lineRule="auto"/>
      <w:ind w:left="0" w:right="-735" w:firstLine="0"/>
      <w:jc w:val="right"/>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w:t>
    </w:r>
    <w:fldSimple w:instr=" NUMPAGES   \* MERGEFORMAT ">
      <w:r>
        <w:rPr>
          <w:rFonts w:ascii="Times New Roman" w:eastAsia="Times New Roman" w:hAnsi="Times New Roman" w:cs="Times New Roman"/>
          <w:sz w:val="22"/>
        </w:rPr>
        <w:t>3</w:t>
      </w:r>
    </w:fldSimple>
  </w:p>
  <w:p w:rsidR="00252BC1" w:rsidRDefault="00000000">
    <w:pPr>
      <w:spacing w:after="42" w:line="241" w:lineRule="auto"/>
      <w:ind w:left="4574" w:right="72" w:firstLine="533"/>
    </w:pPr>
    <w:r>
      <w:rPr>
        <w:sz w:val="16"/>
      </w:rPr>
      <w:t xml:space="preserve">Republic o zákazníky: 800 </w:t>
    </w:r>
    <w:r>
      <w:rPr>
        <w:sz w:val="18"/>
      </w:rPr>
      <w:t xml:space="preserve">77 </w:t>
    </w:r>
    <w:r>
      <w:rPr>
        <w:sz w:val="14"/>
      </w:rPr>
      <w:t xml:space="preserve">OO </w:t>
    </w:r>
    <w:r>
      <w:rPr>
        <w:sz w:val="18"/>
      </w:rPr>
      <w:t xml:space="preserve">77 </w:t>
    </w:r>
    <w:r>
      <w:rPr>
        <w:sz w:val="16"/>
      </w:rPr>
      <w:t xml:space="preserve">Junkových </w:t>
    </w:r>
    <w:r>
      <w:rPr>
        <w:sz w:val="18"/>
      </w:rPr>
      <w:t>2</w:t>
    </w:r>
    <w:r>
      <w:rPr>
        <w:sz w:val="18"/>
      </w:rPr>
      <w:tab/>
    </w:r>
    <w:r>
      <w:rPr>
        <w:sz w:val="16"/>
      </w:rPr>
      <w:t>DIČ: CZ25788001</w:t>
    </w:r>
  </w:p>
  <w:p w:rsidR="00252BC1" w:rsidRDefault="00000000">
    <w:pPr>
      <w:spacing w:after="0" w:line="216" w:lineRule="auto"/>
      <w:ind w:left="4991" w:right="821" w:hanging="3853"/>
      <w:jc w:val="left"/>
    </w:pPr>
    <w:r>
      <w:rPr>
        <w:rFonts w:ascii="Times New Roman" w:eastAsia="Times New Roman" w:hAnsi="Times New Roman" w:cs="Times New Roman"/>
        <w:sz w:val="32"/>
      </w:rPr>
      <w:t>0 5 2 - 0 3 0 0</w:t>
    </w:r>
    <w:r>
      <w:rPr>
        <w:rFonts w:ascii="Times New Roman" w:eastAsia="Times New Roman" w:hAnsi="Times New Roman" w:cs="Times New Roman"/>
        <w:sz w:val="32"/>
      </w:rPr>
      <w:tab/>
    </w:r>
    <w:r>
      <w:rPr>
        <w:sz w:val="12"/>
      </w:rPr>
      <w:t xml:space="preserve">obchodním </w:t>
    </w:r>
    <w:r>
      <w:rPr>
        <w:sz w:val="12"/>
      </w:rPr>
      <w:tab/>
      <w:t xml:space="preserve">vedeném </w:t>
    </w:r>
    <w:r>
      <w:rPr>
        <w:sz w:val="12"/>
      </w:rPr>
      <w:tab/>
      <w:t xml:space="preserve">soudem </w:t>
    </w:r>
    <w:r>
      <w:rPr>
        <w:sz w:val="14"/>
      </w:rPr>
      <w:t xml:space="preserve">v </w:t>
    </w:r>
    <w:r>
      <w:rPr>
        <w:sz w:val="12"/>
      </w:rPr>
      <w:t xml:space="preserve">Praze. oddíl B, vložka 6064. </w:t>
    </w:r>
    <w:r>
      <w:rPr>
        <w:sz w:val="14"/>
      </w:rPr>
      <w:t xml:space="preserve">v </w:t>
    </w:r>
  </w:p>
  <w:p w:rsidR="00252BC1" w:rsidRDefault="00000000">
    <w:pPr>
      <w:spacing w:after="0" w:line="259" w:lineRule="auto"/>
      <w:ind w:left="-447" w:firstLine="0"/>
      <w:jc w:val="left"/>
    </w:pPr>
    <w:r>
      <w:rPr>
        <w:sz w:val="14"/>
      </w:rPr>
      <w:t>C2 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A1A" w:rsidRDefault="005D7A1A">
      <w:pPr>
        <w:spacing w:after="0" w:line="240" w:lineRule="auto"/>
      </w:pPr>
      <w:r>
        <w:separator/>
      </w:r>
    </w:p>
  </w:footnote>
  <w:footnote w:type="continuationSeparator" w:id="0">
    <w:p w:rsidR="005D7A1A" w:rsidRDefault="005D7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45C86"/>
    <w:multiLevelType w:val="hybridMultilevel"/>
    <w:tmpl w:val="81840994"/>
    <w:lvl w:ilvl="0" w:tplc="EA94D5AC">
      <w:start w:val="2"/>
      <w:numFmt w:val="decimal"/>
      <w:pStyle w:val="Nadpis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BC732A">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8AE8AE">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BC4DF4">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F2AF60">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12E698">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04F8D0">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047BA6">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507BC8">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8771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C1"/>
    <w:rsid w:val="00083AF7"/>
    <w:rsid w:val="00252BC1"/>
    <w:rsid w:val="00467E03"/>
    <w:rsid w:val="005D7A1A"/>
    <w:rsid w:val="00660AE8"/>
    <w:rsid w:val="00AE4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1EAF"/>
  <w15:docId w15:val="{871DCA98-DE8C-4EE4-BC91-AC24C616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3" w:line="227" w:lineRule="auto"/>
      <w:ind w:left="60" w:hanging="10"/>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numPr>
        <w:numId w:val="1"/>
      </w:numPr>
      <w:spacing w:after="0" w:line="259" w:lineRule="auto"/>
      <w:ind w:left="32" w:hanging="10"/>
      <w:outlineLvl w:val="0"/>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1622</Words>
  <Characters>9573</Characters>
  <Application>Microsoft Office Word</Application>
  <DocSecurity>0</DocSecurity>
  <Lines>79</Lines>
  <Paragraphs>22</Paragraphs>
  <ScaleCrop>false</ScaleCrop>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Vincencová</dc:creator>
  <cp:keywords/>
  <cp:lastModifiedBy>Lenka Vincencová</cp:lastModifiedBy>
  <cp:revision>4</cp:revision>
  <dcterms:created xsi:type="dcterms:W3CDTF">2025-04-01T07:31:00Z</dcterms:created>
  <dcterms:modified xsi:type="dcterms:W3CDTF">2025-04-01T07:32:00Z</dcterms:modified>
</cp:coreProperties>
</file>