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790700" cy="65722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right="2485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OBCHODNÍ PODMÍNKY PRO POŘADATELE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96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(„Obchodní podmínky Pořadatele“)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86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účinné od </w:t>
      </w:r>
      <w:proofErr w:type="gramStart"/>
      <w:r>
        <w:rPr>
          <w:b/>
          <w:color w:val="000000"/>
          <w:sz w:val="20"/>
          <w:szCs w:val="20"/>
        </w:rPr>
        <w:t>1.11. 2022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I. Úvodní ustanovení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59" w:right="21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>
        <w:rPr>
          <w:i/>
          <w:color w:val="000000"/>
          <w:sz w:val="20"/>
          <w:szCs w:val="20"/>
        </w:rPr>
        <w:t xml:space="preserve">Prodejní síť </w:t>
      </w:r>
      <w:r>
        <w:rPr>
          <w:color w:val="000000"/>
          <w:sz w:val="20"/>
          <w:szCs w:val="20"/>
        </w:rPr>
        <w:t>je provozovatelem elektronického rezervačního systému, umožňujícího prodej a distribuci vstupenek, voucherů, poukázek a jiných náhrad vstupenek na kulturní, sportovní a jiné akce pod obchodní značkou TICKETSTREAM na www.ticketstream.cz a v síti smluvních p</w:t>
      </w:r>
      <w:r>
        <w:rPr>
          <w:color w:val="000000"/>
          <w:sz w:val="20"/>
          <w:szCs w:val="20"/>
        </w:rPr>
        <w:t xml:space="preserve">artnerů a poskytovatelů dalších souvisejících služeb.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1" w:hanging="3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>
        <w:rPr>
          <w:i/>
          <w:color w:val="000000"/>
          <w:sz w:val="20"/>
          <w:szCs w:val="20"/>
        </w:rPr>
        <w:t xml:space="preserve">Pořadatel </w:t>
      </w:r>
      <w:r>
        <w:rPr>
          <w:color w:val="000000"/>
          <w:sz w:val="20"/>
          <w:szCs w:val="20"/>
        </w:rPr>
        <w:t xml:space="preserve">se zabývá organizováním kulturních, sportovních a jiných akcí a má zájem o zajištění prodeje vstupenek vlastním jménem a na vlastní odpovědnost na tyto akce pro zákazníky prostřednictvím Prodejní sítě.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5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>
        <w:rPr>
          <w:i/>
          <w:color w:val="000000"/>
          <w:sz w:val="20"/>
          <w:szCs w:val="20"/>
        </w:rPr>
        <w:t xml:space="preserve">Zákazník </w:t>
      </w:r>
      <w:r>
        <w:rPr>
          <w:color w:val="000000"/>
          <w:sz w:val="20"/>
          <w:szCs w:val="20"/>
        </w:rPr>
        <w:t>je osoba, která objedná služby Pořadatele</w:t>
      </w:r>
      <w:r>
        <w:rPr>
          <w:color w:val="000000"/>
          <w:sz w:val="20"/>
          <w:szCs w:val="20"/>
        </w:rPr>
        <w:t xml:space="preserve"> prostřednictvím </w:t>
      </w:r>
      <w:r>
        <w:rPr>
          <w:i/>
          <w:color w:val="000000"/>
          <w:sz w:val="20"/>
          <w:szCs w:val="20"/>
        </w:rPr>
        <w:t xml:space="preserve">Prodejní sítě.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65" w:right="49" w:hanging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>
        <w:rPr>
          <w:i/>
          <w:color w:val="000000"/>
          <w:sz w:val="20"/>
          <w:szCs w:val="20"/>
        </w:rPr>
        <w:t xml:space="preserve">Pořadatel </w:t>
      </w:r>
      <w:r>
        <w:rPr>
          <w:color w:val="000000"/>
          <w:sz w:val="20"/>
          <w:szCs w:val="20"/>
        </w:rPr>
        <w:t xml:space="preserve">je ve vztahu k Zákazníkovi prodávajícím, Zákazník je ve vztahu k </w:t>
      </w:r>
      <w:r>
        <w:rPr>
          <w:i/>
          <w:color w:val="000000"/>
          <w:sz w:val="20"/>
          <w:szCs w:val="20"/>
        </w:rPr>
        <w:t xml:space="preserve">Pořadateli </w:t>
      </w:r>
      <w:r>
        <w:rPr>
          <w:color w:val="000000"/>
          <w:sz w:val="20"/>
          <w:szCs w:val="20"/>
        </w:rPr>
        <w:t xml:space="preserve">kupujícím. </w:t>
      </w:r>
      <w:r>
        <w:rPr>
          <w:i/>
          <w:color w:val="000000"/>
          <w:sz w:val="20"/>
          <w:szCs w:val="20"/>
        </w:rPr>
        <w:t xml:space="preserve">Prodejní síť </w:t>
      </w:r>
      <w:r>
        <w:rPr>
          <w:color w:val="000000"/>
          <w:sz w:val="20"/>
          <w:szCs w:val="20"/>
        </w:rPr>
        <w:t xml:space="preserve">je smluvním partnerem pouze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>
        <w:rPr>
          <w:i/>
          <w:color w:val="000000"/>
          <w:sz w:val="20"/>
          <w:szCs w:val="20"/>
        </w:rPr>
        <w:t xml:space="preserve">Obchodní podmínky </w:t>
      </w:r>
      <w:r>
        <w:rPr>
          <w:color w:val="000000"/>
          <w:sz w:val="20"/>
          <w:szCs w:val="20"/>
        </w:rPr>
        <w:t xml:space="preserve">jsou tyto Obchodní podmínky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48" w:right="38" w:hanging="3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</w:t>
      </w:r>
      <w:r>
        <w:rPr>
          <w:i/>
          <w:color w:val="000000"/>
          <w:sz w:val="20"/>
          <w:szCs w:val="20"/>
        </w:rPr>
        <w:t xml:space="preserve">Rámcová smlouva </w:t>
      </w:r>
      <w:r>
        <w:rPr>
          <w:color w:val="000000"/>
          <w:sz w:val="20"/>
          <w:szCs w:val="20"/>
        </w:rPr>
        <w:t xml:space="preserve">je smlouva o spolupráci uzavřená mezi Prodejní sítí a Pořadatelem, jejíž součástí jsou i Obchodní podmínky.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II. Práva a povinnosti Prodejní sítě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61" w:right="4" w:hanging="3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Prodejní síť se na základě objednávek Pořadatele („</w:t>
      </w:r>
      <w:r>
        <w:rPr>
          <w:b/>
          <w:color w:val="000000"/>
          <w:sz w:val="20"/>
          <w:szCs w:val="20"/>
        </w:rPr>
        <w:t>Objednávka</w:t>
      </w:r>
      <w:r>
        <w:rPr>
          <w:color w:val="000000"/>
          <w:sz w:val="20"/>
          <w:szCs w:val="20"/>
        </w:rPr>
        <w:t xml:space="preserve">“) potvrzených Prodejní sítí </w:t>
      </w:r>
      <w:r>
        <w:rPr>
          <w:color w:val="000000"/>
          <w:sz w:val="20"/>
          <w:szCs w:val="20"/>
        </w:rPr>
        <w:t xml:space="preserve">zavazuje, že bude vyvíjet činnost spojenou s rezervací a prodejem vstupenek Zákazníkům a to prostřednictvím svých internetových stránek a sítí smluvních partnerů, případně že poskytne další v Objednávce dohodnuté služby.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18" w:hanging="3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Má se za to, že každá objednávka Pořadatele je Objednávkou dle Rámcové smlouvy. Objednávka je pro Prodejní síť závazná až po jejím potvrzení Prodejní sítí.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7" w:right="23" w:hanging="36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Prodejní síť je dle vlastního uvážení oprávněna odmítnout Objednávku a nebo zrušit potvrzenou</w:t>
      </w:r>
      <w:r>
        <w:rPr>
          <w:color w:val="000000"/>
          <w:sz w:val="20"/>
          <w:szCs w:val="20"/>
        </w:rPr>
        <w:t xml:space="preserve"> Objednávku, pokud Prodejní síť nesouhlasí s obsahem, není v souladu s dobrými </w:t>
      </w:r>
      <w:proofErr w:type="gramStart"/>
      <w:r>
        <w:rPr>
          <w:color w:val="000000"/>
          <w:sz w:val="20"/>
          <w:szCs w:val="20"/>
        </w:rPr>
        <w:t>mravy a nebo porušují</w:t>
      </w:r>
      <w:proofErr w:type="gramEnd"/>
      <w:r>
        <w:rPr>
          <w:color w:val="000000"/>
          <w:sz w:val="20"/>
          <w:szCs w:val="20"/>
        </w:rPr>
        <w:t xml:space="preserve"> obecně závazné předpisy. Pokud Prodejní síť využije tohoto práva, ukončí předprodej akce a Pořadatel nemá nárok na jakékoli odškodnění, náhradu újmy či jak</w:t>
      </w:r>
      <w:r>
        <w:rPr>
          <w:color w:val="000000"/>
          <w:sz w:val="20"/>
          <w:szCs w:val="20"/>
        </w:rPr>
        <w:t xml:space="preserve">ékoliv jiné plnění.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1" w:right="18" w:hanging="36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Rezervační systém Prodejní sítě bude k dispozici Pořadateli s roční dosažitelností 99 %, s výjimkou instalačních a udržovacích prací. Prodejní síť' neodpovídá za nefunkčnost systému z důvodů zaviněných třetími stranami.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48" w:right="18" w:hanging="3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Prodejní síť neodpovídá vůči Zákazníkovi za konání, přesun či nekonání akcí, jakožto i za jakoukoliv změnu těchto akcí, průběh konání akce nebo za jakékoliv události, k nimž by na těchto akcích došlo, za což v nejvyšší možné míře odpovídá Pořadatel. Pro</w:t>
      </w:r>
      <w:r>
        <w:rPr>
          <w:color w:val="000000"/>
          <w:sz w:val="20"/>
          <w:szCs w:val="20"/>
        </w:rPr>
        <w:t xml:space="preserve">dejní </w:t>
      </w:r>
      <w:proofErr w:type="gramStart"/>
      <w:r>
        <w:rPr>
          <w:color w:val="000000"/>
          <w:sz w:val="20"/>
          <w:szCs w:val="20"/>
        </w:rPr>
        <w:t>síť nijak</w:t>
      </w:r>
      <w:proofErr w:type="gramEnd"/>
      <w:r>
        <w:rPr>
          <w:color w:val="000000"/>
          <w:sz w:val="20"/>
          <w:szCs w:val="20"/>
        </w:rPr>
        <w:t xml:space="preserve"> nevypořádává nároky Zákazníků vůči Pořadateli, ledaže se na tom Prodejní síť s Pořadatelem výslovně dohodnou, a v takovém případě jedná Prodejní síť jménem a na účet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right="21" w:hanging="3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V případě zrušení akce, změny termínu nebo místa konání, p</w:t>
      </w:r>
      <w:r>
        <w:rPr>
          <w:color w:val="000000"/>
          <w:sz w:val="20"/>
          <w:szCs w:val="20"/>
        </w:rPr>
        <w:t>opř. jakékoliv jiné změny spočívající v neposkytnutí služeb Zákazníkovi ze strany Pořadatele, mající za následek nárok Zákazníka na vrácení vstupného, je Prodejní síť oprávněna provést vrácení vstupného z prostředků Pořadatele, které má Prodejní síť k disp</w:t>
      </w:r>
      <w:r>
        <w:rPr>
          <w:color w:val="000000"/>
          <w:sz w:val="20"/>
          <w:szCs w:val="20"/>
        </w:rPr>
        <w:t>ozici na základě Rámcové smlouvy či jakýchkoliv Objednávek. Za vracení vstupného bude Prodejní síť účtovat poplatek za refundaci každé vstupenky ve výši původně dohodnuté provize, popř. servisního poplatku, minimálně 30,- Kč za ks pokud v objednávce zadání</w:t>
      </w:r>
      <w:r>
        <w:rPr>
          <w:color w:val="000000"/>
          <w:sz w:val="20"/>
          <w:szCs w:val="20"/>
        </w:rPr>
        <w:t xml:space="preserve"> nebude sjednáno jinak.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2" w:right="26" w:hanging="3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Prodejní síť je oprávněna měnit rozsah své obchodní sítě, smluvních partnerů a prodejních kanálů. Tato skutečnost nemá dopad na platnost a účinnost Rámcové smlouvy ani na vymezení vzájemných práv a povinností Pořadatele a Prodej</w:t>
      </w:r>
      <w:r>
        <w:rPr>
          <w:color w:val="000000"/>
          <w:sz w:val="20"/>
          <w:szCs w:val="20"/>
        </w:rPr>
        <w:t xml:space="preserve">ní sítě.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left="524" w:right="7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_____________________________________ </w:t>
      </w:r>
      <w:r>
        <w:rPr>
          <w:color w:val="000000"/>
          <w:sz w:val="20"/>
          <w:szCs w:val="20"/>
        </w:rPr>
        <w:t xml:space="preserve">TICKETSTREAM s.r.o., Vladimírova 567/11, 140 00, Praha 4 – Nusle </w:t>
      </w:r>
    </w:p>
    <w:p w:rsidR="006773C9" w:rsidRDefault="005C257E" w:rsidP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IČ: 26695944, xxx</w:t>
      </w:r>
      <w:bookmarkStart w:id="0" w:name="_GoBack"/>
      <w:bookmarkEnd w:id="0"/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/ 5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19050" distB="19050" distL="19050" distR="19050">
            <wp:extent cx="1790700" cy="65722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29" w:lineRule="auto"/>
        <w:ind w:left="363" w:right="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Prodejní síť poskytne údaje o prodejích vstupenek na akce Pořadatele třetím stranám (např. orgánům státní správy) pouze na vyžádání, a to v rozsahu a za podmínek stanovených platnými právními předpisy.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4" w:hanging="3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Prodejní síť si vyhrazuje právo umístit na vstu</w:t>
      </w:r>
      <w:r>
        <w:rPr>
          <w:color w:val="000000"/>
          <w:sz w:val="20"/>
          <w:szCs w:val="20"/>
        </w:rPr>
        <w:t xml:space="preserve">penku, voucher, poukázku nebo jinou náhradu vstupenek propagační sdělení a reklamu, a to jak Prodejní sítě, tak smluvních partnerů Prodejní sítě.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III. Práva a povinnosti Pořadatele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60" w:right="21" w:hanging="34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Pořadatel odpovídá vůči Zákazníkovi za konání, přesun či nekonání akcí, jakožto i za jakoukoliv změnu těchto akcí.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1" w:right="22" w:hanging="35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Pořadatel se zavazuje, že na svých webových stránkách nebo na jiném přístupném místě pro zákazníky zveřejní obchodní podmínky k pořáda</w:t>
      </w:r>
      <w:r>
        <w:rPr>
          <w:color w:val="000000"/>
          <w:sz w:val="20"/>
          <w:szCs w:val="20"/>
        </w:rPr>
        <w:t xml:space="preserve">ným akcím a splní všechny zákonné povinnosti spojené s pořádáním akcí.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1" w:right="41" w:hanging="3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Pořadatel se zavazuje poskytovat Prodejní síti potřebnou součinnost, zejména aktualizovat kontaktní údaje a řádně a včasně poskytovat kompletní data o dané akci, její případné změny, přesunutí či zrušení.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50" w:hanging="3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Pořadatel se zavazuje informovat Prodejní sí</w:t>
      </w:r>
      <w:r>
        <w:rPr>
          <w:color w:val="000000"/>
          <w:sz w:val="20"/>
          <w:szCs w:val="20"/>
        </w:rPr>
        <w:t xml:space="preserve">ť o všech změnách, které jsou nezbytné pro plnění povinností dle Rámcové smlouvy a těchto Obchodních podmínek.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5" w:right="10" w:hanging="3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V případě nevýhradní spolupráce se Pořadatel zavazuje zadat Prodejní síti do prodeje minimálně 40 % míst z celkového počtu vstupenek na každo</w:t>
      </w:r>
      <w:r>
        <w:rPr>
          <w:color w:val="000000"/>
          <w:sz w:val="20"/>
          <w:szCs w:val="20"/>
        </w:rPr>
        <w:t xml:space="preserve">u akci, tj. vždy 40 % vstupenek z každého sektoru a každé cenové kategorie, pokud v Objednávce zadání nebude sjednáno jinak.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Pořadatel se zavazuje zajistit: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50" w:right="31" w:hanging="3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že jeho webové stránky, účty sociálních sítí nebo jiné internetové stránky budou obsahovat logo Prodejní sítě a odkaz na portál www.ticketstream.cz s následným odkazem (</w:t>
      </w:r>
      <w:proofErr w:type="spellStart"/>
      <w:r>
        <w:rPr>
          <w:color w:val="000000"/>
          <w:sz w:val="20"/>
          <w:szCs w:val="20"/>
        </w:rPr>
        <w:t>proklikem</w:t>
      </w:r>
      <w:proofErr w:type="spellEnd"/>
      <w:r>
        <w:rPr>
          <w:color w:val="000000"/>
          <w:sz w:val="20"/>
          <w:szCs w:val="20"/>
        </w:rPr>
        <w:t>), který umožní zákazníkům Pořadatele nákup vstupenek u Prodejní sítě, nebo</w:t>
      </w:r>
      <w:r>
        <w:rPr>
          <w:color w:val="000000"/>
          <w:sz w:val="20"/>
          <w:szCs w:val="20"/>
        </w:rPr>
        <w:t xml:space="preserve"> v rámci </w:t>
      </w:r>
      <w:proofErr w:type="spellStart"/>
      <w:r>
        <w:rPr>
          <w:color w:val="000000"/>
          <w:sz w:val="20"/>
          <w:szCs w:val="20"/>
        </w:rPr>
        <w:t>iframe</w:t>
      </w:r>
      <w:proofErr w:type="spellEnd"/>
      <w:r>
        <w:rPr>
          <w:color w:val="000000"/>
          <w:sz w:val="20"/>
          <w:szCs w:val="20"/>
        </w:rPr>
        <w:t xml:space="preserve"> Prodejní sítě umístěného na webových stránkách pořadatele;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41" w:right="18" w:hanging="3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v případě, že Pořadatel využívá jiné technické řešení nebo konkurenční předprodejní síť na nákup vstupenek, zabezpečí uvedení Prodejní sítě na internetových stránkách Pořadatele</w:t>
      </w:r>
      <w:r>
        <w:rPr>
          <w:color w:val="000000"/>
          <w:sz w:val="20"/>
          <w:szCs w:val="20"/>
        </w:rPr>
        <w:t xml:space="preserve"> na zvýhodněném umístění ve srovnání s ostatními prodejci vstupenek;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50" w:right="26" w:hanging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c. že na propagačních materiálech, jako jsou letáky, plakáty apod., uvede logo Prodejní sítě a informaci o možnosti zakoupení vstupenek jejím prostřednictvím.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hanging="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Pořadatel se zavazuje zajistit, aby personál akcí, včetně kontrolorů a administrátorů akceptoval veškeré typy vstupenek Prodejní sítě. V případě, že Zákazníkovi nebude z výše uvedeného důvodu umožněn vstup, se Pořadatel zavazuje zaplatit Prodejní síti n</w:t>
      </w:r>
      <w:r>
        <w:rPr>
          <w:color w:val="000000"/>
          <w:sz w:val="20"/>
          <w:szCs w:val="20"/>
        </w:rPr>
        <w:t xml:space="preserve">áklady Prodejní sítě spojené s řešením záležitosti, náhradu majetkové nebo nemajetkové újmy Zákazníka, jakožto případné právní výlohy, budou-li uplatněny.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4" w:right="21" w:hanging="3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Pořadatel je povinen vystavit Zákazníkovi daňový, popř. účetní doklad, případně opravný daňový do</w:t>
      </w:r>
      <w:r>
        <w:rPr>
          <w:color w:val="000000"/>
          <w:sz w:val="20"/>
          <w:szCs w:val="20"/>
        </w:rPr>
        <w:t xml:space="preserve">klad, pokud o to Zákazník prostřednictvím Prodejní sítě požádá.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48" w:right="27" w:hanging="3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Pořadatel se zavazuje, že veškeré podklady poskytnuté ke zveřejnění v Prodejní síti budou prosty jakýchkoliv právních vad a že budou zajištěny souhlasy všech dotčených subjektů. V případě porušení této povinnosti Pořadatel odpovídá Prodejní síti za vešk</w:t>
      </w:r>
      <w:r>
        <w:rPr>
          <w:color w:val="000000"/>
          <w:sz w:val="20"/>
          <w:szCs w:val="20"/>
        </w:rPr>
        <w:t xml:space="preserve">eré nároky dotčených subjektů vůči Prodejní síti a je povinen Prodejní síti nahradit veškerou případnou újmu, včetně zásahu do dobré pověsti.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right="27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 V případě nevýhradní spolupráce se Pořadatel zavazuje, že nedojde k znevýhodnění Zákazníků Prodejní sítě opro</w:t>
      </w:r>
      <w:r>
        <w:rPr>
          <w:color w:val="000000"/>
          <w:sz w:val="20"/>
          <w:szCs w:val="20"/>
        </w:rPr>
        <w:t xml:space="preserve">ti těm, kteří si vstupenku nakoupí přímo přes jiné technické řešení nebo u konkurenční předprodejní sítě. Znevýhodněním se považuje především nižší cenová nabídka za vstupenku, popř. vyloučení z nabídky určitých typů vstupenek.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7" w:line="237" w:lineRule="auto"/>
        <w:ind w:left="524" w:right="7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___________________________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__________ </w:t>
      </w:r>
      <w:r>
        <w:rPr>
          <w:color w:val="000000"/>
          <w:sz w:val="20"/>
          <w:szCs w:val="20"/>
        </w:rPr>
        <w:t xml:space="preserve">TICKETSTREAM s.r.o., Vladimírova 567/11, 140 00, Praha 4 – Nusle </w:t>
      </w:r>
    </w:p>
    <w:p w:rsidR="006773C9" w:rsidRDefault="005C257E" w:rsidP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IČ: 26695944, </w:t>
      </w:r>
      <w:proofErr w:type="spellStart"/>
      <w:r>
        <w:rPr>
          <w:color w:val="000000"/>
          <w:sz w:val="20"/>
          <w:szCs w:val="20"/>
        </w:rPr>
        <w:t>xxx</w:t>
      </w:r>
      <w:proofErr w:type="spellEnd"/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/ 5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19050" distB="19050" distL="19050" distR="19050">
            <wp:extent cx="1790700" cy="6572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29" w:lineRule="auto"/>
        <w:ind w:left="359" w:right="19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 Pokud je Pořadatelem akce daňový nerezident, zavazuje se podat přihlášku k registraci k dani z příjmů v ČR dle platných daňových předpisů. Tuto skutečnost je povinen doložit nejpozději do data uskutečnění akce.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7" w:hanging="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Pokud je Rámcová smlouva uzavřená s </w:t>
      </w:r>
      <w:r>
        <w:rPr>
          <w:color w:val="000000"/>
          <w:sz w:val="20"/>
          <w:szCs w:val="20"/>
        </w:rPr>
        <w:t xml:space="preserve">podnikatelem, fyzickou osobou, je povinen pro potřeby kontrolního hlášení k DPH do Rámcové smlouvy uvést své přidělené DIČ.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4" w:right="20" w:hanging="3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Pořadatel je povinen evidovat vyúčtování od Prodejní sítě průběžně za dané období ve své účetní a daňové evidenci.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IV. Platební podmínky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70" w:right="20" w:hanging="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Pořadatel opravňuje Prodejní síť inkasovat od Zákazníků cenu vstupenky, voucheru, poukázky a jiných náhrad vstupenek včetně všech servisních a manipulačních poplatků a pojištění.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1" w:right="13" w:hanging="35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Prodejní síti vzniká nárok na odměnu (a veškeré platby za činnosti dle Rámcové smlouvy) okamžikem přijetí platby od Zákazníka (jde-li o odměnu spojenou s prodejem vstupenky) anebo potvrzením Objednávky ze strany Prodejní sítě. Odměna Prodejní sítě je st</w:t>
      </w:r>
      <w:r>
        <w:rPr>
          <w:color w:val="000000"/>
          <w:sz w:val="20"/>
          <w:szCs w:val="20"/>
        </w:rPr>
        <w:t>anovena v prvotní objednávce zadání nebo ve zvláštní specifikaci spolupráce. Pokud není odměna prodejní sítě stanovena v objednávce zadání nebo specifikaci spolupráce, pak odměna činí 10 % z konečné ceny vstupenky pro Zákazníka. Odměna Prodejní sítě z každ</w:t>
      </w:r>
      <w:r>
        <w:rPr>
          <w:color w:val="000000"/>
          <w:sz w:val="20"/>
          <w:szCs w:val="20"/>
        </w:rPr>
        <w:t xml:space="preserve">é jednotlivé Objednávky bude vždy minimálně ve výši minimálního poplatku za zadání akce, který činí 3.000,- Kč, pokud v objednávce zadání nebude sjednáno jinak.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5" w:right="2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Prodejní síť vyhotoví Pořadateli vyúčtování, a to nejpozději k poslednímu dni kalendářního měsíce za veškeré služby poskytnuté v daném měsíci Pořadateli. Vyúčtování je zároveň daňovým dokladem.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4" w:right="24" w:hanging="3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Pořadatel je povinen uhradit odměnu Prodejní sítě na úč</w:t>
      </w:r>
      <w:r>
        <w:rPr>
          <w:color w:val="000000"/>
          <w:sz w:val="20"/>
          <w:szCs w:val="20"/>
        </w:rPr>
        <w:t xml:space="preserve">et Prodejní sítě do 5 pracovních dnů od obdržení vyúčtování, pokud nedojde k uhrazení odměny Prodejní sítě započtením.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5" w:hanging="3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Prodejní síť je oprávněna jednostranně započíst jakékoliv své splatné i nesplatné pohledávky (včetně pohledávek promlčených) za Pořad</w:t>
      </w:r>
      <w:r>
        <w:rPr>
          <w:color w:val="000000"/>
          <w:sz w:val="20"/>
          <w:szCs w:val="20"/>
        </w:rPr>
        <w:t xml:space="preserve">atelem vůči pohledávkám Pořadatele za Prodejní sítí.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1" w:right="30" w:hanging="3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Prodejní síť je oprávněna zadržet finanční prostředky Pořadateli v případě, že Prodejní síti hrozí vznik nákladů na vyřízení nároků Zákazníka či jiné třetí strany v důsledku nekonání akce, přesunu akce či z důvodu, že akce neproběhla řádně.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" w:hanging="3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Pořadate</w:t>
      </w:r>
      <w:r>
        <w:rPr>
          <w:color w:val="000000"/>
          <w:sz w:val="20"/>
          <w:szCs w:val="20"/>
        </w:rPr>
        <w:t>li vzniká nárok na výplatu tržby inkasované Prodejní sítí od Zákazníků vždy až po řádném proběhnutí akce a po započtení odměny Prodejní sítě, případně jiných poskytnutých služeb a poplatků. Prodejní síť provede výplatu na účet Pořadatele, a to do 5 pracovn</w:t>
      </w:r>
      <w:r>
        <w:rPr>
          <w:color w:val="000000"/>
          <w:sz w:val="20"/>
          <w:szCs w:val="20"/>
        </w:rPr>
        <w:t xml:space="preserve">ích dnů od vystavení vyúčtování po uskutečnění akce.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2" w:right="28" w:hanging="3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Prodejní síť se zavazuje provádět platby pouze převodem na zveřejněné účty Pořadatele (platí u plátců DPH) a pouze na účty, jejichž je Pořadatel majitelem.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3" w:right="22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Prodejní síť může podle svého uvážení vyplatit tržby Pořadateli, na základě písemné žádosti i před tím, než akce řádně proběhne. Pořadatel je povinen použít tyto prostředky pouze na úhradu přímých nákladů spojených s danou akcí. Podmínkou vyplacení plat</w:t>
      </w:r>
      <w:r>
        <w:rPr>
          <w:color w:val="000000"/>
          <w:sz w:val="20"/>
          <w:szCs w:val="20"/>
        </w:rPr>
        <w:t>eb je poskytnutí ručitelského závazku solventní osobou za veškeré možné závazky Pořadatele vůči Prodejní síti v souvislosti s akcí a minimální výše vybraných tržeb po odpočtu odměny Prodejní sítě za všechny poskytnuté služby alespoň 100.000 Kč, max. však 7</w:t>
      </w:r>
      <w:r>
        <w:rPr>
          <w:color w:val="000000"/>
          <w:sz w:val="20"/>
          <w:szCs w:val="20"/>
        </w:rPr>
        <w:t xml:space="preserve">0% z celkových tržeb.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37" w:hanging="3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Prodejní síť si vyhrazuje právo nevyplatit tržbu Pořadateli před termínem konání akce z důvodu vyšší moci nebo jakéhokoliv omezení způsobeného vyšší mocí (např. přírodní katastrofy, epidemie, rozhodnutí orgánu veřejné moci).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right="39" w:hanging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 xml:space="preserve"> Prodejní síť si dále vyhrazuje právo nevyplatit požadovanou tržbu u akcí, které byly přesunuty a nemají veřejně stanovené nové datum konání.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5" w:hanging="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V případě, že Prodejní síť </w:t>
      </w:r>
      <w:proofErr w:type="gramStart"/>
      <w:r>
        <w:rPr>
          <w:color w:val="000000"/>
          <w:sz w:val="20"/>
          <w:szCs w:val="20"/>
        </w:rPr>
        <w:t>schválí</w:t>
      </w:r>
      <w:proofErr w:type="gramEnd"/>
      <w:r>
        <w:rPr>
          <w:color w:val="000000"/>
          <w:sz w:val="20"/>
          <w:szCs w:val="20"/>
        </w:rPr>
        <w:t xml:space="preserve"> požadavek ohledně převodu akce v průběhu předprodeje z jednoho pořadatele na druhého </w:t>
      </w:r>
      <w:proofErr w:type="gramStart"/>
      <w:r>
        <w:rPr>
          <w:color w:val="000000"/>
          <w:sz w:val="20"/>
          <w:szCs w:val="20"/>
        </w:rPr>
        <w:t>jsou</w:t>
      </w:r>
      <w:proofErr w:type="gramEnd"/>
      <w:r>
        <w:rPr>
          <w:color w:val="000000"/>
          <w:sz w:val="20"/>
          <w:szCs w:val="20"/>
        </w:rPr>
        <w:t xml:space="preserve"> tito pořadatelé povinni uzavřít písemnou dohodu o převodu práv a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left="524" w:right="7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_____________________________________ </w:t>
      </w:r>
      <w:r>
        <w:rPr>
          <w:color w:val="000000"/>
          <w:sz w:val="20"/>
          <w:szCs w:val="20"/>
        </w:rPr>
        <w:t>TICKETSTREAM s.r.o., Vl</w:t>
      </w:r>
      <w:r>
        <w:rPr>
          <w:color w:val="000000"/>
          <w:sz w:val="20"/>
          <w:szCs w:val="20"/>
        </w:rPr>
        <w:t xml:space="preserve">adimírova 567/11, 140 00, Praha 4 – Nusle </w:t>
      </w:r>
    </w:p>
    <w:p w:rsidR="006773C9" w:rsidRDefault="005C257E" w:rsidP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IČ: 26695944, </w:t>
      </w:r>
      <w:proofErr w:type="spellStart"/>
      <w:r>
        <w:rPr>
          <w:color w:val="000000"/>
          <w:sz w:val="20"/>
          <w:szCs w:val="20"/>
        </w:rPr>
        <w:t>xxx</w:t>
      </w:r>
      <w:proofErr w:type="spellEnd"/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/ 5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19050" distB="19050" distL="19050" distR="19050">
            <wp:extent cx="1790700" cy="657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29" w:lineRule="auto"/>
        <w:ind w:left="359" w:right="20" w:firstLine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povinností s úředně ověřenými podpisy obou stran. Prodejní síť po doložení této dohody převede v systému veškeré předprodeje od počátku na nového pořadatele a po uskutečnění akce ji novému pořadateli zaplatí. V takovém případě je povinností pořadatelů si v</w:t>
      </w:r>
      <w:r>
        <w:rPr>
          <w:color w:val="000000"/>
          <w:sz w:val="20"/>
          <w:szCs w:val="20"/>
        </w:rPr>
        <w:t xml:space="preserve">yrovnat veškeré účetní a daňové záležitosti mezi sebou. Prodejní síť není oprávněna provádět opravy původně vystavených vyúčtování. Prodejní síť má právo převod odmítnout. Za převod každé jednotlivé akce bude účtován poplatek ve výši 5.000,- Kč.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4" w:right="20" w:hanging="34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Pokud je Pořadatel daňový nerezident, je Prodejní síť oprávněna srazit nebo zajistit veškeré daně a poplatky dle platných právních předpisů, pokud Pořadatel nedoloží splnění svých daňových povinností od správce daně v ČR.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28" w:hanging="3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 V případě plateb Pořadate</w:t>
      </w:r>
      <w:r>
        <w:rPr>
          <w:color w:val="000000"/>
          <w:sz w:val="20"/>
          <w:szCs w:val="20"/>
        </w:rPr>
        <w:t xml:space="preserve">li v rámci EU, které budou spojeny s bankovními poplatky, budou tyto poplatky účtovány k tíži Pořadatele. V případě plateb Pořadateli mimo EU, bude kromě bankovních poplatků vyúčtován manipulační poplatek ve výši 1.000,- Kč za každou takovou platbu.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2" w:right="23" w:hanging="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 P</w:t>
      </w:r>
      <w:r>
        <w:rPr>
          <w:color w:val="000000"/>
          <w:sz w:val="20"/>
          <w:szCs w:val="20"/>
        </w:rPr>
        <w:t xml:space="preserve">okud Pořadatel nesouhlasí s poplatky hrazenými Zákazníkem, budou tyto poplatky přeneseny na Pořadatele (např. distribuční poplatek, poplatky platebních bran, servisní poplatek).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V. Podmínky přesunutí nebo rušení akcí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359" w:right="27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V případě zrušení akce, změny termínu či významné změny programu, u kterého vzniká nárok na vracení vstupného ze strany Zákazníka, je Pořadatel povinen uhradit Prodejní síti veškeré poskytnuté služby z aktuálních předprodejů.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right="17" w:hanging="3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V případě, že Pořadatel</w:t>
      </w:r>
      <w:r>
        <w:rPr>
          <w:color w:val="000000"/>
          <w:sz w:val="20"/>
          <w:szCs w:val="20"/>
        </w:rPr>
        <w:t xml:space="preserve"> bude mít zájem pověřit Prodejní síť vracením vstupného Zákazníkům, je povinen vrátit Prodejní síti veškerou již vyplacenou tržbu a zároveň uhradit poplatek za refundaci ve výši původně dohodnuté provize, popř. servisního poplatku, minimálně 30,- Kč za ks,</w:t>
      </w:r>
      <w:r>
        <w:rPr>
          <w:color w:val="000000"/>
          <w:sz w:val="20"/>
          <w:szCs w:val="20"/>
        </w:rPr>
        <w:t xml:space="preserve"> pokud v objednávce zadání nebude sjednáno jinak. Prodejní síť si vyhrazuje právo odmítnout poskytnutí služby ve formě vracení vstupného pro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46" w:hanging="3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Po obdržení oznámení Pořadatele o zrušení akce Prodejní síť zastaví prodeje vstupenek a zveřejní podmínky případného vrácení vstupného Zákazníkům.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70" w:right="31" w:hanging="3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V případě, že je s Pořadatelem dohodnutá odměna ve formě servisního poplatku, bude u refundovaných vst</w:t>
      </w:r>
      <w:r>
        <w:rPr>
          <w:color w:val="000000"/>
          <w:sz w:val="20"/>
          <w:szCs w:val="20"/>
        </w:rPr>
        <w:t xml:space="preserve">upenek výše servisního poplatku přenesena na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59" w:right="11" w:hanging="3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Pořadatel je v plném rozsahu odpovědný za řádné proběhnutí akce. Pořadatel je povinen odškodnit Prodejní síť v plném rozsahu v případě, pokud Prodejní síti vzniknou jakékoliv náklady v souvislost</w:t>
      </w:r>
      <w:r>
        <w:rPr>
          <w:color w:val="000000"/>
          <w:sz w:val="20"/>
          <w:szCs w:val="20"/>
        </w:rPr>
        <w:t>i s přesunutím nebo zrušením akce, anebo s tím, že akce neproběhne řádně, včetně nákladů vyžadovaných poskytovateli platebních služeb. Pořadatel je povinen uhradit veškeré náklady a výdaje, které vzniknou Prodejní síti v důsledku jakýchkoliv nároků Zákazní</w:t>
      </w:r>
      <w:r>
        <w:rPr>
          <w:color w:val="000000"/>
          <w:sz w:val="20"/>
          <w:szCs w:val="20"/>
        </w:rPr>
        <w:t xml:space="preserve">ků vůči Pořadateli či poskytovatelům platebních služeb (včetně veškerých nákladů Prodejní sítě s provedením tzv. </w:t>
      </w:r>
      <w:proofErr w:type="spellStart"/>
      <w:r>
        <w:rPr>
          <w:color w:val="000000"/>
          <w:sz w:val="20"/>
          <w:szCs w:val="20"/>
        </w:rPr>
        <w:t>chargeback</w:t>
      </w:r>
      <w:proofErr w:type="spellEnd"/>
      <w:r>
        <w:rPr>
          <w:color w:val="000000"/>
          <w:sz w:val="20"/>
          <w:szCs w:val="20"/>
        </w:rPr>
        <w:t xml:space="preserve"> poskytovatelem platebních služeb nebo bankou).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5" w:righ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V případě, že Pořadatel neprojeví zájem o vrácení vstupenek přes Prodejní síť dle bodu V. odst. 2, přebírá veškerou odpovědnost za agendu spojenou s vyřízením požadavků dotčených zákazníků.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3" w:right="10" w:hanging="3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V případě, že Pořadatel neposkytne Prodejní síti dostatečno</w:t>
      </w:r>
      <w:r>
        <w:rPr>
          <w:color w:val="000000"/>
          <w:sz w:val="20"/>
          <w:szCs w:val="20"/>
        </w:rPr>
        <w:t xml:space="preserve">u součinnost v souvislosti s přesunutím nebo zrušením akce (např. při vracení vstupného Zákazníkům) do 7 dnů od obdržení výzvy od Prodejní sítě, tato je oprávněna tuto informaci zveřejnit a uvést kontaktní údaje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4" w:right="19" w:hanging="3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Pokud je Prodejní síť výslov</w:t>
      </w:r>
      <w:r>
        <w:rPr>
          <w:color w:val="000000"/>
          <w:sz w:val="20"/>
          <w:szCs w:val="20"/>
        </w:rPr>
        <w:t>ně požádána o součinnost v souvislosti s přesunutím nebo zrušením akce (např. při vracení vstupného Zákazníkům jménem a na účet Pořadatele), je Pořadatel povinen poskytnout Prodejní síti veškeré finanční nebo technické prostředky k zajištění přesunutí či z</w:t>
      </w:r>
      <w:r>
        <w:rPr>
          <w:color w:val="000000"/>
          <w:sz w:val="20"/>
          <w:szCs w:val="20"/>
        </w:rPr>
        <w:t xml:space="preserve">rušení akce a k vrácení vstupného.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VI. Doba trvání a odstoupení od Rámcové smlouvy, sankce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447" w:right="47" w:hanging="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Od Rámcové smlouvy lze odstoupit v případě jejího podstatného porušení druhou smluvní stranou. Podstatným porušením Rámcové smlouvy se rozumí zejména: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left="524" w:right="7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_____________________________________ </w:t>
      </w:r>
      <w:r>
        <w:rPr>
          <w:color w:val="000000"/>
          <w:sz w:val="20"/>
          <w:szCs w:val="20"/>
        </w:rPr>
        <w:t xml:space="preserve">TICKETSTREAM s.r.o., Vladimírova 567/11, 140 00, Praha 4 – Nusle </w:t>
      </w:r>
    </w:p>
    <w:p w:rsidR="006773C9" w:rsidRDefault="005C257E" w:rsidP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IČ: 26695944, </w:t>
      </w:r>
      <w:proofErr w:type="spellStart"/>
      <w:r>
        <w:rPr>
          <w:color w:val="000000"/>
          <w:sz w:val="20"/>
          <w:szCs w:val="20"/>
        </w:rPr>
        <w:t>xxx</w:t>
      </w:r>
      <w:proofErr w:type="spellEnd"/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/ 5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19050" distB="19050" distL="19050" distR="19050">
            <wp:extent cx="1790700" cy="65722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9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 porušení obchodního tajemství;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0" w:right="25" w:hanging="3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 </w:t>
      </w:r>
      <w:proofErr w:type="gramStart"/>
      <w:r>
        <w:rPr>
          <w:color w:val="000000"/>
          <w:sz w:val="20"/>
          <w:szCs w:val="20"/>
        </w:rPr>
        <w:t>prodlení</w:t>
      </w:r>
      <w:proofErr w:type="gramEnd"/>
      <w:r>
        <w:rPr>
          <w:color w:val="000000"/>
          <w:sz w:val="20"/>
          <w:szCs w:val="20"/>
        </w:rPr>
        <w:t xml:space="preserve"> s plněním jakýchkoliv finančních závazků v délce více než 30 dnů po splatnosti a uplynutí dodatečné lhůty stanovené písemnou výzvou;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9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c. nedostatečná součinnost Pořadatele s Prodejní sítí;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0" w:right="54" w:hanging="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d. nedodržení podmínek, za kterých byla akce dána do předprodeje a další případy nemožnosti plnění Rámcové smlouvy;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291" w:right="47" w:hanging="3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e. </w:t>
      </w:r>
      <w:proofErr w:type="gramStart"/>
      <w:r>
        <w:rPr>
          <w:color w:val="000000"/>
          <w:sz w:val="20"/>
          <w:szCs w:val="20"/>
        </w:rPr>
        <w:t>pokud</w:t>
      </w:r>
      <w:proofErr w:type="gramEnd"/>
      <w:r>
        <w:rPr>
          <w:color w:val="000000"/>
          <w:sz w:val="20"/>
          <w:szCs w:val="20"/>
        </w:rPr>
        <w:t xml:space="preserve"> akce řádně neproběhne, resp. pokud Pořadatel nesplní jakékoliv povinnosti vůči Zákazníkovi v souvislosti s akcí (např. nevrácení v</w:t>
      </w:r>
      <w:r>
        <w:rPr>
          <w:color w:val="000000"/>
          <w:sz w:val="20"/>
          <w:szCs w:val="20"/>
        </w:rPr>
        <w:t xml:space="preserve">stupného atp.);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9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f. </w:t>
      </w:r>
      <w:proofErr w:type="gramStart"/>
      <w:r>
        <w:rPr>
          <w:color w:val="000000"/>
          <w:sz w:val="20"/>
          <w:szCs w:val="20"/>
        </w:rPr>
        <w:t>úpadek</w:t>
      </w:r>
      <w:proofErr w:type="gramEnd"/>
      <w:r>
        <w:rPr>
          <w:color w:val="000000"/>
          <w:sz w:val="20"/>
          <w:szCs w:val="20"/>
        </w:rPr>
        <w:t xml:space="preserve">, hrozící úpadek, insolvenční řízení nebo likvidace Pořadatele.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438" w:right="28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Odstoupením se Rámcová smlouva ruší s účinky do budoucna. Strana odstupující od Rámcové smlouvy je oprávněna určit, zda se odstoupení od Rámcové smlouvy vztahuje také na potvrzené Objednávky, případně určit, na které potvrzené Objednávky se odstoupení v</w:t>
      </w:r>
      <w:r>
        <w:rPr>
          <w:color w:val="000000"/>
          <w:sz w:val="20"/>
          <w:szCs w:val="20"/>
        </w:rPr>
        <w:t xml:space="preserve">ztahuje.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Odstoupení musí být učiněno písemně a řádně doručeno druhé smluvní straně.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438" w:right="18" w:hanging="3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V případě odstoupení od Rámcové smlouvy má Prodejní síť nárok na odměnu za veškeré služby a činnosti, které musí provést dle potvrzených Objednávek, jakož i za vešk</w:t>
      </w:r>
      <w:r>
        <w:rPr>
          <w:color w:val="000000"/>
          <w:sz w:val="20"/>
          <w:szCs w:val="20"/>
        </w:rPr>
        <w:t xml:space="preserve">eré činnosti spojené s ukončením Rámcové smlouvy a potvrzených Objednávek.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39" w:right="20" w:hanging="35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Smluvní strany jsou povinny si po skončení Rámcové smlouvy vrátit věci převzaté k provádění činnosti dle Rámcové smlouvy, např. tiskárny vstupenek, čtečky čárových kódů, bianco vstupenky apod. a přestat užívat informace o druhé smluvní straně ve svých m</w:t>
      </w:r>
      <w:r>
        <w:rPr>
          <w:color w:val="000000"/>
          <w:sz w:val="20"/>
          <w:szCs w:val="20"/>
        </w:rPr>
        <w:t xml:space="preserve">ateriálech.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45" w:right="25" w:hanging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Smluvní strany sjednávají pro případy porušení povinností dle Rámcové smlouvy a dle Obchodních podmínek pro Pořadatele následující: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291" w:right="48" w:hanging="43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Porušení povinností dle odstavce III. Obchodních podmínek bodů č. 5, 6, 9 a 10, smluvní pokutu do výše O</w:t>
      </w:r>
      <w:r>
        <w:rPr>
          <w:color w:val="000000"/>
          <w:sz w:val="20"/>
          <w:szCs w:val="20"/>
        </w:rPr>
        <w:t xml:space="preserve">dměny Prodejní sítě uvedené v odstavci IV., bod 2. a to zpětně ke dni zahájení předprodeje vstupenek.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290" w:right="24" w:hanging="4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Porušení povinností dle Rámcové smlouvy smluvní pokutu ve výši Odměny Prodejní sítě uvedené v odstavci IV., bod 2. minimálně ve výši 100 tisíc Kč, a to zpětně ke dni zahájení předprodeje vstupenek. Zároveň tímto porušením přestávají platit zvýhodněné po</w:t>
      </w:r>
      <w:r>
        <w:rPr>
          <w:color w:val="000000"/>
          <w:sz w:val="20"/>
          <w:szCs w:val="20"/>
        </w:rPr>
        <w:t xml:space="preserve">dmínky uvedené v Objednávce zadání akce případně ve Specifikaci spolupráce. A pro tato plnění se použije cena služeb před poskytnutou slevou, a to zpětně ke dni zahájení předprodeje vstupenek.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35" w:right="37" w:firstLine="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Ujednáním o smluvní pokutě není dotčeno právo na náhradu újmy </w:t>
      </w:r>
      <w:r>
        <w:rPr>
          <w:color w:val="000000"/>
          <w:sz w:val="20"/>
          <w:szCs w:val="20"/>
        </w:rPr>
        <w:t xml:space="preserve">způsobené porušením povinnosti, tvrzených smluvní pokutou.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right="3316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VII. Závěrečná ustanovení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438" w:right="22" w:hanging="34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Veškerá ujednání Rámcové smlouvy nebo Objednávky zadání akce jsou považovány za důvěrné informace mající charakter obchodního tajemství. Pořadatel se zavazuje po celou dobu platnosti Rámcové smlouvy a po dobu 3 let po jejím skončení zachovávat mlčenlivo</w:t>
      </w:r>
      <w:r>
        <w:rPr>
          <w:color w:val="000000"/>
          <w:sz w:val="20"/>
          <w:szCs w:val="20"/>
        </w:rPr>
        <w:t xml:space="preserve">st o finančních ujednáních Rámcové smlouvy, Obchodních podmínek a Objednávek, zejména informaci o výši odměny Prodejní sítí.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38" w:right="29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Tyto Obchodní podmínky a Rámcová smlouva se řídí právními předpisy České republiky. V případě sporů jsou místně a věcně přísluš</w:t>
      </w:r>
      <w:r>
        <w:rPr>
          <w:color w:val="000000"/>
          <w:sz w:val="20"/>
          <w:szCs w:val="20"/>
        </w:rPr>
        <w:t xml:space="preserve">né soudy na území České republiky.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45" w:right="28" w:hanging="36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Uvedené ceny jsou bez příslušné sazby daně z přidané hodnoty, která bude připočtena dle platných právních předpisů, pokud není stanoveno jinak. Pořadatel je povinen zaplatit cenu včetně daně z přidané hodnoty.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434" w:right="25" w:hanging="3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Smluvní strany si doručují písemnosti písemně na adresy sídla anebo na e-mailové adresy uvedené v Rámcové smlouvě. Prodejní síť i Pořadatel mohou oznámit druhé straně novou e-mailovou adresu k doručování. Doručování poštou a e-mailem je rovnocenné. Každ</w:t>
      </w:r>
      <w:r>
        <w:rPr>
          <w:color w:val="000000"/>
          <w:sz w:val="20"/>
          <w:szCs w:val="20"/>
        </w:rPr>
        <w:t xml:space="preserve">á ze smluvních stran nese odpovědnost za dostupnost e-mailové adresy uvedené v Rámcové smlouvě a za její zabezpečení.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37" w:lineRule="auto"/>
        <w:ind w:left="524" w:right="7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_____________________________________ </w:t>
      </w:r>
      <w:r>
        <w:rPr>
          <w:color w:val="000000"/>
          <w:sz w:val="20"/>
          <w:szCs w:val="20"/>
        </w:rPr>
        <w:t xml:space="preserve">TICKETSTREAM s.r.o., Vladimírova 567/11, 140 00, Praha 4 – Nusle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IČ: 26695944, </w:t>
      </w:r>
      <w:proofErr w:type="spellStart"/>
      <w:r>
        <w:rPr>
          <w:color w:val="000000"/>
          <w:sz w:val="20"/>
          <w:szCs w:val="20"/>
        </w:rPr>
        <w:t>xxx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6773C9" w:rsidRDefault="005C2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/ 5</w:t>
      </w:r>
    </w:p>
    <w:sectPr w:rsidR="006773C9">
      <w:pgSz w:w="11920" w:h="16840"/>
      <w:pgMar w:top="2" w:right="1376" w:bottom="268" w:left="98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C9"/>
    <w:rsid w:val="005C257E"/>
    <w:rsid w:val="005D712D"/>
    <w:rsid w:val="006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24DE"/>
  <w15:docId w15:val="{21C261C7-795C-4E73-ACD4-9971FE7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2723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Limprechtová Lucie</dc:creator>
  <cp:lastModifiedBy>Limprechtová Lucie</cp:lastModifiedBy>
  <cp:revision>3</cp:revision>
  <dcterms:created xsi:type="dcterms:W3CDTF">2025-04-01T09:10:00Z</dcterms:created>
  <dcterms:modified xsi:type="dcterms:W3CDTF">2025-04-01T09:11:00Z</dcterms:modified>
</cp:coreProperties>
</file>