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3408" w:h="1522" w:hSpace="19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2164080" cy="96647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4998720" simplePos="0" relativeHeight="125829378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359410</wp:posOffset>
                </wp:positionV>
                <wp:extent cx="1334770" cy="34734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477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6.25pt;margin-top:28.300000000000001pt;width:105.10000000000001pt;height:27.350000000000001pt;z-index:-125829375;mso-wrap-distance-left:0;mso-wrap-distance-right:393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3202"/>
        <w:gridCol w:w="5112"/>
      </w:tblGrid>
      <w:tr>
        <w:trPr>
          <w:trHeight w:val="8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Ze dne: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20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SGGEOTECHNIKA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Geologická 988/4</w:t>
            </w:r>
          </w:p>
        </w:tc>
      </w:tr>
      <w:tr>
        <w:trPr>
          <w:trHeight w:val="103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 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20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152 00, Praha 5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podnikové ředitelství, Bezručova 4219, 430 03 Chomutov</w:t>
      </w:r>
    </w:p>
    <w:p>
      <w:pPr>
        <w:widowControl w:val="0"/>
        <w:spacing w:after="679" w:line="1" w:lineRule="exact"/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  <w:bookmarkEnd w:id="0"/>
      <w:bookmarkEnd w:id="1"/>
      <w:bookmarkEnd w:id="2"/>
    </w:p>
    <w:p>
      <w:pPr>
        <w:pStyle w:val="Style12"/>
        <w:keepNext w:val="0"/>
        <w:keepLines w:val="0"/>
        <w:widowControl w:val="0"/>
        <w:shd w:val="clear" w:color="auto" w:fill="auto"/>
        <w:tabs>
          <w:tab w:pos="35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502546/1/2025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5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akce:</w:t>
        <w:tab/>
        <w:t>502546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5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30.04.2025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5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64 700 Kč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500" w:val="left"/>
        </w:tabs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29044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Jez Kadaň, horní – rekonstrukce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projekt průzkumných prací pro řešení otázky stability svahu nad jezem Kadaň I. – k věci Jez Kadaň, horní.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Obsahem průzkumných prací bude: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Studium dostupných podkladů, úvodní projednání prací s objednatelem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Zhodnocení předpokládaných IG poměrů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průzkumných prací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Rekognoskace terénu, měřické práce, zhodnocení realizovatelnosti prací a úprava návrhu, vč. dopravy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soupis prací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Koncept projektu průzkumných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Projednání konceptu projektu s POh, vč. dopravy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420" w:line="240" w:lineRule="auto"/>
        <w:ind w:left="0" w:right="0" w:firstLine="3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čistopisu projektu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průzkumných prací: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Cílem nabízených prací je zpracování účelného a hospodárného návrhu průzkumných prací, které mají poskytnout inženýrskogeologické podklady pro hodnocení stability pravobřežního svahu Ohře v okolí jezu Kadaň I., nabídka počítá se zapracováním návrhu průzkumných prací v jedné variantě.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Průzkum předá zhotovitel objednateli nejpozději do 30.04.2025 v počtu 3x paré tištěné + elektronické.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122" w:val="left"/>
        </w:tabs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dodání:</w:t>
        <w:tab/>
        <w:t>30.04.2025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832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 pro doručení:</w:t>
        <w:tab/>
        <w:t>Povodí Ohře, státní podnik</w:t>
      </w:r>
      <w:r>
        <w:br w:type="page"/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  <w:bookmarkEnd w:id="11"/>
      <w:bookmarkEnd w:id="12"/>
      <w:bookmarkEnd w:id="1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Odbor plánování projektů a zakázek Bezručova 4219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vypracování projektu průzkumných prací pro řešení otázky stability svahu nad jezem Kadaň I. je 64 700 Kč bez DPH dle cenové nabídky z 19.03. 2025.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ceně jsou zahrnuty veškeré náklady nutně nebo účelně vynaložené při plnění závazku vyplývajícího z nabídky, a to včetně případných dalších výloh souvisejících s předmětem zakázky.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průzkumné práce bude fakturována na základě předávacího protokolu, odsouhlaseného objednatelem a potvrzené platné objednávky.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Předávací protokol a potvrzená objednávka budou přílohou vystaveného daňového dokladu.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vystavit řádný daňový doklad do 7 dnů ode dne uskutečnění zdanitelného plnění.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Zdanitelné plnění se považuje za uskutečněné dnem předání zprávy z průzkumných prací.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je 30 dní ode dne doručení objednateli.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Daňový doklad musí obsahovat všechny náležitosti dle platných zákonných předpisů.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chybějících nebo chybných údajů na daňovém dokladu vrátí objednatel zhotoviteli daňový doklad k doplnění. Lhůta pro zaplacení se pak počítá od doby vrácení doplněného daňového dokladu objednateli.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Předat fakturu lze i elektronicky na adresu: </w:t>
      </w:r>
      <w:r>
        <w:fldChar w:fldCharType="begin"/>
      </w:r>
      <w:r>
        <w:rPr/>
        <w:instrText> HYPERLINK "mailto:faktury-pr@poh.cz"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faktury-pr@poh.cz</w:t>
      </w:r>
      <w:r>
        <w:fldChar w:fldCharType="end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elektronické zaslání Vámi potvrzené platné objednávky (podpis a razítko na objednávku, nebo elektronický podpis).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pozdravem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Odboru inženýringu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</w:t>
      </w:r>
      <w:bookmarkEnd w:id="21"/>
      <w:bookmarkEnd w:id="22"/>
      <w:bookmarkEnd w:id="2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  <w:rPr>
          <w:sz w:val="22"/>
          <w:szCs w:val="22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0</wp:posOffset>
            </wp:positionV>
            <wp:extent cx="2164080" cy="96647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Cenová nabídka ze dne 19.03.2025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06" w:right="828" w:bottom="1293" w:header="249" w:footer="86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1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ind w:left="13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