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 O D A T E K č. 1 S M L O U V Y O D Í L 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0" w:line="401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 smlouvy zhotovitele: 158/2020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ZAJIŠTĚNÍ SLUŽBY SVOZU A ZNEŠKODNĚNÍ ODPADU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center"/>
        <w:tblLayout w:type="fixed"/>
      </w:tblPr>
      <w:tblGrid>
        <w:gridCol w:w="3725"/>
        <w:gridCol w:w="5400"/>
      </w:tblGrid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20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Zástupce ve věcech smluvních: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Zástupce ve věcech technických: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 70889988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generálním ředitelem ředitelem závodu Chomutov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center"/>
        <w:tblLayout w:type="fixed"/>
      </w:tblPr>
      <w:tblGrid>
        <w:gridCol w:w="2918"/>
        <w:gridCol w:w="5822"/>
      </w:tblGrid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BAGROS s.r.o.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Buchovcova 1668/4, Praha 3, 130 00</w:t>
            </w:r>
          </w:p>
        </w:tc>
      </w:tr>
      <w:tr>
        <w:trPr>
          <w:trHeight w:val="17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Provozovna: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Prunéřovská 2021, Kadaň, 432 01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26740397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CZ26740397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jednatelem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zapsána v Obchodním rejstříku vedeném Městským soudem v Praze oddíl C, vložka 90801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I. PŘEDMĚT DODATKU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480" w:line="240" w:lineRule="auto"/>
        <w:ind w:left="0" w:right="0" w:firstLine="0"/>
        <w:jc w:val="both"/>
      </w:pPr>
      <w:bookmarkStart w:id="3" w:name="bookmark3"/>
      <w:bookmarkEnd w:id="3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1 se uzavírá z důvodu změny termínu platnosti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0" w:val="left"/>
        </w:tabs>
        <w:bidi w:val="0"/>
        <w:spacing w:before="0" w:after="680" w:line="240" w:lineRule="auto"/>
        <w:ind w:left="300" w:right="0" w:hanging="300"/>
        <w:jc w:val="both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na službu je platná do 3. března 2025. Po vzájemné domluvě dochází k prodloužení platnosti za stávajících cenových podmínek na dalších 5 let, čl. III. smlouvy č. 158/2020 se tedy mění tak, že smlouva se uzavírá do 3. března 2030 včetně.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ZÁVĚREČNÁ USTANOVENÍ DODATKU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smlouvy o dílo č. 158/2020 se tímto dodatkem nemění a zůstávají v platnosti.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se s obsahem dodatku č. 1 smlouvy seznámily, s ním souhlasí, neboť tento odpovídá jejich projevené vůli a na důkaz připojují svoje podpisy.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320" w:line="288" w:lineRule="auto"/>
        <w:ind w:left="300" w:right="0" w:hanging="30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smlouvy o dílo nabývá platnosti dnem jejího podpisu poslední ze smluvních stran a účinnosti zveřejněním v Registru smluv, pokud této účinnosti dle příslušných ustanovení smlouvy nenabude později. Plnění předmětu této smlouvy před účinností tohoto dodatku se považuje za plnění podle smlouvy č. 158/2020 a práva a povinnosti z něj vzniklé se řídí uvedenou smlouvou.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nepovažují žádné ustanovení dodatku č. 1 smlouvy za obchodní tajemství.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300" w:right="0" w:hanging="30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01" w:left="1393" w:right="1391" w:bottom="2082" w:header="673" w:footer="3" w:gutter="0"/>
          <w:pgNumType w:start="1"/>
          <w:cols w:space="720"/>
          <w:noEndnote/>
          <w:rtlGutter w:val="0"/>
          <w:docGrid w:linePitch="360"/>
        </w:sectPr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svědectví tohoto smluvní strany tímto podepisují dodatek č. 1 smlouvy o dílo. Dodatek č. 1 smlouvy o dílo je vyhotoven ve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dvou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vyhotoveních, z nichž každé má platnost originálu. Každá ze smluvních stran obdrží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jedno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vyhotovení dodatku č.1 smlouvy o dílo.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left="0" w:right="0" w:bottom="1989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 …………………..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left="1394" w:right="1504" w:bottom="1989" w:header="0" w:footer="3" w:gutter="0"/>
          <w:cols w:num="2" w:space="720" w:equalWidth="0">
            <w:col w:w="3677" w:space="2083"/>
            <w:col w:w="3250"/>
          </w:cols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Kadani dne …………………..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left="0" w:right="0" w:bottom="12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………………………………………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9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BAGROS s.r.o.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………………………………………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10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  <w:br/>
        <w:t>ředitel závodu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95" w:left="1394" w:right="1399" w:bottom="1243" w:header="0" w:footer="3" w:gutter="0"/>
      <w:cols w:num="2" w:space="188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5861685</wp:posOffset>
              </wp:positionH>
              <wp:positionV relativeFrom="page">
                <wp:posOffset>9962515</wp:posOffset>
              </wp:positionV>
              <wp:extent cx="80137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0137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1.55000000000001pt;margin-top:784.45000000000005pt;width:63.100000000000001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401" w:lineRule="auto"/>
      <w:jc w:val="center"/>
    </w:pPr>
    <w:rPr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320"/>
      <w:jc w:val="center"/>
      <w:outlineLvl w:val="0"/>
    </w:pPr>
    <w:rPr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