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7099" w14:textId="7C47FAD3" w:rsidR="00A00F7B" w:rsidRPr="00A00F7B" w:rsidRDefault="00A00F7B" w:rsidP="00A00F7B">
      <w:pPr>
        <w:autoSpaceDE w:val="0"/>
        <w:autoSpaceDN w:val="0"/>
        <w:adjustRightInd w:val="0"/>
        <w:spacing w:after="0" w:line="240" w:lineRule="auto"/>
        <w:ind w:firstLine="360"/>
        <w:rPr>
          <w:b/>
        </w:rPr>
      </w:pPr>
    </w:p>
    <w:p w14:paraId="345EFF9E" w14:textId="3D74D13E" w:rsidR="003965E6" w:rsidRPr="003965E6" w:rsidRDefault="003965E6" w:rsidP="00A00F7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6D36A136" w14:textId="77777777" w:rsidR="00A00F7B" w:rsidRDefault="00A00F7B" w:rsidP="00A00F7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EB3E0CC" w14:textId="5FA05C0D" w:rsidR="00A00F7B" w:rsidRDefault="00A00F7B" w:rsidP="00A00F7B">
      <w:pPr>
        <w:spacing w:after="0" w:line="240" w:lineRule="auto"/>
        <w:contextualSpacing/>
        <w:rPr>
          <w:rFonts w:cs="Arial"/>
        </w:rPr>
      </w:pPr>
      <w:r>
        <w:rPr>
          <w:b/>
        </w:rPr>
        <w:t>Národní památkový ústav,</w:t>
      </w:r>
      <w:r w:rsidR="002A62CF">
        <w:rPr>
          <w:b/>
        </w:rPr>
        <w:t xml:space="preserve"> </w:t>
      </w:r>
      <w:r>
        <w:rPr>
          <w:b/>
        </w:rPr>
        <w:t>státní příspěvková organizace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5C3C3A1" w14:textId="77777777" w:rsidR="00A00F7B" w:rsidRDefault="00A00F7B" w:rsidP="00A00F7B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se sídlem: Valdštejnské nám. 162/3, Praha 1, 118 01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234E94E" w14:textId="77777777" w:rsidR="00A00F7B" w:rsidRDefault="00A00F7B" w:rsidP="00A00F7B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2E72BCD" w14:textId="3D2D4639" w:rsidR="00A00F7B" w:rsidRPr="005860C3" w:rsidRDefault="00A00F7B" w:rsidP="00A00F7B">
      <w:pPr>
        <w:spacing w:after="0" w:line="240" w:lineRule="auto"/>
        <w:contextualSpacing/>
        <w:rPr>
          <w:rFonts w:cs="Arial"/>
          <w:b/>
        </w:rPr>
      </w:pPr>
      <w:r w:rsidRPr="005860C3">
        <w:rPr>
          <w:rFonts w:cs="Arial"/>
          <w:b/>
        </w:rPr>
        <w:t>zastoupen</w:t>
      </w:r>
      <w:r w:rsidR="002A62CF">
        <w:rPr>
          <w:rFonts w:cs="Arial"/>
          <w:b/>
        </w:rPr>
        <w:t>ý</w:t>
      </w:r>
      <w:r w:rsidRPr="005860C3">
        <w:rPr>
          <w:rFonts w:cs="Arial"/>
          <w:b/>
        </w:rPr>
        <w:t xml:space="preserve">: </w:t>
      </w:r>
      <w:r>
        <w:rPr>
          <w:rFonts w:cs="Arial"/>
          <w:b/>
        </w:rPr>
        <w:t>Ing. Petr</w:t>
      </w:r>
      <w:r w:rsidR="002A62CF">
        <w:rPr>
          <w:rFonts w:cs="Arial"/>
          <w:b/>
        </w:rPr>
        <w:t>em</w:t>
      </w:r>
      <w:r>
        <w:rPr>
          <w:rFonts w:cs="Arial"/>
          <w:b/>
        </w:rPr>
        <w:t xml:space="preserve"> Šubík</w:t>
      </w:r>
      <w:r w:rsidR="002A62CF">
        <w:rPr>
          <w:rFonts w:cs="Arial"/>
          <w:b/>
        </w:rPr>
        <w:t>em</w:t>
      </w:r>
      <w:r>
        <w:rPr>
          <w:rFonts w:cs="Arial"/>
          <w:b/>
        </w:rPr>
        <w:t>,</w:t>
      </w:r>
      <w:r w:rsidRPr="005860C3">
        <w:rPr>
          <w:rFonts w:cs="Arial"/>
          <w:b/>
        </w:rPr>
        <w:t xml:space="preserve"> ředitel</w:t>
      </w:r>
      <w:r w:rsidR="002A62CF">
        <w:rPr>
          <w:rFonts w:cs="Arial"/>
          <w:b/>
        </w:rPr>
        <w:t>em</w:t>
      </w:r>
      <w:r w:rsidRPr="005860C3">
        <w:rPr>
          <w:rFonts w:cs="Arial"/>
          <w:b/>
        </w:rPr>
        <w:t xml:space="preserve"> NPÚ ÚPS v Kroměříži</w:t>
      </w:r>
      <w:r w:rsidRPr="005860C3">
        <w:rPr>
          <w:rFonts w:cs="Arial"/>
          <w:b/>
        </w:rPr>
        <w:tab/>
      </w:r>
    </w:p>
    <w:p w14:paraId="598848D7" w14:textId="77777777" w:rsidR="00A00F7B" w:rsidRDefault="00A00F7B" w:rsidP="00A00F7B">
      <w:pPr>
        <w:spacing w:after="0" w:line="240" w:lineRule="auto"/>
        <w:contextualSpacing/>
        <w:rPr>
          <w:rFonts w:cs="Arial"/>
          <w:bCs/>
          <w:i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C5F3320" w14:textId="77777777" w:rsidR="00A00F7B" w:rsidRDefault="00A00F7B" w:rsidP="00A00F7B">
      <w:pPr>
        <w:pStyle w:val="Default"/>
        <w:jc w:val="both"/>
      </w:pPr>
      <w:r>
        <w:rPr>
          <w:rFonts w:cs="Arial"/>
          <w:bCs/>
          <w:iCs/>
          <w:sz w:val="22"/>
          <w:szCs w:val="22"/>
        </w:rPr>
        <w:t xml:space="preserve">Doručovací adresa: </w:t>
      </w:r>
    </w:p>
    <w:p w14:paraId="4B39365B" w14:textId="77777777" w:rsidR="00A00F7B" w:rsidRDefault="00A00F7B" w:rsidP="00A00F7B">
      <w:pPr>
        <w:pStyle w:val="Default"/>
      </w:pPr>
      <w:r>
        <w:rPr>
          <w:rFonts w:cs="Arial"/>
          <w:b/>
          <w:sz w:val="22"/>
          <w:szCs w:val="22"/>
        </w:rPr>
        <w:t>Národní památkový ústav, ÚPS v Kroměříži</w:t>
      </w:r>
    </w:p>
    <w:p w14:paraId="6CE711D4" w14:textId="77777777" w:rsidR="00A00F7B" w:rsidRDefault="00A00F7B" w:rsidP="00A00F7B">
      <w:pPr>
        <w:pStyle w:val="Default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Sněmovní nám. 1, Kroměříž 767 01</w:t>
      </w:r>
    </w:p>
    <w:p w14:paraId="77A3EADF" w14:textId="77777777" w:rsidR="00A00F7B" w:rsidRDefault="00A00F7B" w:rsidP="00A00F7B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bankovní spojení: </w:t>
      </w:r>
      <w:r>
        <w:t xml:space="preserve"> ČNB</w:t>
      </w:r>
      <w:r>
        <w:rPr>
          <w:rFonts w:cs="Arial"/>
          <w:sz w:val="22"/>
          <w:szCs w:val="22"/>
        </w:rPr>
        <w:t xml:space="preserve">, č. ú.: </w:t>
      </w:r>
      <w:r w:rsidRPr="005860C3">
        <w:rPr>
          <w:rFonts w:cs="Arial"/>
          <w:sz w:val="22"/>
          <w:szCs w:val="22"/>
        </w:rPr>
        <w:t>500005-60039011/0710</w:t>
      </w:r>
    </w:p>
    <w:p w14:paraId="66766CC3" w14:textId="77777777" w:rsidR="00A00F7B" w:rsidRDefault="00A00F7B" w:rsidP="00A00F7B">
      <w:pPr>
        <w:pStyle w:val="Default"/>
        <w:jc w:val="both"/>
        <w:rPr>
          <w:rFonts w:cs="Arial"/>
          <w:sz w:val="22"/>
          <w:szCs w:val="22"/>
        </w:rPr>
      </w:pPr>
    </w:p>
    <w:p w14:paraId="68376980" w14:textId="77777777" w:rsidR="00A00F7B" w:rsidRDefault="00A00F7B" w:rsidP="00A00F7B">
      <w:pPr>
        <w:pStyle w:val="Default"/>
        <w:rPr>
          <w:rFonts w:cs="Arial"/>
          <w:sz w:val="22"/>
          <w:szCs w:val="22"/>
        </w:rPr>
      </w:pPr>
      <w:r w:rsidRPr="005860C3">
        <w:rPr>
          <w:rFonts w:cs="Arial"/>
          <w:sz w:val="22"/>
          <w:szCs w:val="22"/>
        </w:rPr>
        <w:t>Zástupc</w:t>
      </w:r>
      <w:r>
        <w:rPr>
          <w:rFonts w:cs="Arial"/>
          <w:sz w:val="22"/>
          <w:szCs w:val="22"/>
        </w:rPr>
        <w:t>i</w:t>
      </w:r>
      <w:r w:rsidRPr="005860C3">
        <w:rPr>
          <w:rFonts w:cs="Arial"/>
          <w:sz w:val="22"/>
          <w:szCs w:val="22"/>
        </w:rPr>
        <w:t xml:space="preserve"> pro věcná jednání:</w:t>
      </w:r>
    </w:p>
    <w:p w14:paraId="30D74C96" w14:textId="66474E6B" w:rsidR="00A00F7B" w:rsidRPr="005860C3" w:rsidRDefault="00D76F8B" w:rsidP="00A00F7B">
      <w:pPr>
        <w:pStyle w:val="Default"/>
        <w:rPr>
          <w:rFonts w:cs="Arial"/>
          <w:sz w:val="22"/>
          <w:szCs w:val="22"/>
        </w:rPr>
      </w:pPr>
      <w:r>
        <w:rPr>
          <w:sz w:val="22"/>
          <w:szCs w:val="22"/>
        </w:rPr>
        <w:t>xxxxxxxxxxxxx</w:t>
      </w:r>
      <w:r w:rsidR="00A00F7B">
        <w:rPr>
          <w:rFonts w:cs="Arial"/>
          <w:sz w:val="22"/>
          <w:szCs w:val="22"/>
        </w:rPr>
        <w:t xml:space="preserve">, </w:t>
      </w:r>
      <w:r w:rsidR="00A00F7B" w:rsidRPr="005860C3">
        <w:rPr>
          <w:rFonts w:cs="Arial"/>
          <w:sz w:val="22"/>
          <w:szCs w:val="22"/>
        </w:rPr>
        <w:t>tel.:</w:t>
      </w:r>
      <w:r>
        <w:rPr>
          <w:sz w:val="22"/>
          <w:szCs w:val="22"/>
        </w:rPr>
        <w:t xml:space="preserve"> xxxxxxxxxxxxxxx</w:t>
      </w:r>
      <w:r w:rsidR="00A00F7B">
        <w:rPr>
          <w:rFonts w:cs="Arial"/>
          <w:sz w:val="22"/>
          <w:szCs w:val="22"/>
        </w:rPr>
        <w:t>, e</w:t>
      </w:r>
      <w:r w:rsidR="00A00F7B" w:rsidRPr="005860C3">
        <w:rPr>
          <w:rFonts w:cs="Arial"/>
          <w:sz w:val="22"/>
          <w:szCs w:val="22"/>
        </w:rPr>
        <w:t xml:space="preserve">-mail: </w:t>
      </w:r>
      <w:r>
        <w:rPr>
          <w:rFonts w:cs="Arial"/>
          <w:sz w:val="22"/>
          <w:szCs w:val="22"/>
        </w:rPr>
        <w:t>xxxxxxxxxxxxxxx</w:t>
      </w:r>
    </w:p>
    <w:p w14:paraId="4EA1DE59" w14:textId="77777777" w:rsidR="00A00F7B" w:rsidRPr="005860C3" w:rsidRDefault="00A00F7B" w:rsidP="00A00F7B">
      <w:pPr>
        <w:pStyle w:val="Default"/>
        <w:rPr>
          <w:sz w:val="22"/>
          <w:szCs w:val="22"/>
        </w:rPr>
      </w:pPr>
      <w:r>
        <w:rPr>
          <w:rFonts w:cs="Arial"/>
          <w:sz w:val="22"/>
          <w:szCs w:val="22"/>
        </w:rPr>
        <w:t>Státní zámek Uherčice</w:t>
      </w:r>
    </w:p>
    <w:p w14:paraId="32DBDD97" w14:textId="534EA9E3" w:rsidR="00A00F7B" w:rsidRPr="005860C3" w:rsidRDefault="00D76F8B" w:rsidP="00A00F7B">
      <w:pPr>
        <w:pStyle w:val="Defaul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xxxxxxxxxxxxx</w:t>
      </w:r>
      <w:r w:rsidR="00A00F7B">
        <w:rPr>
          <w:rFonts w:cs="Arial"/>
          <w:sz w:val="22"/>
          <w:szCs w:val="22"/>
        </w:rPr>
        <w:t>, t</w:t>
      </w:r>
      <w:r>
        <w:rPr>
          <w:rFonts w:cs="Arial"/>
          <w:sz w:val="22"/>
          <w:szCs w:val="22"/>
        </w:rPr>
        <w:t>el. xxxxxxxxxxxxxxxx</w:t>
      </w:r>
      <w:r w:rsidR="00A00F7B" w:rsidRPr="005860C3">
        <w:rPr>
          <w:rFonts w:cs="Arial"/>
          <w:sz w:val="22"/>
          <w:szCs w:val="22"/>
        </w:rPr>
        <w:t xml:space="preserve">, email: </w:t>
      </w:r>
      <w:r>
        <w:rPr>
          <w:rFonts w:cs="Arial"/>
          <w:sz w:val="22"/>
          <w:szCs w:val="22"/>
        </w:rPr>
        <w:t>xxxxxxxxxxxxxxx</w:t>
      </w:r>
    </w:p>
    <w:p w14:paraId="37D0BADB" w14:textId="77777777" w:rsidR="00A00F7B" w:rsidRDefault="00A00F7B" w:rsidP="00A00F7B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</w:t>
      </w:r>
      <w:r>
        <w:rPr>
          <w:rFonts w:cs="Arial"/>
          <w:b/>
          <w:bCs/>
          <w:sz w:val="22"/>
          <w:szCs w:val="22"/>
        </w:rPr>
        <w:t>objednatel</w:t>
      </w:r>
      <w:r>
        <w:rPr>
          <w:rFonts w:cs="Arial"/>
          <w:sz w:val="22"/>
          <w:szCs w:val="22"/>
        </w:rPr>
        <w:t xml:space="preserve">“) </w:t>
      </w:r>
    </w:p>
    <w:p w14:paraId="5D9D2498" w14:textId="77777777" w:rsidR="00A00F7B" w:rsidRDefault="00A00F7B" w:rsidP="00A00F7B">
      <w:pPr>
        <w:pStyle w:val="Default"/>
        <w:jc w:val="both"/>
        <w:rPr>
          <w:rFonts w:cs="Arial"/>
          <w:sz w:val="22"/>
          <w:szCs w:val="22"/>
        </w:rPr>
      </w:pPr>
    </w:p>
    <w:p w14:paraId="7091CE88" w14:textId="77777777" w:rsidR="00A00F7B" w:rsidRDefault="00A00F7B" w:rsidP="00A00F7B">
      <w:pPr>
        <w:pStyle w:val="Defaul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24AD2627" w14:textId="77777777" w:rsidR="00A00F7B" w:rsidRDefault="00A00F7B" w:rsidP="00A00F7B">
      <w:pPr>
        <w:pStyle w:val="Bezmezer"/>
        <w:rPr>
          <w:b/>
          <w:highlight w:val="yellow"/>
        </w:rPr>
      </w:pPr>
    </w:p>
    <w:p w14:paraId="219D6BA1" w14:textId="77777777" w:rsidR="00A00F7B" w:rsidRPr="00847F45" w:rsidRDefault="00A00F7B" w:rsidP="00A00F7B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MgA. Monika Wolfová</w:t>
      </w:r>
    </w:p>
    <w:p w14:paraId="2F36C194" w14:textId="77777777" w:rsidR="00A00F7B" w:rsidRPr="00847F45" w:rsidRDefault="00A00F7B" w:rsidP="00A00F7B">
      <w:pPr>
        <w:pStyle w:val="Bezmezer"/>
        <w:rPr>
          <w:rFonts w:asciiTheme="minorHAnsi" w:hAnsiTheme="minorHAnsi" w:cstheme="minorHAnsi"/>
        </w:rPr>
      </w:pPr>
      <w:r w:rsidRPr="00847F45">
        <w:rPr>
          <w:rFonts w:asciiTheme="minorHAnsi" w:hAnsiTheme="minorHAnsi" w:cstheme="minorHAnsi"/>
        </w:rPr>
        <w:t>se sídlem</w:t>
      </w:r>
      <w:r>
        <w:rPr>
          <w:rFonts w:asciiTheme="minorHAnsi" w:hAnsiTheme="minorHAnsi" w:cstheme="minorHAnsi"/>
        </w:rPr>
        <w:t xml:space="preserve"> Kelčany 116, 696 49 Kelčany</w:t>
      </w:r>
    </w:p>
    <w:p w14:paraId="62AD062F" w14:textId="040BF949" w:rsidR="00A00F7B" w:rsidRPr="00847F45" w:rsidRDefault="00A00F7B" w:rsidP="00A00F7B">
      <w:pPr>
        <w:spacing w:after="0"/>
        <w:rPr>
          <w:rFonts w:asciiTheme="minorHAnsi" w:hAnsiTheme="minorHAnsi" w:cstheme="minorHAnsi"/>
          <w:color w:val="000000"/>
          <w:lang w:eastAsia="cs-CZ"/>
        </w:rPr>
      </w:pPr>
      <w:r w:rsidRPr="00847F45">
        <w:rPr>
          <w:rFonts w:asciiTheme="minorHAnsi" w:hAnsiTheme="minorHAnsi" w:cstheme="minorHAnsi"/>
        </w:rPr>
        <w:t xml:space="preserve">IČ: </w:t>
      </w:r>
      <w:r w:rsidRPr="00273B78">
        <w:rPr>
          <w:rFonts w:asciiTheme="minorHAnsi" w:hAnsiTheme="minorHAnsi" w:cstheme="minorHAnsi"/>
          <w:color w:val="000000"/>
          <w:shd w:val="clear" w:color="auto" w:fill="FFFFFF"/>
        </w:rPr>
        <w:t>70465983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Pr="00847F45">
        <w:rPr>
          <w:rFonts w:asciiTheme="minorHAnsi" w:hAnsiTheme="minorHAnsi" w:cstheme="minorHAnsi"/>
        </w:rPr>
        <w:t xml:space="preserve">DIČ: </w:t>
      </w:r>
      <w:r w:rsidR="00D76F8B">
        <w:rPr>
          <w:rFonts w:asciiTheme="minorHAnsi" w:hAnsiTheme="minorHAnsi" w:cstheme="minorHAnsi"/>
          <w:color w:val="000000"/>
          <w:shd w:val="clear" w:color="auto" w:fill="FFFFFF"/>
        </w:rPr>
        <w:t>xxxxxxxxxxxx</w:t>
      </w:r>
    </w:p>
    <w:p w14:paraId="22D3147D" w14:textId="77777777" w:rsidR="00A00F7B" w:rsidRPr="00847F45" w:rsidRDefault="00A00F7B" w:rsidP="00A00F7B">
      <w:pPr>
        <w:pStyle w:val="Bezmezer"/>
        <w:rPr>
          <w:rFonts w:asciiTheme="minorHAnsi" w:hAnsiTheme="minorHAnsi" w:cstheme="minorHAnsi"/>
        </w:rPr>
      </w:pPr>
      <w:r w:rsidRPr="00847F45">
        <w:rPr>
          <w:rFonts w:asciiTheme="minorHAnsi" w:hAnsiTheme="minorHAnsi" w:cstheme="minorHAnsi"/>
        </w:rPr>
        <w:t>číslo r</w:t>
      </w:r>
      <w:r>
        <w:rPr>
          <w:rFonts w:asciiTheme="minorHAnsi" w:hAnsiTheme="minorHAnsi" w:cstheme="minorHAnsi"/>
        </w:rPr>
        <w:t>estaurátorské licence:  MK ČR:  9876/2004</w:t>
      </w:r>
      <w:r w:rsidRPr="00847F45">
        <w:rPr>
          <w:rFonts w:asciiTheme="minorHAnsi" w:hAnsiTheme="minorHAnsi" w:cstheme="minorHAnsi"/>
        </w:rPr>
        <w:t xml:space="preserve"> ze dne  </w:t>
      </w:r>
      <w:r>
        <w:rPr>
          <w:rFonts w:asciiTheme="minorHAnsi" w:hAnsiTheme="minorHAnsi" w:cstheme="minorHAnsi"/>
        </w:rPr>
        <w:t>30. 8. 2004</w:t>
      </w:r>
    </w:p>
    <w:p w14:paraId="16C5C9F7" w14:textId="3E4E6BDC" w:rsidR="00A00F7B" w:rsidRPr="00847F45" w:rsidRDefault="00D76F8B" w:rsidP="00A00F7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 xxxxxxxxxxxxxx</w:t>
      </w:r>
    </w:p>
    <w:p w14:paraId="3CE1D84E" w14:textId="7949C1F4" w:rsidR="00A00F7B" w:rsidRPr="00847F45" w:rsidRDefault="00A00F7B" w:rsidP="00A00F7B">
      <w:pPr>
        <w:pStyle w:val="Bezmezer"/>
        <w:rPr>
          <w:rFonts w:asciiTheme="minorHAnsi" w:hAnsiTheme="minorHAnsi" w:cstheme="minorHAnsi"/>
        </w:rPr>
      </w:pPr>
      <w:r w:rsidRPr="00847F45">
        <w:rPr>
          <w:rFonts w:asciiTheme="minorHAnsi" w:hAnsiTheme="minorHAnsi" w:cstheme="minorHAnsi"/>
        </w:rPr>
        <w:t>email:</w:t>
      </w:r>
      <w:r w:rsidR="00D76F8B">
        <w:rPr>
          <w:rFonts w:asciiTheme="minorHAnsi" w:hAnsiTheme="minorHAnsi" w:cstheme="minorHAnsi"/>
        </w:rPr>
        <w:t xml:space="preserve"> xxxxxxxxxxxxx,  tel. xxxxxxxxxxxxxx</w:t>
      </w:r>
    </w:p>
    <w:p w14:paraId="3F33FE6E" w14:textId="7A495060" w:rsidR="00A00F7B" w:rsidRDefault="00A00F7B" w:rsidP="00A00F7B">
      <w:pPr>
        <w:pStyle w:val="Bezmezer"/>
        <w:rPr>
          <w:b/>
        </w:rPr>
      </w:pPr>
      <w:r>
        <w:t>(dále jen „</w:t>
      </w:r>
      <w:r>
        <w:rPr>
          <w:b/>
          <w:bCs/>
        </w:rPr>
        <w:t>zhotovitel</w:t>
      </w:r>
      <w:r>
        <w:t xml:space="preserve">“) </w:t>
      </w:r>
    </w:p>
    <w:p w14:paraId="47814234" w14:textId="77777777" w:rsidR="00A00F7B" w:rsidRPr="00500334" w:rsidRDefault="00A00F7B" w:rsidP="00A00F7B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44D592BE" w14:textId="77777777" w:rsidR="00A00F7B" w:rsidRPr="00500334" w:rsidRDefault="00A00F7B" w:rsidP="00A00F7B">
      <w:pPr>
        <w:pStyle w:val="Default"/>
        <w:ind w:firstLine="707"/>
        <w:jc w:val="both"/>
        <w:rPr>
          <w:rFonts w:cs="Arial"/>
          <w:sz w:val="22"/>
          <w:szCs w:val="22"/>
        </w:rPr>
      </w:pPr>
    </w:p>
    <w:p w14:paraId="506B524C" w14:textId="4881B8F7" w:rsidR="00A00F7B" w:rsidRPr="00500334" w:rsidRDefault="00A00F7B" w:rsidP="00A00F7B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>jako smluvní strany uzavřely níže uvedeného dne, měsíce a roku t</w:t>
      </w:r>
      <w:r>
        <w:rPr>
          <w:rFonts w:cs="Arial"/>
          <w:sz w:val="22"/>
          <w:szCs w:val="22"/>
        </w:rPr>
        <w:t>ento</w:t>
      </w:r>
    </w:p>
    <w:p w14:paraId="5DF18753" w14:textId="7343B5B1" w:rsidR="00A00F7B" w:rsidRPr="00500334" w:rsidRDefault="00A00F7B" w:rsidP="00A00F7B">
      <w:pPr>
        <w:pStyle w:val="Default"/>
        <w:jc w:val="center"/>
        <w:rPr>
          <w:rFonts w:cs="Arial"/>
          <w:bCs/>
          <w:sz w:val="22"/>
          <w:szCs w:val="22"/>
        </w:rPr>
      </w:pPr>
      <w:r w:rsidRPr="0071054B">
        <w:rPr>
          <w:rFonts w:cs="Arial"/>
          <w:b/>
          <w:bCs/>
        </w:rPr>
        <w:t>Dodatek č. 1 ke smlouvě o dílo na restaurování</w:t>
      </w:r>
    </w:p>
    <w:p w14:paraId="5C60E619" w14:textId="77777777" w:rsidR="00A00F7B" w:rsidRDefault="00A00F7B" w:rsidP="00A00F7B">
      <w:pPr>
        <w:pStyle w:val="Default"/>
        <w:jc w:val="center"/>
        <w:rPr>
          <w:b/>
          <w:bCs/>
          <w:sz w:val="22"/>
          <w:szCs w:val="22"/>
        </w:rPr>
      </w:pPr>
    </w:p>
    <w:p w14:paraId="15E16B19" w14:textId="079E3B98" w:rsidR="00A00F7B" w:rsidRDefault="00A00F7B" w:rsidP="00A00F7B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14:paraId="06884E00" w14:textId="77777777" w:rsidR="002A62CF" w:rsidRDefault="00A00F7B" w:rsidP="002A62CF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14:paraId="5225D40C" w14:textId="1CD59973" w:rsidR="00A00F7B" w:rsidRPr="002A62CF" w:rsidRDefault="00A00F7B" w:rsidP="002A62CF">
      <w:pPr>
        <w:pStyle w:val="Default"/>
        <w:numPr>
          <w:ilvl w:val="0"/>
          <w:numId w:val="18"/>
        </w:numPr>
        <w:ind w:left="284" w:hanging="426"/>
        <w:rPr>
          <w:sz w:val="22"/>
          <w:szCs w:val="22"/>
        </w:rPr>
      </w:pPr>
      <w:r w:rsidRPr="00A00F7B">
        <w:rPr>
          <w:bCs/>
          <w:sz w:val="22"/>
          <w:szCs w:val="22"/>
        </w:rPr>
        <w:t>Smluvní strany dne 7. 5. 2024 uzavřely Smlou</w:t>
      </w:r>
      <w:r>
        <w:rPr>
          <w:bCs/>
          <w:sz w:val="22"/>
          <w:szCs w:val="22"/>
        </w:rPr>
        <w:t>vu</w:t>
      </w:r>
      <w:r w:rsidRPr="00A00F7B">
        <w:rPr>
          <w:bCs/>
          <w:sz w:val="22"/>
          <w:szCs w:val="22"/>
        </w:rPr>
        <w:t xml:space="preserve"> o dílo na restaurování movitých věcí z mobiliárního fondu SZ Uherčice čj. NPÚ – 450/41368/2024 (dále jen „smlouva“). </w:t>
      </w:r>
    </w:p>
    <w:p w14:paraId="1044C061" w14:textId="77777777" w:rsidR="00A00F7B" w:rsidRPr="00000231" w:rsidRDefault="00A00F7B" w:rsidP="002A62CF">
      <w:pPr>
        <w:pStyle w:val="Default"/>
        <w:ind w:left="720"/>
        <w:rPr>
          <w:bCs/>
          <w:sz w:val="22"/>
          <w:szCs w:val="22"/>
        </w:rPr>
      </w:pPr>
    </w:p>
    <w:p w14:paraId="389511EB" w14:textId="50694B29" w:rsidR="00A00F7B" w:rsidRDefault="00A00F7B" w:rsidP="002A62CF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Článek II.</w:t>
      </w:r>
    </w:p>
    <w:p w14:paraId="17DAD81F" w14:textId="5E8C88CF" w:rsidR="002A62CF" w:rsidRPr="002A62CF" w:rsidRDefault="00A00F7B" w:rsidP="002A62C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Změna smlouvy</w:t>
      </w:r>
    </w:p>
    <w:p w14:paraId="74B7D0C8" w14:textId="0D9F594E" w:rsidR="00C463C7" w:rsidRPr="002A62CF" w:rsidRDefault="00C463C7" w:rsidP="002A62CF">
      <w:pPr>
        <w:pStyle w:val="Odstavecseseznamem"/>
        <w:numPr>
          <w:ilvl w:val="0"/>
          <w:numId w:val="15"/>
        </w:numPr>
        <w:spacing w:after="120" w:line="240" w:lineRule="auto"/>
        <w:ind w:left="284" w:hanging="437"/>
        <w:rPr>
          <w:rFonts w:cs="Calibri"/>
          <w:b/>
        </w:rPr>
      </w:pPr>
      <w:r w:rsidRPr="002A62CF">
        <w:rPr>
          <w:rFonts w:cs="Calibri"/>
        </w:rPr>
        <w:t>V průběhu restaurování byly zjištěny nové skutečnosti, které nemohly být zjištěny při prvotní prohlídce díla a vyšly najevo až v průběhu restaurátorských prací.</w:t>
      </w:r>
      <w:r w:rsidR="00132075" w:rsidRPr="00132075">
        <w:t xml:space="preserve"> </w:t>
      </w:r>
      <w:r w:rsidR="00132075" w:rsidRPr="002A62CF">
        <w:rPr>
          <w:rFonts w:cs="Calibri"/>
        </w:rPr>
        <w:t>Na základě podrobného průzkumu bylo zjištěno, že při minulém restaurátorském zásahu u obrazu inv. č. UH871a nebylo vytmeleno množství míst se ztrátami barevných a podkladových vrstev. Tato místa byla pouze zaretušována a celý obraz poté opatřen lakem, který na těchto ploškách degradoval. Po sejmutí laku bude nutné tato místa vytmelit a znovu vyretušovat a poté znovu celý obraz opatřit ochrannou lakovou vrstvou. U rámu inv. č. UH 871b byla dodatečně zjištěna chybějící řezba, která bude doplněna, včetně křídování a nového zlacení.</w:t>
      </w:r>
    </w:p>
    <w:p w14:paraId="77A9CB40" w14:textId="77777777" w:rsidR="00CC2AD7" w:rsidRPr="00CC2AD7" w:rsidRDefault="00CC2AD7" w:rsidP="002A62CF">
      <w:pPr>
        <w:pStyle w:val="Odstavecseseznamem"/>
        <w:spacing w:after="120" w:line="240" w:lineRule="auto"/>
        <w:ind w:left="284"/>
        <w:contextualSpacing w:val="0"/>
        <w:rPr>
          <w:rFonts w:cs="Calibri"/>
          <w:b/>
        </w:rPr>
      </w:pPr>
    </w:p>
    <w:p w14:paraId="1B9B6AAC" w14:textId="073283D9" w:rsidR="00CC2AD7" w:rsidRDefault="00CC2AD7" w:rsidP="00CC2AD7">
      <w:pPr>
        <w:pStyle w:val="Odstavecseseznamem"/>
        <w:spacing w:after="120" w:line="240" w:lineRule="auto"/>
        <w:ind w:left="284"/>
        <w:contextualSpacing w:val="0"/>
        <w:jc w:val="both"/>
        <w:rPr>
          <w:rFonts w:cs="Calibri"/>
          <w:b/>
        </w:rPr>
      </w:pPr>
    </w:p>
    <w:p w14:paraId="37F8CD6F" w14:textId="77777777" w:rsidR="00CC2AD7" w:rsidRPr="00CC2AD7" w:rsidRDefault="00CC2AD7" w:rsidP="00CC2AD7">
      <w:pPr>
        <w:pStyle w:val="Odstavecseseznamem"/>
        <w:spacing w:after="120" w:line="240" w:lineRule="auto"/>
        <w:ind w:left="284"/>
        <w:contextualSpacing w:val="0"/>
        <w:jc w:val="both"/>
        <w:rPr>
          <w:rFonts w:cs="Calibri"/>
          <w:b/>
        </w:rPr>
      </w:pPr>
    </w:p>
    <w:p w14:paraId="304DF2FA" w14:textId="0006B7A9" w:rsidR="00132075" w:rsidRPr="00132075" w:rsidRDefault="00CC2AD7" w:rsidP="002A62CF">
      <w:pPr>
        <w:pStyle w:val="Odstavecseseznamem"/>
        <w:numPr>
          <w:ilvl w:val="0"/>
          <w:numId w:val="15"/>
        </w:numPr>
        <w:spacing w:after="120" w:line="240" w:lineRule="auto"/>
        <w:ind w:left="284"/>
        <w:contextualSpacing w:val="0"/>
        <w:rPr>
          <w:rFonts w:cs="Calibri"/>
          <w:b/>
        </w:rPr>
      </w:pPr>
      <w:r>
        <w:rPr>
          <w:rFonts w:cs="Calibri"/>
        </w:rPr>
        <w:t>S ohledem na nárůst prací způsobený vícepracemi</w:t>
      </w:r>
      <w:r w:rsidR="00132075">
        <w:rPr>
          <w:rFonts w:cs="Calibri"/>
        </w:rPr>
        <w:t xml:space="preserve"> na obraze a rámu inv. č. UH 871a,b</w:t>
      </w:r>
      <w:r w:rsidR="00C463C7" w:rsidRPr="00F43525">
        <w:rPr>
          <w:rFonts w:cs="Calibri"/>
        </w:rPr>
        <w:t xml:space="preserve"> se smluvní strany dohodly na navýšení původní ceny o </w:t>
      </w:r>
      <w:r w:rsidR="00C463C7">
        <w:rPr>
          <w:rFonts w:cs="Calibri"/>
        </w:rPr>
        <w:t>34</w:t>
      </w:r>
      <w:r>
        <w:rPr>
          <w:rFonts w:cs="Calibri"/>
        </w:rPr>
        <w:t xml:space="preserve"> </w:t>
      </w:r>
      <w:r w:rsidR="00C463C7">
        <w:rPr>
          <w:rFonts w:cs="Calibri"/>
        </w:rPr>
        <w:t>000</w:t>
      </w:r>
      <w:r w:rsidR="00C463C7" w:rsidRPr="00F43525">
        <w:rPr>
          <w:rFonts w:cs="Calibri"/>
        </w:rPr>
        <w:t>Kč. Zhotovitel není plátce DPH.</w:t>
      </w:r>
    </w:p>
    <w:p w14:paraId="5AB6CC8E" w14:textId="0AAAE727" w:rsidR="00A00F7B" w:rsidRPr="00132075" w:rsidRDefault="00A00F7B" w:rsidP="002A62CF">
      <w:pPr>
        <w:pStyle w:val="Odstavecseseznamem"/>
        <w:numPr>
          <w:ilvl w:val="0"/>
          <w:numId w:val="15"/>
        </w:numPr>
        <w:spacing w:after="120" w:line="240" w:lineRule="auto"/>
        <w:ind w:left="284"/>
        <w:contextualSpacing w:val="0"/>
        <w:rPr>
          <w:rFonts w:cs="Calibri"/>
          <w:b/>
        </w:rPr>
      </w:pPr>
      <w:r w:rsidRPr="00132075">
        <w:t>Smluvní strany se dohodly, že smlouva se mění takto:</w:t>
      </w:r>
    </w:p>
    <w:p w14:paraId="31D25687" w14:textId="18FBF592" w:rsidR="00A00F7B" w:rsidRPr="00A00F7B" w:rsidRDefault="00A00F7B" w:rsidP="002A62CF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A00F7B">
        <w:rPr>
          <w:sz w:val="22"/>
          <w:szCs w:val="22"/>
        </w:rPr>
        <w:t>čl. III. odst. 1 se mění a nově zní takto:</w:t>
      </w:r>
      <w:r>
        <w:rPr>
          <w:sz w:val="22"/>
          <w:szCs w:val="22"/>
        </w:rPr>
        <w:t xml:space="preserve"> </w:t>
      </w:r>
    </w:p>
    <w:p w14:paraId="6D4E44F1" w14:textId="2760C7E5" w:rsidR="00A00F7B" w:rsidRPr="00A00F7B" w:rsidRDefault="00A00F7B" w:rsidP="002A62CF">
      <w:pPr>
        <w:pStyle w:val="Default"/>
        <w:ind w:left="1080"/>
        <w:rPr>
          <w:i/>
          <w:sz w:val="22"/>
          <w:szCs w:val="22"/>
          <w:highlight w:val="lightGray"/>
        </w:rPr>
      </w:pPr>
      <w:r w:rsidRPr="0071054B">
        <w:rPr>
          <w:sz w:val="22"/>
          <w:szCs w:val="22"/>
        </w:rPr>
        <w:t>„</w:t>
      </w:r>
      <w:r w:rsidRPr="0071054B">
        <w:rPr>
          <w:i/>
        </w:rPr>
        <w:t>Sm</w:t>
      </w:r>
      <w:r w:rsidRPr="00A00F7B">
        <w:rPr>
          <w:i/>
        </w:rPr>
        <w:t xml:space="preserve">luvní strany se dohodly, že cena za provedení díla dle této smlouvy činí celkem </w:t>
      </w:r>
      <w:r w:rsidR="0071054B">
        <w:rPr>
          <w:b/>
          <w:i/>
        </w:rPr>
        <w:t>726 150</w:t>
      </w:r>
      <w:r w:rsidRPr="00A00F7B">
        <w:rPr>
          <w:b/>
          <w:i/>
        </w:rPr>
        <w:t>,-Kč,</w:t>
      </w:r>
      <w:r w:rsidRPr="00A00F7B">
        <w:rPr>
          <w:i/>
        </w:rPr>
        <w:t xml:space="preserve"> slovy: </w:t>
      </w:r>
      <w:r w:rsidR="0071054B">
        <w:rPr>
          <w:i/>
        </w:rPr>
        <w:t>sedm set dvacet šest tisíc sto padesát</w:t>
      </w:r>
      <w:r w:rsidRPr="00A00F7B">
        <w:rPr>
          <w:i/>
        </w:rPr>
        <w:t xml:space="preserve"> korun českých. Zhotovitel není plátce DPH. Pokud by se zhotovitel stal plátcem DPH ke dni vystavení faktury, smluvní strany se dohodly, že výše uvedená cena prací je stanovena včetně DPH</w:t>
      </w:r>
      <w:r w:rsidRPr="0071054B">
        <w:rPr>
          <w:i/>
        </w:rPr>
        <w:t>.</w:t>
      </w:r>
      <w:r w:rsidRPr="0071054B">
        <w:rPr>
          <w:i/>
          <w:sz w:val="22"/>
          <w:szCs w:val="22"/>
        </w:rPr>
        <w:t>“</w:t>
      </w:r>
    </w:p>
    <w:p w14:paraId="1D446BC0" w14:textId="77777777" w:rsidR="0071054B" w:rsidRDefault="0071054B" w:rsidP="002A62CF">
      <w:pPr>
        <w:pStyle w:val="Default"/>
        <w:ind w:left="1080"/>
        <w:rPr>
          <w:sz w:val="22"/>
          <w:szCs w:val="22"/>
          <w:highlight w:val="lightGray"/>
        </w:rPr>
      </w:pPr>
      <w:r w:rsidRPr="00000231">
        <w:rPr>
          <w:sz w:val="22"/>
          <w:szCs w:val="22"/>
          <w:highlight w:val="lightGray"/>
        </w:rPr>
        <w:t xml:space="preserve"> </w:t>
      </w:r>
    </w:p>
    <w:p w14:paraId="75CFDEEF" w14:textId="24CB5B85" w:rsidR="00A00F7B" w:rsidRDefault="00A00F7B" w:rsidP="002A62CF">
      <w:pPr>
        <w:pStyle w:val="Default"/>
        <w:numPr>
          <w:ilvl w:val="0"/>
          <w:numId w:val="15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42A8608C" w14:textId="77777777" w:rsidR="00A00F7B" w:rsidRDefault="00A00F7B" w:rsidP="002A62CF">
      <w:pPr>
        <w:pStyle w:val="Default"/>
        <w:rPr>
          <w:sz w:val="22"/>
          <w:szCs w:val="22"/>
        </w:rPr>
      </w:pPr>
    </w:p>
    <w:p w14:paraId="508CC016" w14:textId="77777777" w:rsidR="00A00F7B" w:rsidRPr="00A6010C" w:rsidRDefault="00A00F7B" w:rsidP="002A62CF">
      <w:pPr>
        <w:pStyle w:val="Default"/>
        <w:ind w:left="1080"/>
        <w:rPr>
          <w:sz w:val="22"/>
          <w:szCs w:val="22"/>
        </w:rPr>
      </w:pPr>
    </w:p>
    <w:p w14:paraId="42B1F50B" w14:textId="4245E119" w:rsidR="00A00F7B" w:rsidRDefault="00A00F7B" w:rsidP="00E11B08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>Článek III.</w:t>
      </w:r>
    </w:p>
    <w:p w14:paraId="401273CC" w14:textId="0DD96356" w:rsidR="00A00F7B" w:rsidRPr="00A6010C" w:rsidRDefault="00A00F7B" w:rsidP="00E11B08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>Závěrečná ustanovení</w:t>
      </w:r>
    </w:p>
    <w:p w14:paraId="72591499" w14:textId="77777777" w:rsidR="00132075" w:rsidRPr="00132075" w:rsidRDefault="00A00F7B" w:rsidP="002A62CF">
      <w:pPr>
        <w:pStyle w:val="Odstavecseseznamem"/>
        <w:numPr>
          <w:ilvl w:val="0"/>
          <w:numId w:val="9"/>
        </w:numPr>
        <w:spacing w:after="0" w:line="240" w:lineRule="auto"/>
      </w:pPr>
      <w:r w:rsidRPr="00132075">
        <w:rPr>
          <w:rFonts w:cs="Calibri"/>
        </w:rPr>
        <w:t xml:space="preserve">Tento dodatek byl sepsán ve dvou vyhotoveních. Každá ze smluvních stran obdržela po jednom totožném vyhotovení. </w:t>
      </w:r>
    </w:p>
    <w:p w14:paraId="41281AA5" w14:textId="0F4D8012" w:rsidR="00132075" w:rsidRPr="00132075" w:rsidRDefault="00A00F7B" w:rsidP="002A62CF">
      <w:pPr>
        <w:pStyle w:val="Odstavecseseznamem"/>
        <w:numPr>
          <w:ilvl w:val="0"/>
          <w:numId w:val="9"/>
        </w:numPr>
        <w:spacing w:after="0" w:line="240" w:lineRule="auto"/>
      </w:pPr>
      <w:r w:rsidRPr="00132075">
        <w:rPr>
          <w:rFonts w:cs="Calibri"/>
          <w:color w:val="000000"/>
        </w:rPr>
        <w:t xml:space="preserve">Tento dodatek nabývá platnosti a účinnosti dnem podpisu oběma smluvními stranami. </w:t>
      </w:r>
      <w:r w:rsidR="00132075" w:rsidRPr="00132075">
        <w:rPr>
          <w:rFonts w:asciiTheme="minorHAnsi" w:hAnsiTheme="minorHAnsi" w:cstheme="minorHAnsi"/>
          <w:color w:val="000000"/>
        </w:rPr>
        <w:t xml:space="preserve">Pokud tento </w:t>
      </w:r>
      <w:r w:rsidR="00132075">
        <w:rPr>
          <w:rFonts w:asciiTheme="minorHAnsi" w:hAnsiTheme="minorHAnsi" w:cstheme="minorHAnsi"/>
          <w:color w:val="000000"/>
        </w:rPr>
        <w:t>dodatek</w:t>
      </w:r>
      <w:r w:rsidR="00132075" w:rsidRPr="00132075">
        <w:rPr>
          <w:rFonts w:asciiTheme="minorHAnsi" w:hAnsiTheme="minorHAnsi" w:cstheme="minorHAnsi"/>
          <w:color w:val="000000"/>
        </w:rPr>
        <w:t xml:space="preserve"> podléhá povinnosti uveřejnění </w:t>
      </w:r>
      <w:r w:rsidR="00132075" w:rsidRPr="00132075">
        <w:rPr>
          <w:rFonts w:asciiTheme="minorHAnsi" w:hAnsiTheme="minorHAnsi" w:cstheme="minorHAnsi"/>
          <w:bCs/>
          <w:iCs/>
        </w:rPr>
        <w:t>dle zákona č. 340/2015 Sb., o zvláštních podmínkách účinnosti některých smluv, uveřejňování těchto smluv a o registru smluv (zákon o registru smluv)</w:t>
      </w:r>
      <w:r w:rsidR="00132075" w:rsidRPr="00132075">
        <w:rPr>
          <w:rFonts w:asciiTheme="minorHAnsi" w:hAnsiTheme="minorHAnsi" w:cstheme="minorHAnsi"/>
          <w:color w:val="000000"/>
        </w:rPr>
        <w:t>, nabude účinnosti dnem uveřejnění a její uveřejnění zajistí objednatel.</w:t>
      </w:r>
      <w:r w:rsidR="00132075" w:rsidRPr="00132075">
        <w:rPr>
          <w:rFonts w:asciiTheme="minorHAnsi" w:hAnsiTheme="minorHAnsi" w:cstheme="minorHAnsi"/>
        </w:rPr>
        <w:t xml:space="preserve"> Smluvní strany berou na vědomí, že tato smlouva může být předmětem zveřejnění i dle jiných právních předpisů.</w:t>
      </w:r>
    </w:p>
    <w:p w14:paraId="1DC5FF80" w14:textId="7AA5AE99" w:rsidR="00132075" w:rsidRDefault="00A00F7B" w:rsidP="002A62CF">
      <w:pPr>
        <w:pStyle w:val="Odstavecseseznamem"/>
        <w:numPr>
          <w:ilvl w:val="0"/>
          <w:numId w:val="9"/>
        </w:numPr>
        <w:spacing w:after="0" w:line="240" w:lineRule="auto"/>
      </w:pPr>
      <w:r>
        <w:t>Tento dodatek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75B33533" w14:textId="229DE0CE" w:rsidR="00A00F7B" w:rsidRPr="00132075" w:rsidRDefault="00A00F7B" w:rsidP="002A62CF">
      <w:pPr>
        <w:pStyle w:val="Odstavecseseznamem"/>
        <w:numPr>
          <w:ilvl w:val="0"/>
          <w:numId w:val="9"/>
        </w:numPr>
        <w:spacing w:after="0" w:line="240" w:lineRule="auto"/>
      </w:pPr>
      <w:r w:rsidRPr="00132075">
        <w:rPr>
          <w:rFonts w:cs="Calibri"/>
        </w:rPr>
        <w:t>Smluvní strany prohlašují, že tento dodatek uzavřely podle své pravé a svobodné vůle prosté omylů, nikoliv v tísni. Znění dodatku je pro obě smluvní strany určité a srozumitelné.</w:t>
      </w:r>
    </w:p>
    <w:p w14:paraId="770CE966" w14:textId="77777777" w:rsidR="00A00F7B" w:rsidRPr="00A6010C" w:rsidRDefault="00A00F7B" w:rsidP="002A62CF">
      <w:pPr>
        <w:pStyle w:val="Default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00F7B" w:rsidRPr="00A6010C" w14:paraId="6F4A6536" w14:textId="77777777" w:rsidTr="00477840">
        <w:tc>
          <w:tcPr>
            <w:tcW w:w="4606" w:type="dxa"/>
          </w:tcPr>
          <w:p w14:paraId="4562E245" w14:textId="7E998073" w:rsidR="00A00F7B" w:rsidRPr="00CC2AD7" w:rsidRDefault="00A00F7B" w:rsidP="002A62CF">
            <w:pPr>
              <w:spacing w:after="0" w:line="240" w:lineRule="auto"/>
              <w:rPr>
                <w:rFonts w:cs="Calibri"/>
              </w:rPr>
            </w:pPr>
            <w:r w:rsidRPr="00CC2AD7">
              <w:rPr>
                <w:rFonts w:cs="Calibri"/>
              </w:rPr>
              <w:t xml:space="preserve">V </w:t>
            </w:r>
            <w:r w:rsidR="00CC2AD7" w:rsidRPr="00CC2AD7">
              <w:rPr>
                <w:rFonts w:cs="Calibri"/>
              </w:rPr>
              <w:t>Kroměříži</w:t>
            </w:r>
            <w:r w:rsidRPr="00CC2AD7">
              <w:rPr>
                <w:rFonts w:cs="Calibri"/>
              </w:rPr>
              <w:t xml:space="preserve">, dne </w:t>
            </w:r>
            <w:r w:rsidR="00CC2AD7" w:rsidRPr="00CC2AD7">
              <w:rPr>
                <w:rFonts w:cs="Calibri"/>
              </w:rPr>
              <w:t>5.</w:t>
            </w:r>
            <w:r w:rsidR="00CC2AD7">
              <w:rPr>
                <w:rFonts w:cs="Calibri"/>
              </w:rPr>
              <w:t xml:space="preserve"> </w:t>
            </w:r>
            <w:r w:rsidR="00CC2AD7" w:rsidRPr="00CC2AD7">
              <w:rPr>
                <w:rFonts w:cs="Calibri"/>
              </w:rPr>
              <w:t>3.</w:t>
            </w:r>
            <w:r w:rsidR="00CC2AD7">
              <w:rPr>
                <w:rFonts w:cs="Calibri"/>
              </w:rPr>
              <w:t xml:space="preserve"> </w:t>
            </w:r>
            <w:r w:rsidR="00CC2AD7" w:rsidRPr="00CC2AD7">
              <w:rPr>
                <w:rFonts w:cs="Calibri"/>
              </w:rPr>
              <w:t>2025</w:t>
            </w:r>
          </w:p>
          <w:p w14:paraId="7D8F4069" w14:textId="77777777" w:rsidR="00A00F7B" w:rsidRPr="00CC2AD7" w:rsidRDefault="00A00F7B" w:rsidP="002A62CF">
            <w:pPr>
              <w:spacing w:after="0" w:line="240" w:lineRule="auto"/>
              <w:rPr>
                <w:rFonts w:cs="Calibri"/>
              </w:rPr>
            </w:pPr>
          </w:p>
          <w:p w14:paraId="7BA70A0E" w14:textId="61E1B6A8" w:rsidR="00A00F7B" w:rsidRDefault="00A00F7B" w:rsidP="002A62CF">
            <w:pPr>
              <w:spacing w:after="0" w:line="240" w:lineRule="auto"/>
              <w:rPr>
                <w:rFonts w:cs="Calibri"/>
              </w:rPr>
            </w:pPr>
          </w:p>
          <w:p w14:paraId="2B29470A" w14:textId="699715B5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6428C11B" w14:textId="0A85086C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2CA0C205" w14:textId="2E4008CB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699E1874" w14:textId="711D09A2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0207707C" w14:textId="77777777" w:rsidR="00CC2AD7" w:rsidRP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5239BC7C" w14:textId="77777777" w:rsidR="00A00F7B" w:rsidRPr="00CC2AD7" w:rsidRDefault="00A00F7B" w:rsidP="002A62CF">
            <w:pPr>
              <w:spacing w:after="0" w:line="240" w:lineRule="auto"/>
              <w:rPr>
                <w:rFonts w:cs="Calibri"/>
              </w:rPr>
            </w:pPr>
            <w:r w:rsidRPr="00CC2AD7">
              <w:rPr>
                <w:rFonts w:cs="Calibri"/>
              </w:rPr>
              <w:t>…………………………………………..</w:t>
            </w:r>
          </w:p>
          <w:p w14:paraId="170DBA19" w14:textId="3F343A0E" w:rsidR="00A00F7B" w:rsidRPr="00CC2AD7" w:rsidRDefault="00CC2AD7" w:rsidP="002A62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objednatel</w:t>
            </w:r>
          </w:p>
        </w:tc>
        <w:tc>
          <w:tcPr>
            <w:tcW w:w="4606" w:type="dxa"/>
          </w:tcPr>
          <w:p w14:paraId="04A9212F" w14:textId="03477139" w:rsidR="00A00F7B" w:rsidRPr="00CC2AD7" w:rsidRDefault="00CC2AD7" w:rsidP="002A62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</w:t>
            </w:r>
            <w:r w:rsidR="00A00F7B" w:rsidRPr="00CC2AD7">
              <w:rPr>
                <w:rFonts w:cs="Calibri"/>
              </w:rPr>
              <w:t xml:space="preserve">V </w:t>
            </w:r>
            <w:r>
              <w:rPr>
                <w:rFonts w:cs="Calibri"/>
              </w:rPr>
              <w:t>Kelčanech</w:t>
            </w:r>
            <w:r w:rsidR="00A00F7B" w:rsidRPr="00CC2AD7">
              <w:rPr>
                <w:rFonts w:cs="Calibri"/>
              </w:rPr>
              <w:t xml:space="preserve">, dne </w:t>
            </w:r>
            <w:r w:rsidR="00D76F8B">
              <w:rPr>
                <w:rFonts w:cs="Calibri"/>
              </w:rPr>
              <w:t>20. 3. 2025</w:t>
            </w:r>
            <w:bookmarkStart w:id="0" w:name="_GoBack"/>
            <w:bookmarkEnd w:id="0"/>
          </w:p>
          <w:p w14:paraId="676AC237" w14:textId="77777777" w:rsidR="00A00F7B" w:rsidRPr="00CC2AD7" w:rsidRDefault="00A00F7B" w:rsidP="002A62CF">
            <w:pPr>
              <w:spacing w:after="0" w:line="240" w:lineRule="auto"/>
              <w:rPr>
                <w:rFonts w:cs="Calibri"/>
              </w:rPr>
            </w:pPr>
          </w:p>
          <w:p w14:paraId="05A9B663" w14:textId="7272F66C" w:rsidR="00A00F7B" w:rsidRDefault="00A00F7B" w:rsidP="002A62CF">
            <w:pPr>
              <w:spacing w:after="0" w:line="240" w:lineRule="auto"/>
              <w:rPr>
                <w:rFonts w:cs="Calibri"/>
              </w:rPr>
            </w:pPr>
          </w:p>
          <w:p w14:paraId="3F6481FA" w14:textId="0DDB1E3A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2A2358B6" w14:textId="290EF617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3E039E22" w14:textId="2BD646A9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56617FBC" w14:textId="756E2DEE" w:rsid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1EE4ED1D" w14:textId="77777777" w:rsidR="00CC2AD7" w:rsidRPr="00CC2AD7" w:rsidRDefault="00CC2AD7" w:rsidP="002A62CF">
            <w:pPr>
              <w:spacing w:after="0" w:line="240" w:lineRule="auto"/>
              <w:rPr>
                <w:rFonts w:cs="Calibri"/>
              </w:rPr>
            </w:pPr>
          </w:p>
          <w:p w14:paraId="5AC6B7D9" w14:textId="77777777" w:rsidR="00A00F7B" w:rsidRPr="00CC2AD7" w:rsidRDefault="00A00F7B" w:rsidP="002A62CF">
            <w:pPr>
              <w:spacing w:after="0" w:line="240" w:lineRule="auto"/>
              <w:rPr>
                <w:rFonts w:cs="Calibri"/>
              </w:rPr>
            </w:pPr>
            <w:r w:rsidRPr="00CC2AD7">
              <w:rPr>
                <w:rFonts w:cs="Calibri"/>
              </w:rPr>
              <w:t>…………………………………………..</w:t>
            </w:r>
          </w:p>
          <w:p w14:paraId="1487EF67" w14:textId="44C00805" w:rsidR="00CC2AD7" w:rsidRPr="00CC2AD7" w:rsidRDefault="00CC2AD7" w:rsidP="002A62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zhotovitel</w:t>
            </w:r>
          </w:p>
          <w:p w14:paraId="3DF807A7" w14:textId="03DBB644" w:rsidR="00A00F7B" w:rsidRPr="00CC2AD7" w:rsidRDefault="00A00F7B" w:rsidP="002A62C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419B6C4" w14:textId="77777777" w:rsidR="00A00F7B" w:rsidRDefault="00A00F7B" w:rsidP="002A62CF"/>
    <w:p w14:paraId="05547BFF" w14:textId="77777777" w:rsidR="00F000FD" w:rsidRPr="003965E6" w:rsidRDefault="00F000FD" w:rsidP="003965E6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14:paraId="2B89496E" w14:textId="4CD2DC99" w:rsidR="0071054B" w:rsidRDefault="0071054B" w:rsidP="00A00F7B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71054B" w:rsidSect="00D355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3143E" w14:textId="77777777" w:rsidR="004D70A5" w:rsidRDefault="004D70A5" w:rsidP="007F0778">
      <w:pPr>
        <w:spacing w:after="0" w:line="240" w:lineRule="auto"/>
      </w:pPr>
      <w:r>
        <w:separator/>
      </w:r>
    </w:p>
  </w:endnote>
  <w:endnote w:type="continuationSeparator" w:id="0">
    <w:p w14:paraId="2C581DBF" w14:textId="77777777" w:rsidR="004D70A5" w:rsidRDefault="004D70A5" w:rsidP="007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175377"/>
      <w:docPartObj>
        <w:docPartGallery w:val="Page Numbers (Bottom of Page)"/>
        <w:docPartUnique/>
      </w:docPartObj>
    </w:sdtPr>
    <w:sdtEndPr/>
    <w:sdtContent>
      <w:p w14:paraId="4BEEF438" w14:textId="35ABF889" w:rsidR="00A00F7B" w:rsidRDefault="00A00F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F8B">
          <w:rPr>
            <w:noProof/>
          </w:rPr>
          <w:t>1</w:t>
        </w:r>
        <w:r>
          <w:fldChar w:fldCharType="end"/>
        </w:r>
      </w:p>
    </w:sdtContent>
  </w:sdt>
  <w:p w14:paraId="59BB5D9D" w14:textId="77777777" w:rsidR="00D3553B" w:rsidRDefault="00D3553B" w:rsidP="00D355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AE0A" w14:textId="77777777" w:rsidR="004D70A5" w:rsidRDefault="004D70A5" w:rsidP="007F0778">
      <w:pPr>
        <w:spacing w:after="0" w:line="240" w:lineRule="auto"/>
      </w:pPr>
      <w:r>
        <w:separator/>
      </w:r>
    </w:p>
  </w:footnote>
  <w:footnote w:type="continuationSeparator" w:id="0">
    <w:p w14:paraId="60EC1020" w14:textId="77777777" w:rsidR="004D70A5" w:rsidRDefault="004D70A5" w:rsidP="007F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65D4" w14:textId="1E34835D" w:rsidR="00A00F7B" w:rsidRDefault="00A00F7B">
    <w:pPr>
      <w:pStyle w:val="Zhlav"/>
    </w:pPr>
    <w:r>
      <w:rPr>
        <w:noProof/>
        <w:lang w:eastAsia="cs-CZ"/>
      </w:rPr>
      <w:drawing>
        <wp:inline distT="0" distB="0" distL="0" distR="0" wp14:anchorId="483D501F" wp14:editId="73378D99">
          <wp:extent cx="1771650" cy="485775"/>
          <wp:effectExtent l="0" t="0" r="0" b="0"/>
          <wp:docPr id="5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  <w:t>č. NPÚ – 450/</w:t>
    </w:r>
    <w:r w:rsidR="002A62CF">
      <w:t>19231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388"/>
    <w:multiLevelType w:val="hybridMultilevel"/>
    <w:tmpl w:val="2D7E90E0"/>
    <w:lvl w:ilvl="0" w:tplc="2AC40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D334A"/>
    <w:multiLevelType w:val="hybridMultilevel"/>
    <w:tmpl w:val="D55263F2"/>
    <w:lvl w:ilvl="0" w:tplc="FFFFFFFF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B64C3B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5B12"/>
    <w:multiLevelType w:val="hybridMultilevel"/>
    <w:tmpl w:val="F58C863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01C75"/>
    <w:multiLevelType w:val="hybridMultilevel"/>
    <w:tmpl w:val="E9F05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7F9"/>
    <w:multiLevelType w:val="hybridMultilevel"/>
    <w:tmpl w:val="CF127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2018"/>
    <w:multiLevelType w:val="hybridMultilevel"/>
    <w:tmpl w:val="0694A6D2"/>
    <w:lvl w:ilvl="0" w:tplc="74A2CA4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B6541"/>
    <w:multiLevelType w:val="hybridMultilevel"/>
    <w:tmpl w:val="4DAE9794"/>
    <w:lvl w:ilvl="0" w:tplc="D1CE59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D74B3"/>
    <w:multiLevelType w:val="hybridMultilevel"/>
    <w:tmpl w:val="6A629EB4"/>
    <w:lvl w:ilvl="0" w:tplc="DFA427C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7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4"/>
  </w:num>
  <w:num w:numId="15">
    <w:abstractNumId w:val="16"/>
  </w:num>
  <w:num w:numId="16">
    <w:abstractNumId w:val="0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FD"/>
    <w:rsid w:val="00000231"/>
    <w:rsid w:val="00132075"/>
    <w:rsid w:val="00207957"/>
    <w:rsid w:val="00294932"/>
    <w:rsid w:val="002A62CF"/>
    <w:rsid w:val="00372E88"/>
    <w:rsid w:val="003965E6"/>
    <w:rsid w:val="003D7F39"/>
    <w:rsid w:val="00441F60"/>
    <w:rsid w:val="0045746D"/>
    <w:rsid w:val="004A2309"/>
    <w:rsid w:val="004C0FCF"/>
    <w:rsid w:val="004D70A5"/>
    <w:rsid w:val="004F3FB3"/>
    <w:rsid w:val="00513A72"/>
    <w:rsid w:val="00695B37"/>
    <w:rsid w:val="0071054B"/>
    <w:rsid w:val="007A1F66"/>
    <w:rsid w:val="007F0778"/>
    <w:rsid w:val="00A00F7B"/>
    <w:rsid w:val="00A17584"/>
    <w:rsid w:val="00B66C23"/>
    <w:rsid w:val="00B92F89"/>
    <w:rsid w:val="00C463C7"/>
    <w:rsid w:val="00CC2AD7"/>
    <w:rsid w:val="00D3553B"/>
    <w:rsid w:val="00D76F8B"/>
    <w:rsid w:val="00DD701E"/>
    <w:rsid w:val="00E11B08"/>
    <w:rsid w:val="00F000FD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23561"/>
  <w15:chartTrackingRefBased/>
  <w15:docId w15:val="{5AB79335-D6C5-4562-A0D1-314AE8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71054B"/>
    <w:pPr>
      <w:keepNext/>
      <w:keepLines/>
      <w:spacing w:before="240" w:after="240" w:line="240" w:lineRule="auto"/>
      <w:ind w:left="284" w:hanging="284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0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F00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0FD"/>
    <w:rPr>
      <w:rFonts w:ascii="Calibri" w:eastAsia="Times New Roman" w:hAnsi="Calibri" w:cs="Times New Roman"/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num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character" w:customStyle="1" w:styleId="psmChar">
    <w:name w:val="písm Char"/>
    <w:link w:val="psm"/>
    <w:rsid w:val="00F000FD"/>
    <w:rPr>
      <w:rFonts w:ascii="Calibri" w:eastAsia="Times New Roman" w:hAnsi="Calibri" w:cs="Times New Roman"/>
      <w:lang w:val="x-none" w:eastAsia="x-none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nhideWhenUsed/>
    <w:rsid w:val="00F000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0FD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FC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FCF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77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778"/>
    <w:rPr>
      <w:rFonts w:ascii="Calibri" w:eastAsia="Times New Roman" w:hAnsi="Calibri" w:cs="Times New Roman"/>
    </w:rPr>
  </w:style>
  <w:style w:type="paragraph" w:styleId="Bezmezer">
    <w:name w:val="No Spacing"/>
    <w:uiPriority w:val="1"/>
    <w:qFormat/>
    <w:rsid w:val="00A00F7B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character" w:customStyle="1" w:styleId="Nadpis1Char">
    <w:name w:val="Nadpis 1 Char"/>
    <w:basedOn w:val="Standardnpsmoodstavce"/>
    <w:link w:val="Nadpis1"/>
    <w:uiPriority w:val="9"/>
    <w:rsid w:val="0071054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odstavec">
    <w:name w:val="Pododstavec"/>
    <w:basedOn w:val="Normln"/>
    <w:qFormat/>
    <w:rsid w:val="0071054B"/>
    <w:pPr>
      <w:spacing w:after="120" w:line="240" w:lineRule="auto"/>
      <w:ind w:left="851" w:hanging="284"/>
      <w:contextualSpacing/>
      <w:jc w:val="both"/>
    </w:pPr>
    <w:rPr>
      <w:rFonts w:ascii="Times New Roman" w:eastAsia="Calibri" w:hAnsi="Times New Roman"/>
      <w:sz w:val="24"/>
    </w:rPr>
  </w:style>
  <w:style w:type="character" w:customStyle="1" w:styleId="object">
    <w:name w:val="object"/>
    <w:rsid w:val="0071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cp:keywords/>
  <dc:description/>
  <cp:lastModifiedBy>-</cp:lastModifiedBy>
  <cp:revision>2</cp:revision>
  <cp:lastPrinted>2025-03-05T13:09:00Z</cp:lastPrinted>
  <dcterms:created xsi:type="dcterms:W3CDTF">2025-04-01T06:56:00Z</dcterms:created>
  <dcterms:modified xsi:type="dcterms:W3CDTF">2025-04-01T06:56:00Z</dcterms:modified>
</cp:coreProperties>
</file>