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CA07DC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CA07DC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CA07DC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CA07DC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CA07DC">
        <w:rPr>
          <w:b w:val="0"/>
          <w:noProof/>
          <w:sz w:val="24"/>
          <w:szCs w:val="24"/>
        </w:rPr>
        <w:t>27. 3. 2025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CA07DC">
        <w:rPr>
          <w:b w:val="0"/>
          <w:noProof/>
          <w:sz w:val="24"/>
          <w:szCs w:val="24"/>
        </w:rPr>
        <w:t>28. 3. 2025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CA07DC">
        <w:rPr>
          <w:b/>
          <w:sz w:val="28"/>
        </w:rPr>
        <w:t>58/25/INVE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CA07DC">
      <w:pPr>
        <w:rPr>
          <w:sz w:val="24"/>
        </w:rPr>
      </w:pPr>
      <w:r>
        <w:rPr>
          <w:sz w:val="24"/>
        </w:rPr>
        <w:t>odstranění náletové zeleně, plotů, a šachty včetně odvozu a likvidace v okolí Tyršovy rozhledny na základě schválení radou města pod usn. č. 43/2024-RADA/2106 ze dne 17.07.2024.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CA07DC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1.Odstranění náletové zeleně, plotů, a šachty v okolí Tyršovy rozhledny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CA07DC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CA07DC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CA07DC">
        <w:rPr>
          <w:b/>
          <w:noProof/>
        </w:rPr>
        <w:t>100 000,00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07DC" w:rsidRDefault="00CA07DC">
      <w:r>
        <w:separator/>
      </w:r>
    </w:p>
  </w:endnote>
  <w:endnote w:type="continuationSeparator" w:id="0">
    <w:p w:rsidR="00CA07DC" w:rsidRDefault="00CA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07DC" w:rsidRDefault="00CA07DC">
      <w:r>
        <w:separator/>
      </w:r>
    </w:p>
  </w:footnote>
  <w:footnote w:type="continuationSeparator" w:id="0">
    <w:p w:rsidR="00CA07DC" w:rsidRDefault="00CA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CA07DC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8029267">
    <w:abstractNumId w:val="0"/>
  </w:num>
  <w:num w:numId="2" w16cid:durableId="98069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DC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A07DC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D724D29-5C50-4114-ACFF-04C03EDD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898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2025-03-31T12:45:00Z</dcterms:created>
  <dcterms:modified xsi:type="dcterms:W3CDTF">2025-03-31T12:46:00Z</dcterms:modified>
</cp:coreProperties>
</file>