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2D873589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SMLO</w:t>
      </w:r>
      <w:bookmarkStart w:id="0" w:name="_GoBack"/>
      <w:bookmarkEnd w:id="0"/>
      <w:r w:rsidRPr="00DC542A">
        <w:rPr>
          <w:b/>
          <w:color w:val="000000"/>
          <w:sz w:val="24"/>
          <w:szCs w:val="24"/>
        </w:rPr>
        <w:t xml:space="preserve">UVA </w:t>
      </w:r>
    </w:p>
    <w:p w14:paraId="66B2822E" w14:textId="1F433BDC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r w:rsidR="007F34B6" w:rsidRPr="00B21B39">
        <w:rPr>
          <w:bCs/>
          <w:i/>
          <w:iCs/>
          <w:color w:val="000000"/>
          <w:sz w:val="20"/>
          <w:szCs w:val="20"/>
        </w:rPr>
        <w:t>ID: EDIH</w:t>
      </w:r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22F20433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</w:t>
            </w:r>
            <w:r w:rsidR="008F53B8">
              <w:rPr>
                <w:color w:val="000000"/>
              </w:rPr>
              <w:t xml:space="preserve"> EUR</w:t>
            </w:r>
            <w:r w:rsidRPr="00DC542A">
              <w:rPr>
                <w:color w:val="000000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3978318B" w:rsidR="008F53B8" w:rsidRPr="008F53B8" w:rsidRDefault="00E11F03" w:rsidP="008F53B8">
            <w:pPr>
              <w:pStyle w:val="Zkladntext"/>
              <w:rPr>
                <w:highlight w:val="green"/>
                <w:lang w:val="cs-CZ" w:eastAsia="cs-CZ"/>
              </w:rPr>
            </w:pPr>
            <w:r w:rsidRPr="00E11F03">
              <w:rPr>
                <w:lang w:val="cs-CZ" w:eastAsia="cs-CZ"/>
              </w:rPr>
              <w:t>XXX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0BB97864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  <w:p w14:paraId="654C3F43" w14:textId="2B5FA212" w:rsidR="008C2106" w:rsidRPr="008C2106" w:rsidRDefault="008C2106" w:rsidP="008C2106">
            <w:pPr>
              <w:pStyle w:val="Zkladntex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8C21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doc. Ing. Josef Černohorský, Ph.D., děkanem Fakulty </w:t>
            </w:r>
            <w:proofErr w:type="spellStart"/>
            <w:r w:rsidRPr="008C2106">
              <w:rPr>
                <w:rFonts w:ascii="Arial" w:hAnsi="Arial" w:cs="Arial"/>
                <w:color w:val="000000" w:themeColor="text1"/>
                <w:sz w:val="22"/>
                <w:szCs w:val="22"/>
              </w:rPr>
              <w:t>mechatroniky</w:t>
            </w:r>
            <w:proofErr w:type="spellEnd"/>
            <w:r w:rsidRPr="008C2106">
              <w:rPr>
                <w:rFonts w:ascii="Arial" w:hAnsi="Arial" w:cs="Arial"/>
                <w:color w:val="000000" w:themeColor="text1"/>
                <w:sz w:val="22"/>
                <w:szCs w:val="22"/>
              </w:rPr>
              <w:t>, informatiky a mezioborových studií</w:t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5811139E" w:rsidR="00FB5329" w:rsidRPr="00DC542A" w:rsidRDefault="00E11F0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E6D8" w14:textId="6148B283" w:rsidR="00AE52AE" w:rsidRPr="008C2106" w:rsidRDefault="00E11F03" w:rsidP="00AE52AE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711A1369" w:rsidR="00FB5329" w:rsidRPr="00DC542A" w:rsidRDefault="00E11F0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1BCBF085" w:rsidR="008136D3" w:rsidRPr="008136D3" w:rsidRDefault="008C210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 w:rsidRPr="008C2106">
              <w:rPr>
                <w:color w:val="000000" w:themeColor="text1"/>
              </w:rPr>
              <w:t>Unipi</w:t>
            </w:r>
            <w:proofErr w:type="spellEnd"/>
            <w:r w:rsidRPr="008C2106">
              <w:rPr>
                <w:color w:val="000000" w:themeColor="text1"/>
              </w:rPr>
              <w:t xml:space="preserve"> Technology s.r.o.</w:t>
            </w:r>
          </w:p>
        </w:tc>
      </w:tr>
      <w:tr w:rsidR="00AE52AE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4DEB695B" w:rsidR="00AE52AE" w:rsidRPr="008136D3" w:rsidRDefault="008C2106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C2106">
              <w:rPr>
                <w:color w:val="000000" w:themeColor="text1"/>
              </w:rPr>
              <w:t>Okružní 834/</w:t>
            </w:r>
            <w:proofErr w:type="gramStart"/>
            <w:r w:rsidRPr="008C2106">
              <w:rPr>
                <w:color w:val="000000" w:themeColor="text1"/>
              </w:rPr>
              <w:t>29A</w:t>
            </w:r>
            <w:proofErr w:type="gramEnd"/>
            <w:r w:rsidRPr="008C2106">
              <w:rPr>
                <w:color w:val="000000" w:themeColor="text1"/>
              </w:rPr>
              <w:t>, Brno - Lesná, 63800, Česká republika</w:t>
            </w:r>
          </w:p>
        </w:tc>
      </w:tr>
      <w:tr w:rsidR="00AE52AE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2E7EF324" w:rsidR="00AE52AE" w:rsidRPr="008136D3" w:rsidRDefault="008C2106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C2106">
              <w:rPr>
                <w:color w:val="000000" w:themeColor="text1"/>
              </w:rPr>
              <w:t>09872248</w:t>
            </w:r>
          </w:p>
        </w:tc>
      </w:tr>
      <w:tr w:rsidR="00AE52AE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640921BE" w:rsidR="00AE52AE" w:rsidRPr="008136D3" w:rsidRDefault="008C2106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C2106">
              <w:rPr>
                <w:color w:val="000000" w:themeColor="text1"/>
              </w:rPr>
              <w:t>CZ09872248</w:t>
            </w:r>
          </w:p>
        </w:tc>
      </w:tr>
      <w:tr w:rsidR="00AE52AE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5DA27ED9" w:rsidR="00AE52AE" w:rsidRPr="008136D3" w:rsidRDefault="00E11F03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AE52AE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3456CF6A" w:rsidR="00AE52AE" w:rsidRPr="008136D3" w:rsidRDefault="00FF098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Ing. Adamem Škorpíkem</w:t>
            </w:r>
            <w:r w:rsidR="008C2106">
              <w:rPr>
                <w:color w:val="000000" w:themeColor="text1"/>
              </w:rPr>
              <w:t>, jednatelem</w:t>
            </w:r>
          </w:p>
        </w:tc>
      </w:tr>
      <w:tr w:rsidR="00AE52AE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5494E370" w:rsidR="00AE52AE" w:rsidRPr="008136D3" w:rsidRDefault="00E11F03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AE52AE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774E0200" w:rsidR="00AE52AE" w:rsidRPr="008136D3" w:rsidRDefault="00E11F03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XXX</w:t>
            </w:r>
          </w:p>
        </w:tc>
      </w:tr>
      <w:tr w:rsidR="00AE52AE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AE52AE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AE52AE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371D90C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471B80B3" w14:textId="0AA66D56" w:rsidR="00AE52AE" w:rsidRPr="00E37BC4" w:rsidRDefault="008C2106" w:rsidP="00AE52AE">
      <w:pPr>
        <w:pStyle w:val="Nadpis2"/>
        <w:numPr>
          <w:ilvl w:val="1"/>
          <w:numId w:val="10"/>
        </w:numPr>
        <w:ind w:left="709"/>
      </w:pPr>
      <w:r w:rsidRPr="008C2106">
        <w:t>EMC testy elektroniky, senzorů, zařízení</w:t>
      </w:r>
    </w:p>
    <w:p w14:paraId="05252AEC" w14:textId="3EBC5CEC" w:rsidR="00AE52AE" w:rsidRPr="00EB159A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2736FF">
        <w:t>XXX</w:t>
      </w:r>
    </w:p>
    <w:p w14:paraId="7DEC55AE" w14:textId="0BA4CA57" w:rsidR="00AE52AE" w:rsidRPr="00D3358C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B159A">
        <w:t xml:space="preserve">Výstup: </w:t>
      </w:r>
      <w:r w:rsidRPr="00EB159A">
        <w:tab/>
      </w:r>
      <w:r w:rsidR="002736FF">
        <w:t>XXX</w:t>
      </w:r>
      <w:r w:rsidRPr="00D3358C">
        <w:t xml:space="preserve">.   </w:t>
      </w:r>
    </w:p>
    <w:p w14:paraId="6E9FEC05" w14:textId="4F3F13C8" w:rsidR="00AE52AE" w:rsidRPr="00E37BC4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>
        <w:rPr>
          <w:color w:val="000000" w:themeColor="text1"/>
        </w:rPr>
        <w:t>60</w:t>
      </w:r>
      <w:r w:rsidRPr="00E37BC4">
        <w:t xml:space="preserve"> hod.</w:t>
      </w:r>
    </w:p>
    <w:p w14:paraId="082E66BE" w14:textId="77777777" w:rsidR="00AE52AE" w:rsidRPr="003017D0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75EE7A51" w14:textId="77777777" w:rsidR="00AE52AE" w:rsidRDefault="00AE52AE" w:rsidP="00AE52AE">
      <w:pPr>
        <w:pStyle w:val="Zkladntext"/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lastRenderedPageBreak/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AE52AE" w:rsidRPr="00E37BC4" w14:paraId="2A1B55D2" w14:textId="77777777" w:rsidTr="00DD3B49">
        <w:tc>
          <w:tcPr>
            <w:tcW w:w="2188" w:type="dxa"/>
          </w:tcPr>
          <w:p w14:paraId="2C2167EF" w14:textId="32192B9F" w:rsidR="00AE52AE" w:rsidRPr="00E37BC4" w:rsidRDefault="00AE52AE" w:rsidP="00AE52AE">
            <w:r w:rsidRPr="00E37BC4">
              <w:t xml:space="preserve">Ad. 2.1. </w:t>
            </w:r>
            <w:r w:rsidR="002736FF">
              <w:rPr>
                <w:color w:val="000000" w:themeColor="text1"/>
              </w:rPr>
              <w:t>XXX</w:t>
            </w:r>
          </w:p>
        </w:tc>
        <w:tc>
          <w:tcPr>
            <w:tcW w:w="2172" w:type="dxa"/>
          </w:tcPr>
          <w:p w14:paraId="189CFD3D" w14:textId="148B8CE7" w:rsidR="00AE52AE" w:rsidRPr="003017D0" w:rsidRDefault="00AE52AE" w:rsidP="00AE52AE">
            <w:pPr>
              <w:jc w:val="center"/>
            </w:pPr>
            <w:r>
              <w:rPr>
                <w:color w:val="000000" w:themeColor="text1"/>
              </w:rPr>
              <w:t>60</w:t>
            </w:r>
            <w:r w:rsidRPr="00E37BC4">
              <w:t xml:space="preserve"> hod.</w:t>
            </w:r>
          </w:p>
        </w:tc>
        <w:tc>
          <w:tcPr>
            <w:tcW w:w="2173" w:type="dxa"/>
          </w:tcPr>
          <w:p w14:paraId="59ABD697" w14:textId="0CE05C33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305438FF" w14:textId="1972EBC3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 xml:space="preserve"> </w:t>
            </w:r>
            <w:r w:rsidR="00C95C8C">
              <w:rPr>
                <w:color w:val="000000" w:themeColor="text1"/>
              </w:rPr>
              <w:t>5 454,60</w:t>
            </w:r>
            <w:r>
              <w:rPr>
                <w:color w:val="000000" w:themeColor="text1"/>
              </w:rPr>
              <w:t xml:space="preserve"> EUR</w:t>
            </w:r>
          </w:p>
        </w:tc>
      </w:tr>
      <w:tr w:rsidR="00AE52AE" w:rsidRPr="00E37BC4" w14:paraId="5A0CBBF2" w14:textId="77777777" w:rsidTr="00DD3B49">
        <w:tc>
          <w:tcPr>
            <w:tcW w:w="2188" w:type="dxa"/>
          </w:tcPr>
          <w:p w14:paraId="3ACABB34" w14:textId="70257539" w:rsidR="00AE52AE" w:rsidRPr="00BB7E42" w:rsidRDefault="00AE52AE" w:rsidP="00AE52AE"/>
        </w:tc>
        <w:tc>
          <w:tcPr>
            <w:tcW w:w="2172" w:type="dxa"/>
          </w:tcPr>
          <w:p w14:paraId="0E7C9BC0" w14:textId="6C0E0011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</w:tcPr>
          <w:p w14:paraId="5D6FD0C4" w14:textId="46314AC3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14:paraId="25A8DC00" w14:textId="5C8A7181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</w:tr>
      <w:tr w:rsidR="00AE52AE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AE52AE" w:rsidRPr="00E37BC4" w:rsidRDefault="00AE52AE" w:rsidP="00AE52AE">
            <w:pPr>
              <w:jc w:val="left"/>
            </w:pPr>
            <w:r w:rsidRPr="00E37BC4">
              <w:t>CELKOVÁ HODNOTA SLUŽBY</w:t>
            </w:r>
          </w:p>
        </w:tc>
        <w:tc>
          <w:tcPr>
            <w:tcW w:w="2167" w:type="dxa"/>
          </w:tcPr>
          <w:p w14:paraId="4FE52333" w14:textId="2A9BCDA7" w:rsidR="00AE52AE" w:rsidRPr="00BB7E42" w:rsidRDefault="00C95C8C" w:rsidP="00AE52AE">
            <w:pPr>
              <w:jc w:val="center"/>
            </w:pPr>
            <w:r>
              <w:rPr>
                <w:color w:val="000000" w:themeColor="text1"/>
              </w:rPr>
              <w:t>5 454,60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</w:tr>
    </w:tbl>
    <w:p w14:paraId="1D27023F" w14:textId="5613F361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3378B99F" w14:textId="77777777" w:rsidTr="00DD3B49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AE52AE" w:rsidRPr="00E37BC4" w14:paraId="34C7CF4B" w14:textId="77777777" w:rsidTr="00DD3B49">
        <w:tc>
          <w:tcPr>
            <w:tcW w:w="2187" w:type="dxa"/>
          </w:tcPr>
          <w:p w14:paraId="3975E8E5" w14:textId="0471D037" w:rsidR="00AE52AE" w:rsidRPr="00E37BC4" w:rsidRDefault="00AE52AE" w:rsidP="00AE52AE">
            <w:r w:rsidRPr="00E37BC4">
              <w:t xml:space="preserve">Ad. 2.1. </w:t>
            </w:r>
            <w:r w:rsidR="002736FF">
              <w:rPr>
                <w:color w:val="000000" w:themeColor="text1"/>
              </w:rPr>
              <w:t>XXX</w:t>
            </w:r>
          </w:p>
        </w:tc>
        <w:tc>
          <w:tcPr>
            <w:tcW w:w="2172" w:type="dxa"/>
          </w:tcPr>
          <w:p w14:paraId="7B7474C0" w14:textId="5FDF40B3" w:rsidR="00AE52AE" w:rsidRPr="003017D0" w:rsidRDefault="00AE52AE" w:rsidP="00AE52AE">
            <w:pPr>
              <w:jc w:val="center"/>
            </w:pPr>
            <w:r>
              <w:rPr>
                <w:color w:val="000000" w:themeColor="text1"/>
              </w:rPr>
              <w:t>60</w:t>
            </w:r>
            <w:r w:rsidRPr="00E37BC4">
              <w:t xml:space="preserve"> hod.</w:t>
            </w:r>
          </w:p>
        </w:tc>
        <w:tc>
          <w:tcPr>
            <w:tcW w:w="2173" w:type="dxa"/>
          </w:tcPr>
          <w:p w14:paraId="3DAFE89B" w14:textId="19DD1BA9" w:rsidR="00AE52AE" w:rsidRPr="00E37BC4" w:rsidRDefault="00C95C8C" w:rsidP="00AE52AE">
            <w:pPr>
              <w:jc w:val="center"/>
            </w:pPr>
            <w:r>
              <w:rPr>
                <w:color w:val="000000" w:themeColor="text1"/>
              </w:rPr>
              <w:t>15</w:t>
            </w:r>
            <w:r w:rsidR="00AE52AE">
              <w:rPr>
                <w:color w:val="000000" w:themeColor="text1"/>
              </w:rPr>
              <w:t>,- EUR</w:t>
            </w:r>
          </w:p>
        </w:tc>
        <w:tc>
          <w:tcPr>
            <w:tcW w:w="2168" w:type="dxa"/>
          </w:tcPr>
          <w:p w14:paraId="207B49B8" w14:textId="4F572791" w:rsidR="00AE52AE" w:rsidRPr="00E37BC4" w:rsidRDefault="00C95C8C" w:rsidP="00AE52AE">
            <w:pPr>
              <w:jc w:val="center"/>
            </w:pPr>
            <w:r>
              <w:rPr>
                <w:color w:val="000000" w:themeColor="text1"/>
              </w:rPr>
              <w:t>90</w:t>
            </w:r>
            <w:r w:rsidR="00AE52AE">
              <w:rPr>
                <w:color w:val="000000" w:themeColor="text1"/>
              </w:rPr>
              <w:t>0,- EUR</w:t>
            </w:r>
          </w:p>
        </w:tc>
      </w:tr>
      <w:tr w:rsidR="00AE52AE" w:rsidRPr="00E37BC4" w14:paraId="748B41F5" w14:textId="77777777" w:rsidTr="00DD3B49">
        <w:tc>
          <w:tcPr>
            <w:tcW w:w="2187" w:type="dxa"/>
          </w:tcPr>
          <w:p w14:paraId="7068339B" w14:textId="47046975" w:rsidR="00AE52AE" w:rsidRPr="00BB7E42" w:rsidRDefault="00AE52AE" w:rsidP="00AE52AE"/>
        </w:tc>
        <w:tc>
          <w:tcPr>
            <w:tcW w:w="2172" w:type="dxa"/>
          </w:tcPr>
          <w:p w14:paraId="6890A676" w14:textId="63797EDA" w:rsidR="00AE52AE" w:rsidRPr="00BB7E42" w:rsidRDefault="00AE52AE" w:rsidP="00AE52AE">
            <w:pPr>
              <w:jc w:val="center"/>
            </w:pPr>
          </w:p>
        </w:tc>
        <w:tc>
          <w:tcPr>
            <w:tcW w:w="2173" w:type="dxa"/>
          </w:tcPr>
          <w:p w14:paraId="104EDEF4" w14:textId="587033A1" w:rsidR="00AE52AE" w:rsidRPr="00E37BC4" w:rsidRDefault="00AE52AE" w:rsidP="00AE52AE">
            <w:pPr>
              <w:jc w:val="center"/>
            </w:pPr>
          </w:p>
        </w:tc>
        <w:tc>
          <w:tcPr>
            <w:tcW w:w="2168" w:type="dxa"/>
          </w:tcPr>
          <w:p w14:paraId="3CCBE133" w14:textId="5D95D744" w:rsidR="00AE52AE" w:rsidRPr="00E37BC4" w:rsidRDefault="00AE52AE" w:rsidP="00AE52AE">
            <w:pPr>
              <w:jc w:val="center"/>
            </w:pPr>
          </w:p>
        </w:tc>
      </w:tr>
      <w:tr w:rsidR="00AE52AE" w:rsidRPr="00E37BC4" w14:paraId="3A74612A" w14:textId="77777777" w:rsidTr="00DD3B49">
        <w:tc>
          <w:tcPr>
            <w:tcW w:w="6532" w:type="dxa"/>
            <w:gridSpan w:val="3"/>
          </w:tcPr>
          <w:p w14:paraId="0F18DFC0" w14:textId="64DEFF63" w:rsidR="00AE52AE" w:rsidRPr="00E37BC4" w:rsidRDefault="00AE52AE" w:rsidP="00AE52AE">
            <w:pPr>
              <w:jc w:val="left"/>
            </w:pPr>
            <w:r w:rsidRPr="00E37BC4">
              <w:t>CELKOVÁ CENA SLUŽBY HRAZENÁ PŘÍJEMCEM</w:t>
            </w:r>
          </w:p>
        </w:tc>
        <w:tc>
          <w:tcPr>
            <w:tcW w:w="2168" w:type="dxa"/>
          </w:tcPr>
          <w:p w14:paraId="484C8418" w14:textId="7531BF53" w:rsidR="00AE52AE" w:rsidRPr="00BB7E42" w:rsidRDefault="00C95C8C" w:rsidP="00AE52AE">
            <w:pPr>
              <w:jc w:val="center"/>
            </w:pPr>
            <w:r>
              <w:rPr>
                <w:color w:val="000000" w:themeColor="text1"/>
              </w:rPr>
              <w:t>90</w:t>
            </w:r>
            <w:r w:rsidR="00AE52AE">
              <w:rPr>
                <w:color w:val="000000" w:themeColor="text1"/>
              </w:rPr>
              <w:t>0,- EUR</w:t>
            </w:r>
          </w:p>
        </w:tc>
      </w:tr>
    </w:tbl>
    <w:p w14:paraId="3C8A124D" w14:textId="77777777" w:rsidR="001B1E6B" w:rsidRPr="001B1E6B" w:rsidRDefault="001B1E6B" w:rsidP="001B1E6B"/>
    <w:p w14:paraId="5BA9B36A" w14:textId="5D14A2A6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C95C8C">
        <w:rPr>
          <w:color w:val="000000" w:themeColor="text1"/>
        </w:rPr>
        <w:t>90</w:t>
      </w:r>
      <w:r w:rsidR="00AE52AE">
        <w:rPr>
          <w:color w:val="000000" w:themeColor="text1"/>
        </w:rPr>
        <w:t>0,-</w:t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C95C8C">
        <w:rPr>
          <w:color w:val="000000" w:themeColor="text1"/>
        </w:rPr>
        <w:t>1 145,47</w:t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0447EB21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lastRenderedPageBreak/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22793224" w14:textId="086742B3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</w:t>
      </w:r>
      <w:proofErr w:type="spellStart"/>
      <w:r w:rsidR="009F41C6">
        <w:rPr>
          <w:color w:val="000000"/>
        </w:rPr>
        <w:t>minimis</w:t>
      </w:r>
      <w:proofErr w:type="spellEnd"/>
      <w:r w:rsidR="009F41C6">
        <w:rPr>
          <w:color w:val="000000"/>
        </w:rPr>
        <w:t xml:space="preserve">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</w:t>
      </w:r>
      <w:proofErr w:type="spellStart"/>
      <w:r w:rsidR="00CE70D2">
        <w:rPr>
          <w:color w:val="000000"/>
        </w:rPr>
        <w:t>minimis</w:t>
      </w:r>
      <w:proofErr w:type="spellEnd"/>
      <w:r w:rsidR="00CE70D2">
        <w:rPr>
          <w:color w:val="000000"/>
        </w:rPr>
        <w:t xml:space="preserve">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AE52AE" w:rsidRPr="002A64EF" w14:paraId="4C8E50A0" w14:textId="77777777" w:rsidTr="00EB6CA2">
        <w:tc>
          <w:tcPr>
            <w:tcW w:w="2185" w:type="dxa"/>
            <w:vAlign w:val="center"/>
          </w:tcPr>
          <w:p w14:paraId="3B183345" w14:textId="5AD93160" w:rsidR="00AE52AE" w:rsidRPr="00E96F7D" w:rsidRDefault="00C95C8C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5 454,60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2A739F55" w14:textId="4CC348B5" w:rsidR="00AE52AE" w:rsidRPr="00E96F7D" w:rsidRDefault="00C95C8C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900</w:t>
            </w:r>
            <w:r w:rsidR="00AE52AE">
              <w:rPr>
                <w:color w:val="000000" w:themeColor="text1"/>
              </w:rPr>
              <w:t>,- EUR</w:t>
            </w:r>
          </w:p>
        </w:tc>
        <w:tc>
          <w:tcPr>
            <w:tcW w:w="2173" w:type="dxa"/>
          </w:tcPr>
          <w:p w14:paraId="30B43B60" w14:textId="36732216" w:rsidR="00AE52AE" w:rsidRPr="00E96F7D" w:rsidRDefault="00C95C8C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4 554,60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0D568DE5" w14:textId="71BC1B64" w:rsidR="00AE52AE" w:rsidRPr="00E96F7D" w:rsidRDefault="00C95C8C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2 277,30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1482B760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23EA9A3D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566CB863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 xml:space="preserve">ny hrazené Příjemcem, výše veřejných prostředků a výše </w:t>
      </w:r>
      <w:r w:rsidR="006C0846">
        <w:lastRenderedPageBreak/>
        <w:t>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 xml:space="preserve">v registru de </w:t>
      </w:r>
      <w:proofErr w:type="spellStart"/>
      <w:r w:rsidR="00D2045F">
        <w:rPr>
          <w:color w:val="000000" w:themeColor="text1"/>
        </w:rPr>
        <w:t>minimis</w:t>
      </w:r>
      <w:proofErr w:type="spellEnd"/>
      <w:r w:rsidR="00D2045F">
        <w:rPr>
          <w:color w:val="000000" w:themeColor="text1"/>
        </w:rPr>
        <w:t>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v registru, kdy v případě poskytnutí služeb ve vyšším rozsahu než je předpokládaná časová kapacita sjednaná v čl. 2 této smlouvy, dojde současně k navýšení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, kterou je následně nutné evidovat v registru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</w:t>
      </w:r>
      <w:proofErr w:type="spellStart"/>
      <w:r w:rsidR="00900D68">
        <w:rPr>
          <w:color w:val="000000" w:themeColor="text1"/>
        </w:rPr>
        <w:t>minimis</w:t>
      </w:r>
      <w:proofErr w:type="spellEnd"/>
      <w:r w:rsidR="00900D68">
        <w:rPr>
          <w:color w:val="000000" w:themeColor="text1"/>
        </w:rPr>
        <w:t xml:space="preserve">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3F422F32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AE52AE">
        <w:rPr>
          <w:color w:val="000000" w:themeColor="text1"/>
        </w:rPr>
        <w:t>1.4.2025</w:t>
      </w:r>
      <w:r w:rsidRPr="00401139">
        <w:rPr>
          <w:color w:val="000000" w:themeColor="text1"/>
        </w:rPr>
        <w:t xml:space="preserve">     do  </w:t>
      </w:r>
      <w:r w:rsidR="00C95C8C">
        <w:rPr>
          <w:color w:val="000000" w:themeColor="text1"/>
        </w:rPr>
        <w:t>31.5</w:t>
      </w:r>
      <w:r w:rsidR="00AE52AE">
        <w:rPr>
          <w:color w:val="000000" w:themeColor="text1"/>
        </w:rPr>
        <w:t>.202</w:t>
      </w:r>
      <w:r w:rsidR="00C95C8C">
        <w:rPr>
          <w:color w:val="000000" w:themeColor="text1"/>
        </w:rPr>
        <w:t>5</w:t>
      </w:r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7DE38B30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C95C8C" w:rsidRPr="00C95C8C">
        <w:rPr>
          <w:color w:val="000000" w:themeColor="text1"/>
        </w:rPr>
        <w:t>Okružní 834/29A, Brno - Lesná, 63800</w:t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5CF30C40" w14:textId="6884488F" w:rsidR="0074795E" w:rsidRPr="00C84C17" w:rsidRDefault="008B5C4F" w:rsidP="0074795E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74795E">
        <w:rPr>
          <w:color w:val="000000" w:themeColor="text1"/>
        </w:rPr>
        <w:t>poskytnout potřebná data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lastRenderedPageBreak/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A2BDBB1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</w:t>
      </w: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lastRenderedPageBreak/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7F9804B7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E5D22BA" w14:textId="3A9D63AD" w:rsidR="006B7781" w:rsidRDefault="006B7781" w:rsidP="00CB74F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74795E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795E">
        <w:rPr>
          <w:bCs/>
          <w:color w:val="000000"/>
        </w:rPr>
        <w:instrText xml:space="preserve"> FORMTEXT </w:instrText>
      </w:r>
      <w:r w:rsidRPr="0074795E">
        <w:rPr>
          <w:bCs/>
          <w:color w:val="000000"/>
        </w:rPr>
      </w:r>
      <w:r w:rsidRPr="0074795E">
        <w:rPr>
          <w:bCs/>
          <w:color w:val="000000"/>
        </w:rPr>
        <w:fldChar w:fldCharType="separate"/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74795E">
        <w:rPr>
          <w:bCs/>
          <w:color w:val="000000"/>
        </w:rPr>
        <w:fldChar w:fldCharType="end"/>
      </w:r>
      <w:r w:rsidRPr="006B7781">
        <w:t xml:space="preserve"> 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</w:t>
      </w:r>
      <w:proofErr w:type="spellStart"/>
      <w:r w:rsidRPr="006B7781">
        <w:t>anonymizace</w:t>
      </w:r>
      <w:proofErr w:type="spellEnd"/>
      <w:r w:rsidRPr="006B7781">
        <w:t xml:space="preserve"> a nebudou ve smyslu zákona o registru smluv zveřejněny. Poskytovatel nenese žádnou odpovědnost za zveřejnění takto neoznačených údajů.</w:t>
      </w:r>
    </w:p>
    <w:p w14:paraId="718235DC" w14:textId="05F9E495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 xml:space="preserve">estné prohlášení žadatele o podporu v režimu de </w:t>
      </w:r>
      <w:proofErr w:type="spellStart"/>
      <w:r w:rsidRPr="00606A65">
        <w:rPr>
          <w:rFonts w:ascii="Arial" w:hAnsi="Arial" w:cs="Arial"/>
          <w:sz w:val="22"/>
          <w:szCs w:val="22"/>
          <w:lang w:val="cs-CZ"/>
        </w:rPr>
        <w:t>minimis</w:t>
      </w:r>
      <w:proofErr w:type="spellEnd"/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42F1C085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4F7376C5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4637D6" w14:textId="2CBBCD2C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BBAE3EE" w14:textId="0BD256A8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1F53154B" w14:textId="77777777" w:rsidR="00DB0C80" w:rsidRPr="00CC21FF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217E295D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2736FF">
              <w:rPr>
                <w:sz w:val="24"/>
                <w:szCs w:val="24"/>
              </w:rPr>
              <w:t>26.3.2025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070CA993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FF098E">
              <w:rPr>
                <w:sz w:val="24"/>
                <w:szCs w:val="24"/>
              </w:rPr>
              <w:t>Ing. Adam Škorpík</w:t>
            </w:r>
          </w:p>
          <w:p w14:paraId="487D8459" w14:textId="3DB318E4" w:rsidR="008B5C4F" w:rsidRPr="00503DFE" w:rsidRDefault="008B5C4F" w:rsidP="0074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F72E3">
              <w:rPr>
                <w:sz w:val="24"/>
                <w:szCs w:val="24"/>
              </w:rPr>
              <w:t>Funkce jednatel</w:t>
            </w:r>
          </w:p>
          <w:p w14:paraId="124B1BA2" w14:textId="4183C3EB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74795E">
              <w:rPr>
                <w:sz w:val="24"/>
                <w:szCs w:val="24"/>
              </w:rPr>
              <w:t> </w:t>
            </w:r>
            <w:r w:rsidR="00C95C8C">
              <w:rPr>
                <w:sz w:val="24"/>
                <w:szCs w:val="24"/>
              </w:rPr>
              <w:t>Brně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2736FF">
              <w:rPr>
                <w:sz w:val="24"/>
                <w:szCs w:val="24"/>
              </w:rPr>
              <w:t>20.3.2025</w:t>
            </w:r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C0092F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7D2D2B1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8DBC59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238D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76A0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1F815043" w14:textId="77777777" w:rsidR="00C95C8C" w:rsidRDefault="006B7781" w:rsidP="00C95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="00C95C8C">
              <w:rPr>
                <w:color w:val="000000" w:themeColor="text1"/>
              </w:rPr>
              <w:t>doc. Ing. Josef Černohorský, </w:t>
            </w:r>
            <w:proofErr w:type="spellStart"/>
            <w:proofErr w:type="gramStart"/>
            <w:r w:rsidR="00C95C8C">
              <w:rPr>
                <w:color w:val="000000" w:themeColor="text1"/>
              </w:rPr>
              <w:t>Ph.D</w:t>
            </w:r>
            <w:proofErr w:type="spellEnd"/>
            <w:proofErr w:type="gramEnd"/>
          </w:p>
          <w:p w14:paraId="66EAF66C" w14:textId="3EF0DD1A" w:rsidR="006B7781" w:rsidRDefault="006B7781" w:rsidP="006B7781">
            <w:pPr>
              <w:rPr>
                <w:sz w:val="24"/>
                <w:szCs w:val="24"/>
              </w:rPr>
            </w:pPr>
          </w:p>
          <w:p w14:paraId="5EFC698B" w14:textId="2EC512A4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1634E">
              <w:rPr>
                <w:sz w:val="24"/>
                <w:szCs w:val="24"/>
              </w:rPr>
              <w:t>Funkce děkan</w:t>
            </w:r>
            <w:r w:rsidR="00C95C8C">
              <w:rPr>
                <w:color w:val="000000" w:themeColor="text1"/>
              </w:rPr>
              <w:t xml:space="preserve"> Fakulty </w:t>
            </w:r>
            <w:proofErr w:type="spellStart"/>
            <w:r w:rsidR="00C95C8C">
              <w:rPr>
                <w:color w:val="000000" w:themeColor="text1"/>
              </w:rPr>
              <w:t>mechatroniky</w:t>
            </w:r>
            <w:proofErr w:type="spellEnd"/>
            <w:r w:rsidR="00C95C8C">
              <w:rPr>
                <w:color w:val="000000" w:themeColor="text1"/>
              </w:rPr>
              <w:t>, informatiky a mezioborových studií</w:t>
            </w:r>
          </w:p>
          <w:p w14:paraId="1469F14F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349AEE74" w14:textId="46362F26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2736FF">
              <w:rPr>
                <w:sz w:val="24"/>
                <w:szCs w:val="24"/>
              </w:rPr>
              <w:t>28.3.2025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3C53" w14:textId="77777777" w:rsidR="00030B76" w:rsidRDefault="00030B76" w:rsidP="00DC542A">
      <w:pPr>
        <w:spacing w:line="240" w:lineRule="auto"/>
      </w:pPr>
      <w:r>
        <w:separator/>
      </w:r>
    </w:p>
  </w:endnote>
  <w:endnote w:type="continuationSeparator" w:id="0">
    <w:p w14:paraId="5FC80AE4" w14:textId="77777777" w:rsidR="00030B76" w:rsidRDefault="00030B76" w:rsidP="00DC542A">
      <w:pPr>
        <w:spacing w:line="240" w:lineRule="auto"/>
      </w:pPr>
      <w:r>
        <w:continuationSeparator/>
      </w:r>
    </w:p>
  </w:endnote>
  <w:endnote w:type="continuationNotice" w:id="1">
    <w:p w14:paraId="526C7B74" w14:textId="77777777" w:rsidR="00030B76" w:rsidRDefault="00030B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DE2A" w14:textId="79659E42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4A755412" wp14:editId="12270764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FA413" w14:textId="77777777" w:rsidR="00030B76" w:rsidRDefault="00030B76" w:rsidP="00DC542A">
      <w:pPr>
        <w:spacing w:line="240" w:lineRule="auto"/>
      </w:pPr>
      <w:r>
        <w:separator/>
      </w:r>
    </w:p>
  </w:footnote>
  <w:footnote w:type="continuationSeparator" w:id="0">
    <w:p w14:paraId="215C6E48" w14:textId="77777777" w:rsidR="00030B76" w:rsidRDefault="00030B76" w:rsidP="00DC542A">
      <w:pPr>
        <w:spacing w:line="240" w:lineRule="auto"/>
      </w:pPr>
      <w:r>
        <w:continuationSeparator/>
      </w:r>
    </w:p>
  </w:footnote>
  <w:footnote w:type="continuationNotice" w:id="1">
    <w:p w14:paraId="71B5EBFE" w14:textId="77777777" w:rsidR="00030B76" w:rsidRDefault="00030B76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632F241" w14:textId="3CF614CD" w:rsidR="00606ED4" w:rsidRDefault="00606ED4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1312" behindDoc="1" locked="0" layoutInCell="1" allowOverlap="1" wp14:anchorId="4788DD81" wp14:editId="5669148A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E72AB5" wp14:editId="1894090F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F45486" w14:textId="77777777" w:rsidR="00606ED4" w:rsidRDefault="00606ED4" w:rsidP="003A1D1B">
        <w:pPr>
          <w:pStyle w:val="Zpat"/>
          <w:jc w:val="right"/>
        </w:pPr>
      </w:p>
      <w:p w14:paraId="244F6EBD" w14:textId="723D69D3" w:rsidR="00606ED4" w:rsidRDefault="00606ED4" w:rsidP="003A1D1B">
        <w:pPr>
          <w:pStyle w:val="Zpat"/>
          <w:jc w:val="right"/>
        </w:pPr>
      </w:p>
      <w:p w14:paraId="01CA19DE" w14:textId="6C519141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C9D">
          <w:rPr>
            <w:noProof/>
          </w:rPr>
          <w:t>5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30B76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3136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2E3"/>
    <w:rsid w:val="000F738E"/>
    <w:rsid w:val="000F7C47"/>
    <w:rsid w:val="00101C92"/>
    <w:rsid w:val="00104CE7"/>
    <w:rsid w:val="00105016"/>
    <w:rsid w:val="00106876"/>
    <w:rsid w:val="00107143"/>
    <w:rsid w:val="00107C83"/>
    <w:rsid w:val="0011634E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0B23"/>
    <w:rsid w:val="0024617F"/>
    <w:rsid w:val="00251D98"/>
    <w:rsid w:val="00256B76"/>
    <w:rsid w:val="00260B37"/>
    <w:rsid w:val="00261774"/>
    <w:rsid w:val="00263D88"/>
    <w:rsid w:val="002663DB"/>
    <w:rsid w:val="00267F77"/>
    <w:rsid w:val="00270487"/>
    <w:rsid w:val="00272425"/>
    <w:rsid w:val="002736FF"/>
    <w:rsid w:val="00281497"/>
    <w:rsid w:val="002855D9"/>
    <w:rsid w:val="00286A37"/>
    <w:rsid w:val="00287347"/>
    <w:rsid w:val="00287F79"/>
    <w:rsid w:val="00291C8F"/>
    <w:rsid w:val="00292A44"/>
    <w:rsid w:val="00297C97"/>
    <w:rsid w:val="002A6381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1DAC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410E"/>
    <w:rsid w:val="00387CB3"/>
    <w:rsid w:val="00393E36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08F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4E66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22F3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6FC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A64A3"/>
    <w:rsid w:val="005B1D4A"/>
    <w:rsid w:val="005C04BC"/>
    <w:rsid w:val="005C0C87"/>
    <w:rsid w:val="005C269B"/>
    <w:rsid w:val="005C74A0"/>
    <w:rsid w:val="005D0683"/>
    <w:rsid w:val="005D4ED1"/>
    <w:rsid w:val="005D4F0B"/>
    <w:rsid w:val="005F0214"/>
    <w:rsid w:val="005F1E12"/>
    <w:rsid w:val="00606A65"/>
    <w:rsid w:val="00606ED4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977EF"/>
    <w:rsid w:val="006A0E19"/>
    <w:rsid w:val="006A4101"/>
    <w:rsid w:val="006A439C"/>
    <w:rsid w:val="006A7477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645D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4795E"/>
    <w:rsid w:val="00750918"/>
    <w:rsid w:val="00750F49"/>
    <w:rsid w:val="0075525B"/>
    <w:rsid w:val="00760B13"/>
    <w:rsid w:val="00762511"/>
    <w:rsid w:val="00763F8C"/>
    <w:rsid w:val="00764B3D"/>
    <w:rsid w:val="0076717E"/>
    <w:rsid w:val="00767DF0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4B6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61909"/>
    <w:rsid w:val="00870283"/>
    <w:rsid w:val="00871844"/>
    <w:rsid w:val="00874ADE"/>
    <w:rsid w:val="008768D7"/>
    <w:rsid w:val="008904F8"/>
    <w:rsid w:val="00890673"/>
    <w:rsid w:val="008914A8"/>
    <w:rsid w:val="008918E0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106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8F53B8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C3999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BF5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2214"/>
    <w:rsid w:val="00A97155"/>
    <w:rsid w:val="00AB2A77"/>
    <w:rsid w:val="00AB47BF"/>
    <w:rsid w:val="00AC301A"/>
    <w:rsid w:val="00AC4584"/>
    <w:rsid w:val="00AE320C"/>
    <w:rsid w:val="00AE43DB"/>
    <w:rsid w:val="00AE4F93"/>
    <w:rsid w:val="00AE52AE"/>
    <w:rsid w:val="00AF0C01"/>
    <w:rsid w:val="00AF120D"/>
    <w:rsid w:val="00AF1832"/>
    <w:rsid w:val="00AF533A"/>
    <w:rsid w:val="00AF7C87"/>
    <w:rsid w:val="00B00E85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5C8C"/>
    <w:rsid w:val="00C977CA"/>
    <w:rsid w:val="00CA373A"/>
    <w:rsid w:val="00CA428F"/>
    <w:rsid w:val="00CA4B6E"/>
    <w:rsid w:val="00CB03C4"/>
    <w:rsid w:val="00CB22D9"/>
    <w:rsid w:val="00CB35C4"/>
    <w:rsid w:val="00CB53A3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0DF6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03"/>
    <w:rsid w:val="00E11F40"/>
    <w:rsid w:val="00E15622"/>
    <w:rsid w:val="00E17EEC"/>
    <w:rsid w:val="00E20294"/>
    <w:rsid w:val="00E206CB"/>
    <w:rsid w:val="00E206DD"/>
    <w:rsid w:val="00E2088C"/>
    <w:rsid w:val="00E23E70"/>
    <w:rsid w:val="00E26684"/>
    <w:rsid w:val="00E26B18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72105"/>
    <w:rsid w:val="00E80015"/>
    <w:rsid w:val="00E811CC"/>
    <w:rsid w:val="00E877F7"/>
    <w:rsid w:val="00E94FAD"/>
    <w:rsid w:val="00E96F7D"/>
    <w:rsid w:val="00EA1592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5C8C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4AF6"/>
    <w:rsid w:val="00F06E77"/>
    <w:rsid w:val="00F14AE8"/>
    <w:rsid w:val="00F2075C"/>
    <w:rsid w:val="00F2075D"/>
    <w:rsid w:val="00F25DF2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63A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A306F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098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6e0fb9b0-b993-473a-b020-0e26f7bcde7a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79BE4-15AE-4316-A45E-9028FAF16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9A0B7-512C-44B2-9F75-B3F43974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2420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3</cp:revision>
  <cp:lastPrinted>2024-04-30T07:33:00Z</cp:lastPrinted>
  <dcterms:created xsi:type="dcterms:W3CDTF">2025-03-31T12:03:00Z</dcterms:created>
  <dcterms:modified xsi:type="dcterms:W3CDTF">2025-03-31T12:14:00Z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