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011" w:rsidRDefault="00CD2011" w:rsidP="00CD2011">
      <w:pPr>
        <w:pStyle w:val="F2-zkladn"/>
        <w:rPr>
          <w:b/>
          <w:highlight w:val="yellow"/>
        </w:rPr>
      </w:pPr>
      <w:bookmarkStart w:id="0" w:name="_GoBack"/>
      <w:bookmarkEnd w:id="0"/>
    </w:p>
    <w:p w:rsidR="00CD2011" w:rsidRDefault="00797957" w:rsidP="00CD2011">
      <w:pPr>
        <w:pStyle w:val="F2-zkladn"/>
      </w:pPr>
      <w:r w:rsidRPr="00E269B9">
        <w:rPr>
          <w:b/>
        </w:rPr>
        <w:t>Pražská plynárenská Distribuce, a.s., člen koncernu Pražská plynárenská, a.s.</w:t>
      </w:r>
      <w:r w:rsidRPr="00CD2011">
        <w:rPr>
          <w:b/>
          <w:highlight w:val="yellow"/>
        </w:rPr>
        <w:cr/>
      </w:r>
      <w:r w:rsidRPr="00E269B9">
        <w:t xml:space="preserve">Ing. Pavlína Kouřilová </w:t>
      </w:r>
      <w:r w:rsidRPr="00CD2011">
        <w:rPr>
          <w:highlight w:val="yellow"/>
        </w:rPr>
        <w:cr/>
      </w:r>
      <w:r w:rsidRPr="00E269B9">
        <w:t>U Plynárny 500</w:t>
      </w:r>
      <w:r w:rsidRPr="00CD2011">
        <w:rPr>
          <w:highlight w:val="yellow"/>
        </w:rPr>
        <w:cr/>
      </w:r>
      <w:r w:rsidRPr="00E269B9">
        <w:t>Praha 4</w:t>
      </w:r>
      <w:r>
        <w:t xml:space="preserve">, </w:t>
      </w:r>
      <w:r w:rsidRPr="00E269B9">
        <w:t>PSČ 145</w:t>
      </w:r>
      <w:r>
        <w:t xml:space="preserve"> </w:t>
      </w:r>
      <w:r w:rsidRPr="00E269B9">
        <w:t>08</w:t>
      </w:r>
      <w:r w:rsidR="00CD2011">
        <w:cr/>
      </w:r>
      <w:r w:rsidR="00CB162B">
        <w:t>(dále také jen „</w:t>
      </w:r>
      <w:r w:rsidR="00CB162B" w:rsidRPr="00CB162B">
        <w:rPr>
          <w:b/>
          <w:i/>
        </w:rPr>
        <w:t>klient</w:t>
      </w:r>
      <w:r w:rsidR="00CB162B">
        <w:t>“)</w:t>
      </w:r>
    </w:p>
    <w:p w:rsidR="00797957" w:rsidRDefault="00797957" w:rsidP="00CD2011">
      <w:pPr>
        <w:pStyle w:val="F2-zkladn"/>
        <w:jc w:val="right"/>
      </w:pPr>
    </w:p>
    <w:p w:rsidR="00CD2011" w:rsidRDefault="00CD2011" w:rsidP="00CD2011">
      <w:pPr>
        <w:pStyle w:val="F2-zkladn"/>
        <w:jc w:val="right"/>
      </w:pPr>
      <w:r>
        <w:t xml:space="preserve">Praha, </w:t>
      </w:r>
      <w:r w:rsidR="00797957">
        <w:t>17. července 2017</w:t>
      </w:r>
      <w:r>
        <w:cr/>
      </w:r>
    </w:p>
    <w:p w:rsidR="00797957" w:rsidRDefault="00797957" w:rsidP="00CD2011">
      <w:pPr>
        <w:pStyle w:val="F2-zkladn"/>
        <w:jc w:val="right"/>
      </w:pPr>
    </w:p>
    <w:p w:rsidR="00797957" w:rsidRDefault="00797957" w:rsidP="00CD2011">
      <w:pPr>
        <w:pStyle w:val="F2-zkladn"/>
        <w:jc w:val="right"/>
      </w:pPr>
    </w:p>
    <w:p w:rsidR="00CD2011" w:rsidRPr="00CC1EA4" w:rsidRDefault="00CD2011" w:rsidP="00CC1EA4">
      <w:pPr>
        <w:pStyle w:val="F-titul"/>
        <w:pBdr>
          <w:bottom w:val="single" w:sz="8" w:space="1" w:color="878787"/>
        </w:pBdr>
      </w:pPr>
      <w:r w:rsidRPr="00CC1EA4">
        <w:t xml:space="preserve">Nabídka </w:t>
      </w:r>
      <w:r w:rsidR="00797957">
        <w:t>– zpracování stanoviska</w:t>
      </w:r>
      <w:r w:rsidRPr="00CC1EA4">
        <w:t xml:space="preserve"> v oblasti převodních cen</w:t>
      </w:r>
    </w:p>
    <w:p w:rsidR="00CD2011" w:rsidRPr="00F24734" w:rsidRDefault="00C25107" w:rsidP="00F24734">
      <w:pPr>
        <w:pStyle w:val="F2-zkladn"/>
        <w:jc w:val="center"/>
        <w:rPr>
          <w:b/>
        </w:rPr>
      </w:pPr>
      <w:r w:rsidRPr="00F24734">
        <w:rPr>
          <w:b/>
        </w:rPr>
        <w:t>(PPD, a.s. č.: 880/2017/ÚFŘ)</w:t>
      </w:r>
    </w:p>
    <w:p w:rsidR="00CD2011" w:rsidRDefault="00CD2011" w:rsidP="00CD2011">
      <w:pPr>
        <w:pStyle w:val="F2-zkladn"/>
      </w:pPr>
    </w:p>
    <w:p w:rsidR="00797957" w:rsidRDefault="00797957" w:rsidP="00CD2011">
      <w:pPr>
        <w:pStyle w:val="F2-zkladn"/>
      </w:pPr>
    </w:p>
    <w:p w:rsidR="00797957" w:rsidRDefault="00797957" w:rsidP="00797957">
      <w:pPr>
        <w:pStyle w:val="F2-zkladn"/>
      </w:pPr>
      <w:r w:rsidRPr="00415224">
        <w:t>Vážená paní Kouřilová,</w:t>
      </w:r>
    </w:p>
    <w:p w:rsidR="009C0623" w:rsidRDefault="00797957" w:rsidP="00797957">
      <w:pPr>
        <w:pStyle w:val="F2-zkladn"/>
      </w:pPr>
      <w:r>
        <w:t xml:space="preserve">na základě </w:t>
      </w:r>
      <w:r w:rsidRPr="0085616E">
        <w:t xml:space="preserve">Vaší </w:t>
      </w:r>
      <w:r w:rsidRPr="00415224">
        <w:t>poptávky</w:t>
      </w:r>
      <w:r>
        <w:t xml:space="preserve"> si Vám dovolujeme předložit tuto nabídku poradenských služeb v oblasti vypracování stanoviska k posouzení metody stanovení převodních cen na základě principu tržního odstupu.</w:t>
      </w:r>
    </w:p>
    <w:p w:rsidR="00797957" w:rsidRDefault="00797957" w:rsidP="00797957">
      <w:pPr>
        <w:pStyle w:val="F2-zkladn"/>
      </w:pPr>
    </w:p>
    <w:p w:rsidR="009C0623" w:rsidRDefault="005E18E0" w:rsidP="00797957">
      <w:pPr>
        <w:pStyle w:val="F10-nadpis1"/>
        <w:pageBreakBefore/>
      </w:pPr>
      <w:r>
        <w:lastRenderedPageBreak/>
        <w:t>Popis situace</w:t>
      </w:r>
    </w:p>
    <w:p w:rsidR="00797957" w:rsidRDefault="00797957" w:rsidP="00797957">
      <w:pPr>
        <w:pStyle w:val="F2-zkladn"/>
        <w:spacing w:before="60"/>
      </w:pPr>
      <w:r>
        <w:t xml:space="preserve">Jsme informováni, že společnost </w:t>
      </w:r>
      <w:r w:rsidRPr="00385270">
        <w:t>Pražská plynárenská Distribuce, a.s., člen koncernu Pražská plynárenská, a.s.</w:t>
      </w:r>
      <w:r>
        <w:t xml:space="preserve">, IČO: </w:t>
      </w:r>
      <w:r w:rsidRPr="00385270">
        <w:t>274</w:t>
      </w:r>
      <w:r>
        <w:t xml:space="preserve"> </w:t>
      </w:r>
      <w:r w:rsidRPr="00385270">
        <w:t>03</w:t>
      </w:r>
      <w:r>
        <w:t xml:space="preserve"> </w:t>
      </w:r>
      <w:r w:rsidRPr="00385270">
        <w:t>505</w:t>
      </w:r>
      <w:r>
        <w:t>, se sídlem v Praze</w:t>
      </w:r>
      <w:r w:rsidRPr="00385270">
        <w:t xml:space="preserve"> 4, U Plynárny 500, PSČ 14508</w:t>
      </w:r>
      <w:r>
        <w:t>, zapsaná do obchodního rejstříku vedeného Městským soudem</w:t>
      </w:r>
      <w:r w:rsidRPr="00385270">
        <w:t xml:space="preserve"> v Praze</w:t>
      </w:r>
      <w:r>
        <w:t xml:space="preserve">, oddíl B, vložka </w:t>
      </w:r>
      <w:r w:rsidRPr="00385270">
        <w:t>10356</w:t>
      </w:r>
      <w:r>
        <w:t xml:space="preserve"> (dále jen „</w:t>
      </w:r>
      <w:r w:rsidRPr="00415224">
        <w:rPr>
          <w:b/>
          <w:i/>
        </w:rPr>
        <w:t>PPD</w:t>
      </w:r>
      <w:r>
        <w:t>“) realizuje transakce se spojenými osobami, podle ustanovení § 23 odst. 7 zákona č. 586/1992 Sb., o daních z příjmů, ve znění pozdějších předpisů (dále jen „</w:t>
      </w:r>
      <w:r w:rsidRPr="00B93F60">
        <w:rPr>
          <w:b/>
          <w:i/>
        </w:rPr>
        <w:t>ZDP</w:t>
      </w:r>
      <w:r>
        <w:t>“), a to v následujících oblastech:</w:t>
      </w:r>
    </w:p>
    <w:p w:rsidR="00797957" w:rsidRDefault="00797957" w:rsidP="00797957">
      <w:pPr>
        <w:pStyle w:val="F2-zkladn"/>
        <w:spacing w:before="0" w:line="240" w:lineRule="auto"/>
      </w:pPr>
    </w:p>
    <w:p w:rsidR="00797957" w:rsidRDefault="00797957" w:rsidP="00797957">
      <w:pPr>
        <w:pStyle w:val="F2-zkladn"/>
        <w:spacing w:before="0" w:line="240" w:lineRule="auto"/>
      </w:pPr>
      <w:r>
        <w:t xml:space="preserve">Smlouva 1- 2014: </w:t>
      </w:r>
    </w:p>
    <w:p w:rsidR="00797957" w:rsidRDefault="00797957" w:rsidP="00797957">
      <w:pPr>
        <w:pStyle w:val="F3-odrka"/>
        <w:numPr>
          <w:ilvl w:val="0"/>
          <w:numId w:val="22"/>
        </w:numPr>
        <w:spacing w:before="0" w:line="240" w:lineRule="auto"/>
        <w:ind w:left="1174"/>
      </w:pPr>
      <w:r>
        <w:t>Personalistika a mzdová agenda – kompletní vedení personální agendy, jednání s úřady, poradenství, nábor, vzdělávání;</w:t>
      </w:r>
    </w:p>
    <w:p w:rsidR="00797957" w:rsidRDefault="00797957" w:rsidP="00797957">
      <w:pPr>
        <w:pStyle w:val="F3-odrka"/>
        <w:numPr>
          <w:ilvl w:val="0"/>
          <w:numId w:val="22"/>
        </w:numPr>
        <w:spacing w:before="0" w:line="240" w:lineRule="auto"/>
        <w:ind w:left="1174"/>
      </w:pPr>
      <w:r>
        <w:t>Ekonomické služby a controlling – controlling, reporting;</w:t>
      </w:r>
    </w:p>
    <w:p w:rsidR="00797957" w:rsidRDefault="00797957" w:rsidP="00797957">
      <w:pPr>
        <w:pStyle w:val="F3-odrka"/>
        <w:numPr>
          <w:ilvl w:val="0"/>
          <w:numId w:val="22"/>
        </w:numPr>
        <w:spacing w:before="0" w:line="240" w:lineRule="auto"/>
        <w:ind w:left="1174"/>
      </w:pPr>
      <w:r>
        <w:t>Účetnictví – kompletní vedení účetnictví IFRS a CAS, měsíční, roční závěrky, audit, jednání s FÚ;</w:t>
      </w:r>
    </w:p>
    <w:p w:rsidR="00797957" w:rsidRDefault="00797957" w:rsidP="00797957">
      <w:pPr>
        <w:pStyle w:val="F3-odrka"/>
        <w:numPr>
          <w:ilvl w:val="0"/>
          <w:numId w:val="22"/>
        </w:numPr>
        <w:spacing w:before="0" w:line="240" w:lineRule="auto"/>
        <w:ind w:left="1174"/>
      </w:pPr>
      <w:r>
        <w:t>Financování - finanční management, daňová agenda, fakturace ostatní;</w:t>
      </w:r>
    </w:p>
    <w:p w:rsidR="00797957" w:rsidRDefault="00797957" w:rsidP="00797957">
      <w:pPr>
        <w:pStyle w:val="F3-odrka"/>
        <w:numPr>
          <w:ilvl w:val="0"/>
          <w:numId w:val="22"/>
        </w:numPr>
        <w:spacing w:before="0" w:line="240" w:lineRule="auto"/>
        <w:ind w:left="1174"/>
      </w:pPr>
      <w:r>
        <w:t>Služby IT;</w:t>
      </w:r>
    </w:p>
    <w:p w:rsidR="00797957" w:rsidRDefault="00797957" w:rsidP="00797957">
      <w:pPr>
        <w:pStyle w:val="F3-odrka"/>
        <w:numPr>
          <w:ilvl w:val="0"/>
          <w:numId w:val="22"/>
        </w:numPr>
        <w:spacing w:before="0" w:line="240" w:lineRule="auto"/>
        <w:ind w:left="1174"/>
      </w:pPr>
      <w:r>
        <w:t>PR;</w:t>
      </w:r>
    </w:p>
    <w:p w:rsidR="00797957" w:rsidRDefault="00797957" w:rsidP="00797957">
      <w:pPr>
        <w:pStyle w:val="F3-odrka"/>
        <w:numPr>
          <w:ilvl w:val="0"/>
          <w:numId w:val="22"/>
        </w:numPr>
        <w:spacing w:before="0" w:line="240" w:lineRule="auto"/>
        <w:ind w:left="1174"/>
      </w:pPr>
      <w:r>
        <w:t>Zúčtování – zpracování podkladů pro fakturaci, platby, obchodní pohledávky;</w:t>
      </w:r>
    </w:p>
    <w:p w:rsidR="00797957" w:rsidRDefault="00797957" w:rsidP="00797957">
      <w:pPr>
        <w:pStyle w:val="F3-odrka"/>
        <w:numPr>
          <w:ilvl w:val="0"/>
          <w:numId w:val="22"/>
        </w:numPr>
        <w:spacing w:before="0" w:line="240" w:lineRule="auto"/>
        <w:ind w:left="1174"/>
      </w:pPr>
      <w:r>
        <w:t>Fakturace – obchodní fakturace, fakturace poplatků za distribuci plynu;</w:t>
      </w:r>
    </w:p>
    <w:p w:rsidR="00797957" w:rsidRDefault="00797957" w:rsidP="00797957">
      <w:pPr>
        <w:pStyle w:val="F3-odrka"/>
        <w:numPr>
          <w:ilvl w:val="0"/>
          <w:numId w:val="22"/>
        </w:numPr>
        <w:spacing w:before="0" w:line="240" w:lineRule="auto"/>
        <w:ind w:left="1174"/>
      </w:pPr>
      <w:r>
        <w:t>Správa majetku – objednávky na nákup materiálu a služeb, evidence majetku;</w:t>
      </w:r>
    </w:p>
    <w:p w:rsidR="00797957" w:rsidRDefault="00797957" w:rsidP="00797957">
      <w:pPr>
        <w:pStyle w:val="F3-odrka"/>
        <w:numPr>
          <w:ilvl w:val="0"/>
          <w:numId w:val="22"/>
        </w:numPr>
        <w:spacing w:before="0" w:line="240" w:lineRule="auto"/>
        <w:ind w:left="1174"/>
      </w:pPr>
      <w:r>
        <w:t>Strategie skupiny;</w:t>
      </w:r>
    </w:p>
    <w:p w:rsidR="00797957" w:rsidRDefault="00797957" w:rsidP="00797957">
      <w:pPr>
        <w:pStyle w:val="F3-odrka"/>
        <w:numPr>
          <w:ilvl w:val="0"/>
          <w:numId w:val="22"/>
        </w:numPr>
        <w:spacing w:before="0" w:line="240" w:lineRule="auto"/>
        <w:ind w:left="1174"/>
      </w:pPr>
      <w:r>
        <w:t>Poradenství;</w:t>
      </w:r>
    </w:p>
    <w:p w:rsidR="00797957" w:rsidRDefault="00797957" w:rsidP="00797957">
      <w:pPr>
        <w:pStyle w:val="F2-zkladn"/>
        <w:spacing w:before="0" w:line="240" w:lineRule="auto"/>
      </w:pPr>
    </w:p>
    <w:p w:rsidR="00797957" w:rsidRDefault="00797957" w:rsidP="00797957">
      <w:pPr>
        <w:pStyle w:val="F2-zkladn"/>
        <w:spacing w:before="0" w:line="240" w:lineRule="auto"/>
      </w:pPr>
      <w:r>
        <w:t xml:space="preserve">Smlouva 2 – 2014: </w:t>
      </w:r>
    </w:p>
    <w:p w:rsidR="00797957" w:rsidRDefault="00797957" w:rsidP="00797957">
      <w:pPr>
        <w:pStyle w:val="F3-odrka"/>
        <w:numPr>
          <w:ilvl w:val="0"/>
          <w:numId w:val="22"/>
        </w:numPr>
        <w:spacing w:before="0" w:line="240" w:lineRule="auto"/>
        <w:ind w:left="1174"/>
      </w:pPr>
      <w:r>
        <w:t>Žádosti o odběr a smlouvy o připojení;</w:t>
      </w:r>
    </w:p>
    <w:p w:rsidR="00797957" w:rsidRDefault="00797957" w:rsidP="00797957">
      <w:pPr>
        <w:pStyle w:val="F3-odrka"/>
        <w:numPr>
          <w:ilvl w:val="0"/>
          <w:numId w:val="22"/>
        </w:numPr>
        <w:spacing w:before="0" w:line="240" w:lineRule="auto"/>
        <w:ind w:left="1174"/>
      </w:pPr>
      <w:r>
        <w:t>Sjednávání plynoměrových služeb;</w:t>
      </w:r>
    </w:p>
    <w:p w:rsidR="00797957" w:rsidRDefault="00797957" w:rsidP="00797957">
      <w:pPr>
        <w:pStyle w:val="F3-odrka"/>
        <w:numPr>
          <w:ilvl w:val="0"/>
          <w:numId w:val="22"/>
        </w:numPr>
        <w:spacing w:before="0" w:line="240" w:lineRule="auto"/>
        <w:ind w:left="1174"/>
      </w:pPr>
      <w:r>
        <w:t>Projednání činností distributora;</w:t>
      </w:r>
    </w:p>
    <w:p w:rsidR="00797957" w:rsidRDefault="00797957" w:rsidP="00797957">
      <w:pPr>
        <w:pStyle w:val="F2-zkladn"/>
        <w:spacing w:before="0" w:line="240" w:lineRule="auto"/>
      </w:pPr>
    </w:p>
    <w:p w:rsidR="00797957" w:rsidRDefault="00797957" w:rsidP="00797957">
      <w:pPr>
        <w:pStyle w:val="F2-zkladn"/>
        <w:spacing w:before="0" w:line="240" w:lineRule="auto"/>
      </w:pPr>
      <w:r>
        <w:t xml:space="preserve">Smlouva 1 – 2015: </w:t>
      </w:r>
    </w:p>
    <w:p w:rsidR="00797957" w:rsidRDefault="00797957" w:rsidP="00797957">
      <w:pPr>
        <w:pStyle w:val="F3-odrka"/>
        <w:numPr>
          <w:ilvl w:val="0"/>
          <w:numId w:val="22"/>
        </w:numPr>
        <w:spacing w:before="0" w:line="240" w:lineRule="auto"/>
        <w:ind w:left="1174"/>
      </w:pPr>
      <w:r>
        <w:t>Personalistika a mzdová agenda – kompletní vedení personální agendy, jednání s úřady, poradenství, nábor, vzdělávání;</w:t>
      </w:r>
    </w:p>
    <w:p w:rsidR="00797957" w:rsidRDefault="00797957" w:rsidP="00797957">
      <w:pPr>
        <w:pStyle w:val="F3-odrka"/>
        <w:numPr>
          <w:ilvl w:val="0"/>
          <w:numId w:val="22"/>
        </w:numPr>
        <w:spacing w:before="0" w:line="240" w:lineRule="auto"/>
        <w:ind w:left="1174"/>
      </w:pPr>
      <w:r>
        <w:t>Ekonomické služby - controlling, účetnictví, financování, daňová agenda;</w:t>
      </w:r>
    </w:p>
    <w:p w:rsidR="00797957" w:rsidRDefault="00797957" w:rsidP="00797957">
      <w:pPr>
        <w:pStyle w:val="F3-odrka"/>
        <w:numPr>
          <w:ilvl w:val="0"/>
          <w:numId w:val="22"/>
        </w:numPr>
        <w:spacing w:before="0" w:line="240" w:lineRule="auto"/>
        <w:ind w:left="1174"/>
      </w:pPr>
      <w:r>
        <w:t>Služby IT;</w:t>
      </w:r>
    </w:p>
    <w:p w:rsidR="00797957" w:rsidRDefault="00797957" w:rsidP="00797957">
      <w:pPr>
        <w:pStyle w:val="F3-odrka"/>
        <w:numPr>
          <w:ilvl w:val="0"/>
          <w:numId w:val="22"/>
        </w:numPr>
        <w:spacing w:before="0" w:line="240" w:lineRule="auto"/>
        <w:ind w:left="1174"/>
      </w:pPr>
      <w:r>
        <w:t>Propagace ZP, komunikace a PR;</w:t>
      </w:r>
    </w:p>
    <w:p w:rsidR="00797957" w:rsidRDefault="00797957" w:rsidP="00797957">
      <w:pPr>
        <w:pStyle w:val="F2-zkladn"/>
        <w:spacing w:before="0" w:line="240" w:lineRule="auto"/>
      </w:pPr>
    </w:p>
    <w:p w:rsidR="00797957" w:rsidRDefault="00797957" w:rsidP="00797957">
      <w:pPr>
        <w:pStyle w:val="F2-zkladn"/>
        <w:spacing w:before="0" w:line="240" w:lineRule="auto"/>
      </w:pPr>
      <w:r>
        <w:t xml:space="preserve">Smlouva 2 – 2015: </w:t>
      </w:r>
    </w:p>
    <w:p w:rsidR="00797957" w:rsidRDefault="00797957" w:rsidP="00797957">
      <w:pPr>
        <w:pStyle w:val="F3-odrka"/>
        <w:numPr>
          <w:ilvl w:val="0"/>
          <w:numId w:val="22"/>
        </w:numPr>
        <w:spacing w:before="0" w:line="240" w:lineRule="auto"/>
        <w:ind w:left="1174"/>
      </w:pPr>
      <w:r>
        <w:t>Žádosti o odběr a smlouvy o připojení;</w:t>
      </w:r>
    </w:p>
    <w:p w:rsidR="00797957" w:rsidRDefault="00797957" w:rsidP="00797957">
      <w:pPr>
        <w:pStyle w:val="F3-odrka"/>
        <w:numPr>
          <w:ilvl w:val="0"/>
          <w:numId w:val="22"/>
        </w:numPr>
        <w:spacing w:before="0" w:line="240" w:lineRule="auto"/>
        <w:ind w:left="1174"/>
      </w:pPr>
      <w:r>
        <w:t>Sjednávání plynoměrových služeb;</w:t>
      </w:r>
    </w:p>
    <w:p w:rsidR="00797957" w:rsidRDefault="00797957" w:rsidP="00797957">
      <w:pPr>
        <w:pStyle w:val="F3-odrka"/>
        <w:numPr>
          <w:ilvl w:val="0"/>
          <w:numId w:val="22"/>
        </w:numPr>
        <w:spacing w:before="0" w:line="240" w:lineRule="auto"/>
        <w:ind w:left="1174"/>
      </w:pPr>
      <w:r>
        <w:t>Projednání činností distributora;</w:t>
      </w:r>
    </w:p>
    <w:p w:rsidR="00797957" w:rsidRDefault="00797957" w:rsidP="00797957">
      <w:pPr>
        <w:pStyle w:val="F3-odrka"/>
        <w:numPr>
          <w:ilvl w:val="0"/>
          <w:numId w:val="22"/>
        </w:numPr>
        <w:spacing w:before="0" w:line="240" w:lineRule="auto"/>
        <w:ind w:left="1174"/>
      </w:pPr>
      <w:r>
        <w:t>Zúčtování a fakturace;</w:t>
      </w:r>
    </w:p>
    <w:p w:rsidR="00797957" w:rsidRDefault="00797957" w:rsidP="00797957">
      <w:pPr>
        <w:pStyle w:val="F2-zkladn"/>
        <w:spacing w:before="0" w:line="240" w:lineRule="auto"/>
        <w:jc w:val="right"/>
      </w:pPr>
      <w:r>
        <w:t>(dále jen „</w:t>
      </w:r>
      <w:r w:rsidRPr="00B61480">
        <w:rPr>
          <w:b/>
          <w:i/>
        </w:rPr>
        <w:t>služby</w:t>
      </w:r>
      <w:r>
        <w:t>“).</w:t>
      </w:r>
    </w:p>
    <w:p w:rsidR="00797957" w:rsidRDefault="00797957" w:rsidP="00797957">
      <w:pPr>
        <w:pStyle w:val="F2-zkladn"/>
      </w:pPr>
    </w:p>
    <w:p w:rsidR="009C0623" w:rsidRDefault="00797957" w:rsidP="00797957">
      <w:pPr>
        <w:pStyle w:val="F2-zkladn"/>
      </w:pPr>
      <w:r>
        <w:t>Společnost PPD má zájem o zpracování stanoviska k posouzení metody stanovení převodních cen za poskytování výše uvedených služeb, a to se zohledněním principu tržního odstup</w:t>
      </w:r>
      <w:r w:rsidRPr="00D56A37">
        <w:t>u</w:t>
      </w:r>
      <w:r w:rsidRPr="00415224">
        <w:t>.</w:t>
      </w:r>
      <w:r w:rsidR="009C0623">
        <w:t xml:space="preserve"> </w:t>
      </w:r>
    </w:p>
    <w:p w:rsidR="009C0623" w:rsidRDefault="00214DF9" w:rsidP="009C0623">
      <w:pPr>
        <w:pStyle w:val="F10-nadpis1"/>
      </w:pPr>
      <w:r>
        <w:rPr>
          <w:noProof/>
        </w:rPr>
        <mc:AlternateContent>
          <mc:Choice Requires="wps">
            <w:drawing>
              <wp:anchor distT="0" distB="0" distL="114300" distR="114300" simplePos="0" relativeHeight="251683840" behindDoc="0" locked="0" layoutInCell="1" allowOverlap="1" wp14:anchorId="7479D4E5" wp14:editId="00E952C7">
                <wp:simplePos x="0" y="0"/>
                <wp:positionH relativeFrom="column">
                  <wp:posOffset>4778679</wp:posOffset>
                </wp:positionH>
                <wp:positionV relativeFrom="paragraph">
                  <wp:posOffset>1595755</wp:posOffset>
                </wp:positionV>
                <wp:extent cx="1104900" cy="26670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4DF9" w:rsidRPr="00214DF9" w:rsidRDefault="00214DF9" w:rsidP="00214DF9">
                            <w:pPr>
                              <w:jc w:val="right"/>
                              <w:rPr>
                                <w:rFonts w:ascii="Ariel" w:hAnsi="Ariel"/>
                                <w:sz w:val="16"/>
                                <w:szCs w:val="16"/>
                              </w:rPr>
                            </w:pPr>
                            <w:r>
                              <w:rPr>
                                <w:rFonts w:ascii="Ariel" w:hAnsi="Ariel"/>
                                <w:sz w:val="16"/>
                                <w:szCs w:val="16"/>
                              </w:rPr>
                              <w:t>Stránka 2 z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1" o:spid="_x0000_s1026" type="#_x0000_t202" style="position:absolute;left:0;text-align:left;margin-left:376.25pt;margin-top:125.65pt;width:87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" fillcolor="white [3201]" stroked="f" strokeweight=".5pt">
                <v:textbox>
                  <w:txbxContent>
                    <w:p w:rsidR="00214DF9" w:rsidRPr="00214DF9" w:rsidRDefault="00214DF9" w:rsidP="00214DF9">
                      <w:pPr>
                        <w:jc w:val="right"/>
                        <w:rPr>
                          <w:rFonts w:ascii="Ariel" w:hAnsi="Ariel"/>
                          <w:sz w:val="16"/>
                          <w:szCs w:val="16"/>
                        </w:rPr>
                      </w:pPr>
                      <w:r>
                        <w:rPr>
                          <w:rFonts w:ascii="Ariel" w:hAnsi="Ariel"/>
                          <w:sz w:val="16"/>
                          <w:szCs w:val="16"/>
                        </w:rPr>
                        <w:t>Stránka 2 z 7</w:t>
                      </w:r>
                    </w:p>
                  </w:txbxContent>
                </v:textbox>
              </v:shape>
            </w:pict>
          </mc:Fallback>
        </mc:AlternateContent>
      </w:r>
      <w:r w:rsidR="009C0623">
        <w:br w:type="page"/>
      </w:r>
      <w:bookmarkStart w:id="1" w:name="_Ref413745139"/>
      <w:r w:rsidR="009C0623">
        <w:t>Nabízené služby</w:t>
      </w:r>
      <w:bookmarkEnd w:id="1"/>
    </w:p>
    <w:p w:rsidR="00797957" w:rsidRDefault="00797957" w:rsidP="00797957">
      <w:pPr>
        <w:pStyle w:val="F2-zkladn"/>
      </w:pPr>
      <w:r w:rsidRPr="001005BF">
        <w:t xml:space="preserve">Dovolujeme si Vám nabídnout </w:t>
      </w:r>
      <w:r>
        <w:t>zpracování stanoviska k posouzení metody stanovení převodních cen na základě principu tržního odstup</w:t>
      </w:r>
      <w:r w:rsidRPr="00D56A37">
        <w:t>u</w:t>
      </w:r>
      <w:r>
        <w:t xml:space="preserve"> u jednotlivých služeb, které by obsahovalo následující oblasti:</w:t>
      </w:r>
    </w:p>
    <w:p w:rsidR="00797957" w:rsidRDefault="00797957" w:rsidP="00797957">
      <w:pPr>
        <w:pStyle w:val="F3-odrka"/>
        <w:numPr>
          <w:ilvl w:val="0"/>
          <w:numId w:val="25"/>
        </w:numPr>
      </w:pPr>
      <w:r>
        <w:t>Stručný popis jednotlivých služeb (transakcí);</w:t>
      </w:r>
    </w:p>
    <w:p w:rsidR="00797957" w:rsidRDefault="00797957" w:rsidP="00797957">
      <w:pPr>
        <w:pStyle w:val="F3-odrka"/>
        <w:numPr>
          <w:ilvl w:val="0"/>
          <w:numId w:val="25"/>
        </w:numPr>
      </w:pPr>
      <w:r>
        <w:t>Doporučení a odůvodnění vhodné metody pro stanovení převodních cen;</w:t>
      </w:r>
    </w:p>
    <w:p w:rsidR="00797957" w:rsidRDefault="00797957" w:rsidP="00797957">
      <w:pPr>
        <w:pStyle w:val="F3-odrka"/>
        <w:numPr>
          <w:ilvl w:val="0"/>
          <w:numId w:val="25"/>
        </w:numPr>
      </w:pPr>
      <w:r>
        <w:t>Benchmark z databáze AMADEUS (</w:t>
      </w:r>
      <w:r w:rsidRPr="00836CCB">
        <w:t>u transakcí, ve kterých to bude žádoucí</w:t>
      </w:r>
      <w:r>
        <w:t>);</w:t>
      </w:r>
    </w:p>
    <w:p w:rsidR="00797957" w:rsidRDefault="00797957" w:rsidP="00797957">
      <w:pPr>
        <w:pStyle w:val="F3-odrka"/>
        <w:numPr>
          <w:ilvl w:val="0"/>
          <w:numId w:val="0"/>
        </w:numPr>
        <w:ind w:left="720"/>
        <w:jc w:val="right"/>
      </w:pPr>
      <w:r>
        <w:t>(dále jen „</w:t>
      </w:r>
      <w:r w:rsidRPr="00415224">
        <w:rPr>
          <w:b/>
          <w:i/>
        </w:rPr>
        <w:t>stanovisko</w:t>
      </w:r>
      <w:r>
        <w:t>“).</w:t>
      </w:r>
    </w:p>
    <w:p w:rsidR="00797957" w:rsidRDefault="00797957" w:rsidP="00797957">
      <w:pPr>
        <w:pStyle w:val="F2-zkladn"/>
      </w:pPr>
      <w:r>
        <w:t>V rámci vypracování stanoviska je nezbytná součinnost klienta, která bude spočívat především v poskytnutí požadovaných informací a odsouhlasení výsledného obsahu.</w:t>
      </w:r>
    </w:p>
    <w:p w:rsidR="009C0623" w:rsidRDefault="00797957" w:rsidP="00797957">
      <w:pPr>
        <w:pStyle w:val="F2-zkladn"/>
      </w:pPr>
      <w:r w:rsidRPr="001005BF">
        <w:t xml:space="preserve">Výstupem bude </w:t>
      </w:r>
      <w:r>
        <w:t>stanovisko</w:t>
      </w:r>
      <w:r w:rsidRPr="000D2263">
        <w:t xml:space="preserve"> </w:t>
      </w:r>
      <w:r>
        <w:t xml:space="preserve">v českém jazyce. Stanovisko nebude mít formu ani podobu kompletní dokumentace k převodním cenám. </w:t>
      </w:r>
      <w:r w:rsidRPr="00177556">
        <w:t>TPA</w:t>
      </w:r>
      <w:r w:rsidRPr="00013311">
        <w:t xml:space="preserve"> neodpovídá za jakékoliv využití tohoto dokumentu pro jiné účely.</w:t>
      </w:r>
    </w:p>
    <w:p w:rsidR="00797957" w:rsidRDefault="00797957" w:rsidP="00797957">
      <w:pPr>
        <w:pStyle w:val="F2-zkladn"/>
      </w:pPr>
    </w:p>
    <w:p w:rsidR="00DA03BC" w:rsidRDefault="00A43568" w:rsidP="00DA03BC">
      <w:pPr>
        <w:pStyle w:val="F10-nadpis1"/>
      </w:pPr>
      <w:bookmarkStart w:id="2" w:name="_Ref413746167"/>
      <w:r>
        <w:t>Požadované podklady</w:t>
      </w:r>
      <w:bookmarkEnd w:id="2"/>
    </w:p>
    <w:p w:rsidR="00797957" w:rsidRDefault="00797957" w:rsidP="00797957">
      <w:pPr>
        <w:pStyle w:val="F2-zkladn"/>
      </w:pPr>
      <w:r>
        <w:t>Pro účely zahájení poradenství je klient povinen předat poskytovateli následující podklady:</w:t>
      </w:r>
    </w:p>
    <w:p w:rsidR="00797957" w:rsidRDefault="00797957" w:rsidP="00797957">
      <w:pPr>
        <w:pStyle w:val="F5-psmena"/>
        <w:spacing w:before="60" w:after="0"/>
      </w:pPr>
      <w:r>
        <w:t>organigram skupiny platný pro rok 2014 a 2015 (je-li k dispozici),</w:t>
      </w:r>
    </w:p>
    <w:p w:rsidR="00797957" w:rsidRDefault="00797957" w:rsidP="00797957">
      <w:pPr>
        <w:pStyle w:val="F5-psmena"/>
        <w:spacing w:before="60" w:after="0"/>
      </w:pPr>
      <w:r>
        <w:t>výroční zprávy (účetní závěrky) spojených osob účastnících se posuzovaných transakcí za roky 2014 a 2015 (nejsou-li veřejně dostupné),</w:t>
      </w:r>
    </w:p>
    <w:p w:rsidR="00797957" w:rsidRDefault="00797957" w:rsidP="00797957">
      <w:pPr>
        <w:pStyle w:val="F5-psmena"/>
        <w:spacing w:before="60" w:after="0"/>
      </w:pPr>
      <w:r>
        <w:t>konsolidovaná výroční zpráva skupiny za rok 2014 a 2015 (existuje-li a není-li veřejně dostupná),</w:t>
      </w:r>
    </w:p>
    <w:p w:rsidR="00797957" w:rsidRDefault="00797957" w:rsidP="00797957">
      <w:pPr>
        <w:pStyle w:val="F5-psmena"/>
        <w:spacing w:before="60" w:after="0"/>
      </w:pPr>
      <w:r>
        <w:t>smluvní dokumentace týkající se poskytovaných služeb v roce 2014 a 2015 uzavřená mezi společnostmi ve skupině včetně souvisejících dodatků,</w:t>
      </w:r>
    </w:p>
    <w:p w:rsidR="00797957" w:rsidRDefault="00797957" w:rsidP="00797957">
      <w:pPr>
        <w:pStyle w:val="F5-psmena"/>
        <w:spacing w:before="60" w:after="0"/>
      </w:pPr>
      <w:r>
        <w:t>popis způsobu kalkulace převodní ceny a samotná kalkulace včetně vyčíslení objemů v rámci jednotlivých služeb v roce 2014 a 2015 (odděleně za jednotlivé příjemce i za jednotlivé roky).</w:t>
      </w:r>
    </w:p>
    <w:p w:rsidR="00797957" w:rsidRDefault="00797957" w:rsidP="00797957">
      <w:pPr>
        <w:pStyle w:val="F5-psmena"/>
        <w:numPr>
          <w:ilvl w:val="0"/>
          <w:numId w:val="0"/>
        </w:numPr>
        <w:spacing w:before="60" w:after="0"/>
        <w:ind w:left="794"/>
      </w:pPr>
    </w:p>
    <w:p w:rsidR="00C24F29" w:rsidRDefault="00797957" w:rsidP="00797957">
      <w:pPr>
        <w:pStyle w:val="F5-psmena"/>
        <w:numPr>
          <w:ilvl w:val="0"/>
          <w:numId w:val="0"/>
        </w:numPr>
        <w:spacing w:before="60" w:after="0"/>
      </w:pPr>
      <w:r>
        <w:t xml:space="preserve">Další podklady si </w:t>
      </w:r>
      <w:r w:rsidRPr="00177556">
        <w:t>poskytovatel</w:t>
      </w:r>
      <w:r>
        <w:t xml:space="preserve"> vyžádá podle aktuální potřeby a situace v rámci poskytovaného poradenství.</w:t>
      </w:r>
    </w:p>
    <w:p w:rsidR="00797957" w:rsidRPr="00A43568" w:rsidRDefault="00797957" w:rsidP="00797957">
      <w:pPr>
        <w:pStyle w:val="F5-psmena"/>
        <w:numPr>
          <w:ilvl w:val="0"/>
          <w:numId w:val="0"/>
        </w:numPr>
        <w:spacing w:before="60" w:after="0"/>
      </w:pPr>
    </w:p>
    <w:p w:rsidR="009C0623" w:rsidRDefault="009C0623" w:rsidP="009C0623">
      <w:pPr>
        <w:pStyle w:val="F10-nadpis1"/>
      </w:pPr>
      <w:r>
        <w:t>Časový harmonogram</w:t>
      </w:r>
    </w:p>
    <w:p w:rsidR="009C0623" w:rsidRDefault="00214DF9" w:rsidP="009C0623">
      <w:pPr>
        <w:pStyle w:val="F2-zkladn"/>
      </w:pPr>
      <w:r>
        <w:rPr>
          <w:noProof/>
        </w:rPr>
        <mc:AlternateContent>
          <mc:Choice Requires="wps">
            <w:drawing>
              <wp:anchor distT="0" distB="0" distL="114300" distR="114300" simplePos="0" relativeHeight="251681792" behindDoc="0" locked="0" layoutInCell="1" allowOverlap="1" wp14:anchorId="159565CB" wp14:editId="1F6ED5EB">
                <wp:simplePos x="0" y="0"/>
                <wp:positionH relativeFrom="column">
                  <wp:posOffset>4679315</wp:posOffset>
                </wp:positionH>
                <wp:positionV relativeFrom="paragraph">
                  <wp:posOffset>1384631</wp:posOffset>
                </wp:positionV>
                <wp:extent cx="1104900" cy="266700"/>
                <wp:effectExtent l="0" t="0" r="0" b="0"/>
                <wp:wrapNone/>
                <wp:docPr id="20" name="Textové pole 20"/>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4DF9" w:rsidRPr="00214DF9" w:rsidRDefault="00214DF9" w:rsidP="00214DF9">
                            <w:pPr>
                              <w:jc w:val="right"/>
                              <w:rPr>
                                <w:rFonts w:ascii="Ariel" w:hAnsi="Ariel"/>
                                <w:sz w:val="16"/>
                                <w:szCs w:val="16"/>
                              </w:rPr>
                            </w:pPr>
                            <w:r>
                              <w:rPr>
                                <w:rFonts w:ascii="Ariel" w:hAnsi="Ariel"/>
                                <w:sz w:val="16"/>
                                <w:szCs w:val="16"/>
                              </w:rPr>
                              <w:t>Stránka 3 z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0" o:spid="_x0000_s1027" type="#_x0000_t202" style="position:absolute;left:0;text-align:left;margin-left:368.45pt;margin-top:109.05pt;width:87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" fillcolor="white [3201]" stroked="f" strokeweight=".5pt">
                <v:textbox>
                  <w:txbxContent>
                    <w:p w:rsidR="00214DF9" w:rsidRPr="00214DF9" w:rsidRDefault="00214DF9" w:rsidP="00214DF9">
                      <w:pPr>
                        <w:jc w:val="right"/>
                        <w:rPr>
                          <w:rFonts w:ascii="Ariel" w:hAnsi="Ariel"/>
                          <w:sz w:val="16"/>
                          <w:szCs w:val="16"/>
                        </w:rPr>
                      </w:pPr>
                      <w:r>
                        <w:rPr>
                          <w:rFonts w:ascii="Ariel" w:hAnsi="Ariel"/>
                          <w:sz w:val="16"/>
                          <w:szCs w:val="16"/>
                        </w:rPr>
                        <w:t>Stránka 3 z 7</w:t>
                      </w:r>
                    </w:p>
                  </w:txbxContent>
                </v:textbox>
              </v:shape>
            </w:pict>
          </mc:Fallback>
        </mc:AlternateContent>
      </w:r>
      <w:r w:rsidR="00797957">
        <w:t>Předpokládáme, že poradenství bude zahájeno bezprostředně po odsouhlasení této nabídky z Vaší strany, dokončení stanoviska do podoby výstupu ve formě draftu přepokládáme do 14 dnů od uzavření smlouvy.</w:t>
      </w:r>
      <w:r w:rsidRPr="00214DF9">
        <w:rPr>
          <w:noProof/>
        </w:rPr>
        <w:t xml:space="preserve"> </w:t>
      </w:r>
    </w:p>
    <w:p w:rsidR="009C0623" w:rsidRDefault="001005BF" w:rsidP="009C0623">
      <w:pPr>
        <w:pStyle w:val="F2-zkladn"/>
      </w:pPr>
      <w:r>
        <w:t xml:space="preserve">Úspěšné dokončení poradenství je podmíněno aktivní součinností klienta s poskytovatelem </w:t>
      </w:r>
      <w:r w:rsidR="00A43568">
        <w:t>předávat</w:t>
      </w:r>
      <w:r>
        <w:t xml:space="preserve"> mu relevantní vyžádané podklady</w:t>
      </w:r>
      <w:r w:rsidR="009C0623">
        <w:t>.</w:t>
      </w:r>
    </w:p>
    <w:p w:rsidR="009C0623" w:rsidRPr="00C24F29" w:rsidRDefault="009C0623" w:rsidP="009C0623">
      <w:pPr>
        <w:pStyle w:val="F10-nadpis1"/>
      </w:pPr>
      <w:bookmarkStart w:id="3" w:name="_Ref297906665"/>
      <w:r w:rsidRPr="00C24F29">
        <w:t>Navrhovaná odměna</w:t>
      </w:r>
      <w:bookmarkEnd w:id="3"/>
    </w:p>
    <w:p w:rsidR="00797957" w:rsidRDefault="00797957" w:rsidP="00797957">
      <w:pPr>
        <w:pStyle w:val="F2-zkladn"/>
      </w:pPr>
      <w:r>
        <w:t xml:space="preserve">Odměna za zpracování stanoviska je stanovena ve výši </w:t>
      </w:r>
      <w:r w:rsidR="00EC31D7">
        <w:rPr>
          <w:b/>
          <w:noProof/>
          <w:color w:val="000000"/>
          <w:highlight w:val="black"/>
        </w:rPr>
        <w:t>'''''''''''''''' ''''' ''''''' ''''''''</w:t>
      </w:r>
      <w:r>
        <w:t>.</w:t>
      </w:r>
    </w:p>
    <w:p w:rsidR="00797957" w:rsidRDefault="00797957" w:rsidP="00797957">
      <w:pPr>
        <w:pStyle w:val="F2-zkladn"/>
      </w:pPr>
      <w:r>
        <w:t xml:space="preserve">Výše uvedená odměna je podmíněna součinností potřebnou pro řádné vypracování stanoviska, zejména povinností řádně a včas poskytnout resp. předat </w:t>
      </w:r>
      <w:r w:rsidRPr="00415224">
        <w:t>poskytovateli</w:t>
      </w:r>
      <w:r>
        <w:t xml:space="preserve"> veškeré potřebné informace a podklady. </w:t>
      </w:r>
    </w:p>
    <w:p w:rsidR="00797957" w:rsidRDefault="00797957" w:rsidP="00797957">
      <w:pPr>
        <w:pStyle w:val="F2-zkladn"/>
      </w:pPr>
      <w:r w:rsidRPr="000D1E67">
        <w:t>Fakturace bude realizována elektronicky, přičemž jednotlivé faktury budou zasílány poskytovatelem na e-mailovou adresu klienta</w:t>
      </w:r>
      <w:r w:rsidR="00EC31D7">
        <w:rPr>
          <w:noProof/>
          <w:color w:val="000000"/>
          <w:highlight w:val="black"/>
        </w:rPr>
        <w:t>'' '''''''''''''''''''''''''''''''''''''''''''''''''''''''''''''''''''''''''''''''</w:t>
      </w:r>
      <w:r>
        <w:t xml:space="preserve">. </w:t>
      </w:r>
      <w:r w:rsidRPr="000D1E67">
        <w:t xml:space="preserve">Klient je oprávněn změnit tuto e-mailovou adresu, je však povinen o provedené změně neprodleně informovat poskytovatele. Pokud nebude možno fakturu na shora uvedenou e-mailovou adresu doručit, je poskytovatel oprávněn zaslat fakturu na e-mailovou adresu kohokoliv ze statutárního orgánu nebo kontaktní osoby uvedené v ustanovení čl. </w:t>
      </w:r>
      <w:r w:rsidR="009011CC">
        <w:t>6.2</w:t>
      </w:r>
      <w:r>
        <w:t xml:space="preserve"> </w:t>
      </w:r>
      <w:r w:rsidRPr="000D1E67">
        <w:t>této smlouvy, příp. poštovní zásilkou.</w:t>
      </w:r>
    </w:p>
    <w:p w:rsidR="00CB162B" w:rsidRDefault="00CB162B" w:rsidP="00797957">
      <w:pPr>
        <w:pStyle w:val="F2-zkladn"/>
      </w:pPr>
      <w:r>
        <w:t>Splatnost faktury s vyúčtovanou odměnou za zpracování stanoviska činí 14 dní od jejího doručení klientovi.</w:t>
      </w:r>
    </w:p>
    <w:p w:rsidR="00797957" w:rsidRDefault="00797957" w:rsidP="00797957">
      <w:pPr>
        <w:pStyle w:val="F2-zkladn"/>
      </w:pPr>
      <w:r>
        <w:t xml:space="preserve">V případě, že by se v průběhu poradenství objevily nové/nepředvídatelné okolnosti mající vliv na časovou náročnost, </w:t>
      </w:r>
      <w:r w:rsidRPr="00415224">
        <w:t>bude poskytovatel</w:t>
      </w:r>
      <w:r>
        <w:t xml:space="preserve"> s klientem tuto situaci neprodleně diskutovat, vč. návrhu dalších kroků.</w:t>
      </w:r>
    </w:p>
    <w:p w:rsidR="00797957" w:rsidRDefault="00797957" w:rsidP="00797957">
      <w:pPr>
        <w:pStyle w:val="F2-zkladn"/>
        <w:spacing w:after="120"/>
      </w:pPr>
      <w:r>
        <w:t>Za případné, klientem odsouhlasené práce nad rámec dohodnutého rozsahu se klient zavazuje platit odměnu v závislosti na čase, který bude na tyto práce vynaložen. Odměna bude účtována dle následujících hodinových sazeb poradců, kteří se na poradenství podíleli:</w:t>
      </w:r>
    </w:p>
    <w:tbl>
      <w:tblPr>
        <w:tblW w:w="4663" w:type="dxa"/>
        <w:jc w:val="center"/>
        <w:tblInd w:w="85" w:type="dxa"/>
        <w:tblBorders>
          <w:top w:val="single" w:sz="12" w:space="0" w:color="005233"/>
          <w:bottom w:val="single" w:sz="12" w:space="0" w:color="005233"/>
        </w:tblBorders>
        <w:tblLayout w:type="fixed"/>
        <w:tblCellMar>
          <w:left w:w="68" w:type="dxa"/>
          <w:right w:w="68" w:type="dxa"/>
        </w:tblCellMar>
        <w:tblLook w:val="01E0" w:firstRow="1" w:lastRow="1" w:firstColumn="1" w:lastColumn="1" w:noHBand="0" w:noVBand="0"/>
      </w:tblPr>
      <w:tblGrid>
        <w:gridCol w:w="2323"/>
        <w:gridCol w:w="2340"/>
      </w:tblGrid>
      <w:tr w:rsidR="00797957" w:rsidRPr="001865CE" w:rsidTr="00415224">
        <w:trPr>
          <w:tblHeader/>
          <w:jc w:val="center"/>
        </w:trPr>
        <w:tc>
          <w:tcPr>
            <w:tcW w:w="2323" w:type="dxa"/>
            <w:tcBorders>
              <w:top w:val="nil"/>
              <w:left w:val="nil"/>
              <w:bottom w:val="nil"/>
              <w:right w:val="nil"/>
              <w:tl2br w:val="nil"/>
              <w:tr2bl w:val="nil"/>
            </w:tcBorders>
            <w:shd w:val="clear" w:color="auto" w:fill="005233"/>
            <w:vAlign w:val="center"/>
          </w:tcPr>
          <w:p w:rsidR="00797957" w:rsidRPr="00EC31D7" w:rsidRDefault="00EC31D7" w:rsidP="00415224">
            <w:pPr>
              <w:pStyle w:val="F2Alt-texttabulky"/>
              <w:jc w:val="center"/>
              <w:rPr>
                <w:b/>
                <w:highlight w:val="black"/>
              </w:rPr>
            </w:pPr>
            <w:r>
              <w:rPr>
                <w:b/>
                <w:noProof/>
                <w:color w:val="000000"/>
                <w:highlight w:val="black"/>
              </w:rPr>
              <w:t>'''''''''''''''''</w:t>
            </w:r>
          </w:p>
        </w:tc>
        <w:tc>
          <w:tcPr>
            <w:tcW w:w="2340" w:type="dxa"/>
            <w:tcBorders>
              <w:top w:val="nil"/>
              <w:left w:val="nil"/>
              <w:bottom w:val="nil"/>
              <w:right w:val="nil"/>
              <w:tl2br w:val="nil"/>
              <w:tr2bl w:val="nil"/>
            </w:tcBorders>
            <w:shd w:val="clear" w:color="auto" w:fill="005233"/>
            <w:vAlign w:val="center"/>
          </w:tcPr>
          <w:p w:rsidR="00797957" w:rsidRPr="00EC31D7" w:rsidRDefault="00EC31D7" w:rsidP="00415224">
            <w:pPr>
              <w:pStyle w:val="F2Alt-texttabulky"/>
              <w:jc w:val="center"/>
              <w:rPr>
                <w:b/>
                <w:highlight w:val="black"/>
              </w:rPr>
            </w:pPr>
            <w:r>
              <w:rPr>
                <w:b/>
                <w:noProof/>
                <w:color w:val="000000"/>
                <w:highlight w:val="black"/>
              </w:rPr>
              <w:t>'''''''''''''''''' '''''''''''' '''''''''</w:t>
            </w:r>
          </w:p>
        </w:tc>
      </w:tr>
      <w:tr w:rsidR="00797957" w:rsidRPr="001865CE" w:rsidTr="00415224">
        <w:trPr>
          <w:jc w:val="center"/>
        </w:trPr>
        <w:tc>
          <w:tcPr>
            <w:tcW w:w="2323" w:type="dxa"/>
            <w:shd w:val="clear" w:color="auto" w:fill="auto"/>
          </w:tcPr>
          <w:p w:rsidR="00797957" w:rsidRPr="00EC31D7" w:rsidRDefault="00EC31D7" w:rsidP="00415224">
            <w:pPr>
              <w:pStyle w:val="F2Alt-texttabulky"/>
              <w:rPr>
                <w:highlight w:val="black"/>
              </w:rPr>
            </w:pPr>
            <w:r>
              <w:rPr>
                <w:noProof/>
                <w:color w:val="000000"/>
                <w:highlight w:val="black"/>
              </w:rPr>
              <w:t>'''''''''''''''''''''</w:t>
            </w:r>
          </w:p>
        </w:tc>
        <w:tc>
          <w:tcPr>
            <w:tcW w:w="2340" w:type="dxa"/>
            <w:shd w:val="clear" w:color="auto" w:fill="auto"/>
          </w:tcPr>
          <w:p w:rsidR="00797957" w:rsidRPr="00EC31D7" w:rsidRDefault="00EC31D7" w:rsidP="00415224">
            <w:pPr>
              <w:pStyle w:val="F2Alt-texttabulky"/>
              <w:jc w:val="right"/>
              <w:rPr>
                <w:highlight w:val="black"/>
              </w:rPr>
            </w:pPr>
            <w:r>
              <w:rPr>
                <w:noProof/>
                <w:color w:val="000000"/>
                <w:highlight w:val="black"/>
              </w:rPr>
              <w:t>''' '''''''''</w:t>
            </w:r>
          </w:p>
        </w:tc>
      </w:tr>
      <w:tr w:rsidR="00797957" w:rsidRPr="001865CE" w:rsidTr="00415224">
        <w:trPr>
          <w:jc w:val="center"/>
        </w:trPr>
        <w:tc>
          <w:tcPr>
            <w:tcW w:w="2323" w:type="dxa"/>
            <w:shd w:val="clear" w:color="auto" w:fill="auto"/>
          </w:tcPr>
          <w:p w:rsidR="00797957" w:rsidRPr="00EC31D7" w:rsidRDefault="00EC31D7" w:rsidP="00415224">
            <w:pPr>
              <w:pStyle w:val="F2Alt-texttabulky"/>
              <w:rPr>
                <w:highlight w:val="black"/>
              </w:rPr>
            </w:pPr>
            <w:r>
              <w:rPr>
                <w:noProof/>
                <w:color w:val="000000"/>
                <w:highlight w:val="black"/>
              </w:rPr>
              <w:t>''''''''''''''''''''''''''</w:t>
            </w:r>
          </w:p>
        </w:tc>
        <w:tc>
          <w:tcPr>
            <w:tcW w:w="2340" w:type="dxa"/>
            <w:shd w:val="clear" w:color="auto" w:fill="auto"/>
          </w:tcPr>
          <w:p w:rsidR="00797957" w:rsidRPr="00EC31D7" w:rsidRDefault="00EC31D7" w:rsidP="00415224">
            <w:pPr>
              <w:pStyle w:val="F2Alt-texttabulky"/>
              <w:jc w:val="right"/>
              <w:rPr>
                <w:highlight w:val="black"/>
              </w:rPr>
            </w:pPr>
            <w:r>
              <w:rPr>
                <w:noProof/>
                <w:color w:val="000000"/>
                <w:highlight w:val="black"/>
              </w:rPr>
              <w:t>'''' ''''''''</w:t>
            </w:r>
          </w:p>
        </w:tc>
      </w:tr>
      <w:tr w:rsidR="00797957" w:rsidRPr="001865CE" w:rsidTr="00415224">
        <w:trPr>
          <w:jc w:val="center"/>
        </w:trPr>
        <w:tc>
          <w:tcPr>
            <w:tcW w:w="2323" w:type="dxa"/>
            <w:shd w:val="clear" w:color="auto" w:fill="auto"/>
          </w:tcPr>
          <w:p w:rsidR="00797957" w:rsidRPr="00EC31D7" w:rsidRDefault="00EC31D7" w:rsidP="00415224">
            <w:pPr>
              <w:pStyle w:val="F2Alt-texttabulky"/>
              <w:rPr>
                <w:highlight w:val="black"/>
              </w:rPr>
            </w:pPr>
            <w:r>
              <w:rPr>
                <w:noProof/>
                <w:color w:val="000000"/>
                <w:highlight w:val="black"/>
              </w:rPr>
              <w:t>''''''''''''''''' '''''''''''''''''''''''''</w:t>
            </w:r>
          </w:p>
        </w:tc>
        <w:tc>
          <w:tcPr>
            <w:tcW w:w="2340" w:type="dxa"/>
            <w:shd w:val="clear" w:color="auto" w:fill="auto"/>
          </w:tcPr>
          <w:p w:rsidR="00797957" w:rsidRPr="00EC31D7" w:rsidRDefault="00EC31D7" w:rsidP="00415224">
            <w:pPr>
              <w:pStyle w:val="F2Alt-texttabulky"/>
              <w:jc w:val="right"/>
              <w:rPr>
                <w:highlight w:val="black"/>
              </w:rPr>
            </w:pPr>
            <w:r>
              <w:rPr>
                <w:noProof/>
                <w:color w:val="000000"/>
                <w:highlight w:val="black"/>
              </w:rPr>
              <w:t>''' '''''''''</w:t>
            </w:r>
          </w:p>
        </w:tc>
      </w:tr>
      <w:tr w:rsidR="00797957" w:rsidRPr="001865CE" w:rsidTr="00415224">
        <w:trPr>
          <w:jc w:val="center"/>
        </w:trPr>
        <w:tc>
          <w:tcPr>
            <w:tcW w:w="2323" w:type="dxa"/>
            <w:shd w:val="clear" w:color="auto" w:fill="auto"/>
          </w:tcPr>
          <w:p w:rsidR="00797957" w:rsidRPr="00EC31D7" w:rsidRDefault="00EC31D7" w:rsidP="00415224">
            <w:pPr>
              <w:pStyle w:val="F2Alt-texttabulky"/>
              <w:rPr>
                <w:highlight w:val="black"/>
              </w:rPr>
            </w:pPr>
            <w:r>
              <w:rPr>
                <w:noProof/>
                <w:color w:val="000000"/>
                <w:highlight w:val="black"/>
              </w:rPr>
              <w:t>''''''''''''''''''''''</w:t>
            </w:r>
          </w:p>
        </w:tc>
        <w:tc>
          <w:tcPr>
            <w:tcW w:w="2340" w:type="dxa"/>
            <w:shd w:val="clear" w:color="auto" w:fill="auto"/>
          </w:tcPr>
          <w:p w:rsidR="00797957" w:rsidRPr="00EC31D7" w:rsidRDefault="00EC31D7" w:rsidP="00415224">
            <w:pPr>
              <w:pStyle w:val="F2Alt-texttabulky"/>
              <w:jc w:val="right"/>
              <w:rPr>
                <w:highlight w:val="black"/>
              </w:rPr>
            </w:pPr>
            <w:r>
              <w:rPr>
                <w:noProof/>
                <w:color w:val="000000"/>
                <w:highlight w:val="black"/>
              </w:rPr>
              <w:t>'''' ''''''''</w:t>
            </w:r>
          </w:p>
        </w:tc>
      </w:tr>
      <w:tr w:rsidR="00797957" w:rsidRPr="001865CE" w:rsidTr="00415224">
        <w:trPr>
          <w:jc w:val="center"/>
        </w:trPr>
        <w:tc>
          <w:tcPr>
            <w:tcW w:w="2323" w:type="dxa"/>
            <w:shd w:val="clear" w:color="auto" w:fill="auto"/>
          </w:tcPr>
          <w:p w:rsidR="00797957" w:rsidRPr="00EC31D7" w:rsidRDefault="00EC31D7" w:rsidP="00415224">
            <w:pPr>
              <w:pStyle w:val="F2Alt-texttabulky"/>
              <w:rPr>
                <w:highlight w:val="black"/>
              </w:rPr>
            </w:pPr>
            <w:r>
              <w:rPr>
                <w:noProof/>
                <w:color w:val="000000"/>
                <w:highlight w:val="black"/>
              </w:rPr>
              <w:t>'''''''''''''''' '''''''''''''''''''''</w:t>
            </w:r>
          </w:p>
        </w:tc>
        <w:tc>
          <w:tcPr>
            <w:tcW w:w="2340" w:type="dxa"/>
            <w:shd w:val="clear" w:color="auto" w:fill="auto"/>
          </w:tcPr>
          <w:p w:rsidR="00797957" w:rsidRPr="00EC31D7" w:rsidRDefault="00EC31D7" w:rsidP="00415224">
            <w:pPr>
              <w:pStyle w:val="F2Alt-texttabulky"/>
              <w:jc w:val="right"/>
              <w:rPr>
                <w:highlight w:val="black"/>
              </w:rPr>
            </w:pPr>
            <w:r>
              <w:rPr>
                <w:noProof/>
                <w:color w:val="000000"/>
                <w:highlight w:val="black"/>
              </w:rPr>
              <w:t>''' '''''''''</w:t>
            </w:r>
          </w:p>
        </w:tc>
      </w:tr>
      <w:tr w:rsidR="00797957" w:rsidRPr="001865CE" w:rsidTr="00415224">
        <w:trPr>
          <w:jc w:val="center"/>
        </w:trPr>
        <w:tc>
          <w:tcPr>
            <w:tcW w:w="2323" w:type="dxa"/>
            <w:shd w:val="clear" w:color="auto" w:fill="auto"/>
          </w:tcPr>
          <w:p w:rsidR="00797957" w:rsidRPr="00EC31D7" w:rsidRDefault="00EC31D7" w:rsidP="00415224">
            <w:pPr>
              <w:pStyle w:val="F2Alt-texttabulky"/>
              <w:rPr>
                <w:highlight w:val="black"/>
              </w:rPr>
            </w:pPr>
            <w:r>
              <w:rPr>
                <w:noProof/>
                <w:color w:val="000000"/>
                <w:highlight w:val="black"/>
              </w:rPr>
              <w:t>'''''''''''''''</w:t>
            </w:r>
          </w:p>
        </w:tc>
        <w:tc>
          <w:tcPr>
            <w:tcW w:w="2340" w:type="dxa"/>
            <w:shd w:val="clear" w:color="auto" w:fill="auto"/>
          </w:tcPr>
          <w:p w:rsidR="00797957" w:rsidRPr="00EC31D7" w:rsidRDefault="00EC31D7" w:rsidP="00415224">
            <w:pPr>
              <w:pStyle w:val="F2Alt-texttabulky"/>
              <w:jc w:val="right"/>
              <w:rPr>
                <w:highlight w:val="black"/>
              </w:rPr>
            </w:pPr>
            <w:r>
              <w:rPr>
                <w:noProof/>
                <w:color w:val="000000"/>
                <w:highlight w:val="black"/>
              </w:rPr>
              <w:t>'''' '''''''''</w:t>
            </w:r>
          </w:p>
        </w:tc>
      </w:tr>
    </w:tbl>
    <w:p w:rsidR="00EC47CD" w:rsidRDefault="00797957" w:rsidP="00797957">
      <w:pPr>
        <w:pStyle w:val="F2-zkladn"/>
        <w:spacing w:after="120"/>
      </w:pPr>
      <w:r w:rsidRPr="00EC47CD">
        <w:t xml:space="preserve">Veškeré částky uvedené v tomto článku </w:t>
      </w:r>
      <w:r w:rsidR="009011CC">
        <w:t>5</w:t>
      </w:r>
      <w:r w:rsidRPr="00EC47CD">
        <w:t xml:space="preserve"> nezahrnují DPH a byly navrženy s ohledem na ostatní podmínky této nabídky a Všeobecných obchodních podmínek TPA </w:t>
      </w:r>
      <w:r>
        <w:t>/</w:t>
      </w:r>
      <w:r w:rsidRPr="00415224">
        <w:t>VOP TPA CZ 2016</w:t>
      </w:r>
      <w:r w:rsidRPr="004B2EA5">
        <w:t>/ (dále</w:t>
      </w:r>
      <w:r w:rsidRPr="00EC47CD">
        <w:t xml:space="preserve"> jen </w:t>
      </w:r>
      <w:r w:rsidRPr="004B2EA5">
        <w:t>„</w:t>
      </w:r>
      <w:r w:rsidRPr="00415224">
        <w:rPr>
          <w:b/>
          <w:i/>
        </w:rPr>
        <w:t>VOP</w:t>
      </w:r>
      <w:r w:rsidRPr="004B2EA5">
        <w:t>“), mimo jiné s ohledem na ustanovení upravující odpovědnost za škodu – viz čl.</w:t>
      </w:r>
      <w:r>
        <w:t xml:space="preserve"> </w:t>
      </w:r>
      <w:r w:rsidR="009011CC">
        <w:t>6.3</w:t>
      </w:r>
      <w:r w:rsidRPr="004B2EA5">
        <w:t xml:space="preserve"> této nabídky</w:t>
      </w:r>
      <w:r w:rsidRPr="00EC47CD">
        <w:t xml:space="preserve"> a čl. 8 VOP</w:t>
      </w:r>
      <w:r w:rsidR="00EC47CD" w:rsidRPr="00EC47CD">
        <w:t>.</w:t>
      </w:r>
    </w:p>
    <w:p w:rsidR="00797957" w:rsidRPr="00EC47CD" w:rsidRDefault="00214DF9" w:rsidP="00797957">
      <w:pPr>
        <w:pStyle w:val="F2-zkladn"/>
        <w:spacing w:after="120"/>
      </w:pPr>
      <w:r>
        <w:rPr>
          <w:noProof/>
        </w:rPr>
        <mc:AlternateContent>
          <mc:Choice Requires="wps">
            <w:drawing>
              <wp:anchor distT="0" distB="0" distL="114300" distR="114300" simplePos="0" relativeHeight="251679744" behindDoc="0" locked="0" layoutInCell="1" allowOverlap="1" wp14:anchorId="30E34D3F" wp14:editId="1B1748D3">
                <wp:simplePos x="0" y="0"/>
                <wp:positionH relativeFrom="column">
                  <wp:posOffset>4761865</wp:posOffset>
                </wp:positionH>
                <wp:positionV relativeFrom="paragraph">
                  <wp:posOffset>1469694</wp:posOffset>
                </wp:positionV>
                <wp:extent cx="1104900" cy="266700"/>
                <wp:effectExtent l="0" t="0" r="0" b="0"/>
                <wp:wrapNone/>
                <wp:docPr id="19" name="Textové pole 19"/>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4DF9" w:rsidRPr="00214DF9" w:rsidRDefault="00214DF9" w:rsidP="00214DF9">
                            <w:pPr>
                              <w:jc w:val="right"/>
                              <w:rPr>
                                <w:rFonts w:ascii="Ariel" w:hAnsi="Ariel"/>
                                <w:sz w:val="16"/>
                                <w:szCs w:val="16"/>
                              </w:rPr>
                            </w:pPr>
                            <w:r>
                              <w:rPr>
                                <w:rFonts w:ascii="Ariel" w:hAnsi="Ariel"/>
                                <w:sz w:val="16"/>
                                <w:szCs w:val="16"/>
                              </w:rPr>
                              <w:t>Stránka 4 z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9" o:spid="_x0000_s1028" type="#_x0000_t202" style="position:absolute;left:0;text-align:left;margin-left:374.95pt;margin-top:115.7pt;width:87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" fillcolor="white [3201]" stroked="f" strokeweight=".5pt">
                <v:textbox>
                  <w:txbxContent>
                    <w:p w:rsidR="00214DF9" w:rsidRPr="00214DF9" w:rsidRDefault="00214DF9" w:rsidP="00214DF9">
                      <w:pPr>
                        <w:jc w:val="right"/>
                        <w:rPr>
                          <w:rFonts w:ascii="Ariel" w:hAnsi="Ariel"/>
                          <w:sz w:val="16"/>
                          <w:szCs w:val="16"/>
                        </w:rPr>
                      </w:pPr>
                      <w:r>
                        <w:rPr>
                          <w:rFonts w:ascii="Ariel" w:hAnsi="Ariel"/>
                          <w:sz w:val="16"/>
                          <w:szCs w:val="16"/>
                        </w:rPr>
                        <w:t>Stránka 4 z 7</w:t>
                      </w:r>
                    </w:p>
                  </w:txbxContent>
                </v:textbox>
              </v:shape>
            </w:pict>
          </mc:Fallback>
        </mc:AlternateContent>
      </w:r>
    </w:p>
    <w:p w:rsidR="009C0623" w:rsidRDefault="009C0623" w:rsidP="009C0623">
      <w:pPr>
        <w:pStyle w:val="F10-nadpis1"/>
      </w:pPr>
      <w:r>
        <w:t>Další ujednání</w:t>
      </w:r>
    </w:p>
    <w:p w:rsidR="009C0623" w:rsidRDefault="00A43568" w:rsidP="009C0623">
      <w:pPr>
        <w:pStyle w:val="F9-nadpis2"/>
      </w:pPr>
      <w:r>
        <w:t>Poskytovatel</w:t>
      </w:r>
    </w:p>
    <w:p w:rsidR="00797957" w:rsidRDefault="00797957" w:rsidP="00797957">
      <w:pPr>
        <w:pStyle w:val="F2-zkladn"/>
      </w:pPr>
      <w:r>
        <w:t>Poradenství související s vypracováním stanoviska bude poskytnuto společností TPA Tax s.r.o., IČO: 261 26 851, se sídlem Praha 4, Antala Staška 2027/79, PSČ: 140 00, zapsaná v obchodním rejstříku vedeném Městským soudem v Praze, oddíl C, vložka 72491, (dále jen „</w:t>
      </w:r>
      <w:r w:rsidRPr="00415224">
        <w:rPr>
          <w:b/>
          <w:i/>
        </w:rPr>
        <w:t>TPA</w:t>
      </w:r>
      <w:r>
        <w:t>“ či „</w:t>
      </w:r>
      <w:r w:rsidRPr="00415224">
        <w:rPr>
          <w:b/>
          <w:i/>
        </w:rPr>
        <w:t>poskytovatel</w:t>
      </w:r>
      <w:r>
        <w:t>“). TPA je osobou oprávněnou k poskytování daňového poradenství ve smyslu ustanovení § 3 odst. 6 zákona č. 523/1992 Sb., o daňovém poradenství a Komoře daňových poradců České republiky, v platném znění, a ve smyslu Stanov Komory daňových poradců ČR. TPA bude poskytovat klientovi daňové poradenství pomocí daňových poradců zapsaných nebo zaregistrovaných v seznamu daňových poradců vedeným Komorou daňových poradců České republiky. Činnost daňového poradce, jehož pomocí je daňové poradenství poskytováno, se považuje výlučně za činnost TPA.</w:t>
      </w:r>
    </w:p>
    <w:p w:rsidR="00797957" w:rsidRDefault="00797957" w:rsidP="00797957">
      <w:pPr>
        <w:pStyle w:val="F2-zkladn"/>
      </w:pPr>
      <w:r>
        <w:t xml:space="preserve">Vztahy poskytovatele a klienta dle této nabídky se řídí touto nabídkou a VOP, které jsou její součástí. Podpisem této nabídky klient potvrzuje, že se s VOP seznámil a že s nimi souhlasí. Odchylná ujednání v této nabídce mají přednost před VOP. </w:t>
      </w:r>
    </w:p>
    <w:p w:rsidR="00797957" w:rsidRDefault="00797957" w:rsidP="00797957">
      <w:pPr>
        <w:pStyle w:val="F2-zkladn"/>
      </w:pPr>
      <w:r>
        <w:t xml:space="preserve">Akceptací této nabídky je uzavřena smlouva o poskytování služeb, nejedná se o smlouvu o dílo ve smyslu § 2586 a násl. </w:t>
      </w:r>
      <w:r w:rsidRPr="00B06A20">
        <w:t>zákona č. 89/2012</w:t>
      </w:r>
      <w:r>
        <w:t xml:space="preserve"> Sb.</w:t>
      </w:r>
      <w:r w:rsidRPr="00B06A20">
        <w:t>, občan</w:t>
      </w:r>
      <w:r>
        <w:t>ského zákoníku, v platném znění (</w:t>
      </w:r>
      <w:r w:rsidRPr="00B06A20">
        <w:t xml:space="preserve">dále jen </w:t>
      </w:r>
      <w:r>
        <w:t>„</w:t>
      </w:r>
      <w:r w:rsidRPr="00415224">
        <w:rPr>
          <w:b/>
          <w:i/>
        </w:rPr>
        <w:t>ObčZ</w:t>
      </w:r>
      <w:r>
        <w:t>“). Odchylně od § 558 ObčZ mají dispozitivní ustanovení zákona přednost před obchodními zvyklostmi.</w:t>
      </w:r>
    </w:p>
    <w:p w:rsidR="009C0623" w:rsidRDefault="00797957" w:rsidP="00797957">
      <w:pPr>
        <w:pStyle w:val="F2-zkladn"/>
      </w:pPr>
      <w:r w:rsidRPr="00415224">
        <w:t>Tato nabídka je podmíněna dokončením právě probíhajícího procesu conflict check</w:t>
      </w:r>
      <w:r w:rsidRPr="00415224">
        <w:rPr>
          <w:rStyle w:val="Znakapoznpodarou"/>
        </w:rPr>
        <w:footnoteReference w:id="2"/>
      </w:r>
      <w:r w:rsidRPr="00415224">
        <w:t xml:space="preserve">  v rámci TPA Česká republika ve vztahu k předmětu této nabídky. V případě zjištění potenciálního konfliktu zájmů</w:t>
      </w:r>
      <w:r w:rsidRPr="00415224" w:rsidDel="00F94F5E">
        <w:t xml:space="preserve"> </w:t>
      </w:r>
      <w:r w:rsidRPr="00415224">
        <w:t>Vás budeme neprodleně informovat.</w:t>
      </w:r>
    </w:p>
    <w:p w:rsidR="009C0623" w:rsidRDefault="009C0623" w:rsidP="009C0623">
      <w:pPr>
        <w:pStyle w:val="F9-nadpis2"/>
      </w:pPr>
      <w:bookmarkStart w:id="4" w:name="_Ref413745743"/>
      <w:r>
        <w:t>Kontaktní osoba</w:t>
      </w:r>
      <w:bookmarkEnd w:id="4"/>
    </w:p>
    <w:p w:rsidR="009C0623" w:rsidRDefault="00797957" w:rsidP="009C0623">
      <w:pPr>
        <w:pStyle w:val="F2-zkladn"/>
      </w:pPr>
      <w:r>
        <w:t xml:space="preserve">Kontaktní osobou za klienta (kromě statutárního orgánu) je také paní </w:t>
      </w:r>
      <w:r w:rsidR="00EC31D7">
        <w:rPr>
          <w:noProof/>
          <w:color w:val="000000"/>
          <w:highlight w:val="black"/>
        </w:rPr>
        <w:t>'''''''''''''''''' '''''''''''''''''''''' '''''''''''''''' ''''''''''''''''''''''''''''''''''''''''''''''''''''''''''''''''''''''''''''</w:t>
      </w:r>
      <w:r>
        <w:t xml:space="preserve"> Klient je oprávněn změnit kontaktní osobu, je však povinen o provedené změně neprodleně informovat poskytovatele</w:t>
      </w:r>
      <w:r w:rsidR="009C0623">
        <w:t>.</w:t>
      </w:r>
    </w:p>
    <w:p w:rsidR="009C0623" w:rsidRDefault="009C0623" w:rsidP="009C0623">
      <w:pPr>
        <w:pStyle w:val="F9-nadpis2"/>
      </w:pPr>
      <w:bookmarkStart w:id="5" w:name="_Ref413940731"/>
      <w:r>
        <w:t>Odpovědnost za škodu</w:t>
      </w:r>
      <w:bookmarkEnd w:id="5"/>
    </w:p>
    <w:p w:rsidR="00797957" w:rsidRDefault="00214DF9" w:rsidP="00797957">
      <w:pPr>
        <w:pStyle w:val="F2-zkladn"/>
      </w:pPr>
      <w:r>
        <w:rPr>
          <w:noProof/>
        </w:rPr>
        <mc:AlternateContent>
          <mc:Choice Requires="wps">
            <w:drawing>
              <wp:anchor distT="0" distB="0" distL="114300" distR="114300" simplePos="0" relativeHeight="251677696" behindDoc="0" locked="0" layoutInCell="1" allowOverlap="1" wp14:anchorId="67517F72" wp14:editId="3C932C7B">
                <wp:simplePos x="0" y="0"/>
                <wp:positionH relativeFrom="column">
                  <wp:posOffset>4745659</wp:posOffset>
                </wp:positionH>
                <wp:positionV relativeFrom="paragraph">
                  <wp:posOffset>2335530</wp:posOffset>
                </wp:positionV>
                <wp:extent cx="1104900" cy="266700"/>
                <wp:effectExtent l="0" t="0" r="0" b="0"/>
                <wp:wrapNone/>
                <wp:docPr id="18" name="Textové pole 18"/>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4DF9" w:rsidRPr="00214DF9" w:rsidRDefault="00214DF9" w:rsidP="00214DF9">
                            <w:pPr>
                              <w:jc w:val="right"/>
                              <w:rPr>
                                <w:rFonts w:ascii="Ariel" w:hAnsi="Ariel"/>
                                <w:sz w:val="16"/>
                                <w:szCs w:val="16"/>
                              </w:rPr>
                            </w:pPr>
                            <w:r>
                              <w:rPr>
                                <w:rFonts w:ascii="Ariel" w:hAnsi="Ariel"/>
                                <w:sz w:val="16"/>
                                <w:szCs w:val="16"/>
                              </w:rPr>
                              <w:t>Stránka 5 z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8" o:spid="_x0000_s1029" type="#_x0000_t202" style="position:absolute;left:0;text-align:left;margin-left:373.65pt;margin-top:183.9pt;width:87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" fillcolor="white [3201]" stroked="f" strokeweight=".5pt">
                <v:textbox>
                  <w:txbxContent>
                    <w:p w:rsidR="00214DF9" w:rsidRPr="00214DF9" w:rsidRDefault="00214DF9" w:rsidP="00214DF9">
                      <w:pPr>
                        <w:jc w:val="right"/>
                        <w:rPr>
                          <w:rFonts w:ascii="Ariel" w:hAnsi="Ariel"/>
                          <w:sz w:val="16"/>
                          <w:szCs w:val="16"/>
                        </w:rPr>
                      </w:pPr>
                      <w:r>
                        <w:rPr>
                          <w:rFonts w:ascii="Ariel" w:hAnsi="Ariel"/>
                          <w:sz w:val="16"/>
                          <w:szCs w:val="16"/>
                        </w:rPr>
                        <w:t>Stránka 5 z 7</w:t>
                      </w:r>
                    </w:p>
                  </w:txbxContent>
                </v:textbox>
              </v:shape>
            </w:pict>
          </mc:Fallback>
        </mc:AlternateContent>
      </w:r>
      <w:r w:rsidR="00797957" w:rsidRPr="00415224">
        <w:t>Klient si je vědom toho, že poskytovatel žádným způsobem nečiní ani nijak nenahrazuje rozhodnutí, která je oprávněn a/nebo povinen činit management a/nebo statutární orgán klienta. Klient souhlasí s tím, že poskytovateli předá na jeho žádost před předáním finálního výstupu z poradenství písemné prohlášení k poskytnutým podkladům a informacím, které bude podepsané osobou oprávněnou jednat a podepisovat za klienta.</w:t>
      </w:r>
    </w:p>
    <w:p w:rsidR="009C0623" w:rsidRDefault="00797957" w:rsidP="00797957">
      <w:pPr>
        <w:pStyle w:val="F2-zkladn"/>
      </w:pPr>
      <w:r w:rsidRPr="00F2571A">
        <w:t>Poskytovatel odpovídá výlučně klientovi</w:t>
      </w:r>
      <w:r w:rsidR="00CB162B">
        <w:t>, a to</w:t>
      </w:r>
      <w:r w:rsidRPr="00F2571A">
        <w:t xml:space="preserve"> za </w:t>
      </w:r>
      <w:r w:rsidR="00CB162B">
        <w:t xml:space="preserve">jakoukoliv </w:t>
      </w:r>
      <w:r w:rsidRPr="00F2571A">
        <w:t>újmu (dále jen „</w:t>
      </w:r>
      <w:r w:rsidRPr="00415224">
        <w:rPr>
          <w:b/>
          <w:i/>
        </w:rPr>
        <w:t>škoda</w:t>
      </w:r>
      <w:r w:rsidRPr="00F2571A">
        <w:t xml:space="preserve">“) s tím, že nárok na náhradu škody bude omezen, a to v souladu s tímto článkem </w:t>
      </w:r>
      <w:r w:rsidR="009011CC">
        <w:t>6.3</w:t>
      </w:r>
      <w:r>
        <w:t xml:space="preserve"> </w:t>
      </w:r>
      <w:r w:rsidRPr="00F2571A">
        <w:t>a dále v souladu s</w:t>
      </w:r>
      <w:r w:rsidR="00CB162B">
        <w:t xml:space="preserve"> ostatními ustanoveními </w:t>
      </w:r>
      <w:r w:rsidRPr="00F2571A">
        <w:t>čl. 8 VOP</w:t>
      </w:r>
      <w:r>
        <w:t>.</w:t>
      </w:r>
      <w:r w:rsidR="009C0623">
        <w:t xml:space="preserve"> </w:t>
      </w:r>
    </w:p>
    <w:p w:rsidR="00CD2011" w:rsidRDefault="00CD2011" w:rsidP="009C0623">
      <w:pPr>
        <w:pStyle w:val="F2-zkladn"/>
      </w:pPr>
    </w:p>
    <w:p w:rsidR="009C0623" w:rsidRDefault="009C0623" w:rsidP="009C0623">
      <w:pPr>
        <w:pStyle w:val="F2-zkladn"/>
      </w:pPr>
      <w:r>
        <w:t xml:space="preserve">Za </w:t>
      </w:r>
      <w:r w:rsidR="00CC1EA4">
        <w:t>TPA</w:t>
      </w:r>
      <w:r>
        <w:t xml:space="preserve"> Tax s.r.o. s přátelským pozdravem</w:t>
      </w:r>
    </w:p>
    <w:p w:rsidR="009C0623" w:rsidRDefault="009C0623" w:rsidP="009C0623">
      <w:pPr>
        <w:pStyle w:val="F2-zkladn"/>
      </w:pPr>
    </w:p>
    <w:p w:rsidR="00CD2011" w:rsidRDefault="00CD2011" w:rsidP="009C0623">
      <w:pPr>
        <w:pStyle w:val="F2-zkladn"/>
      </w:pPr>
    </w:p>
    <w:p w:rsidR="00CD2011" w:rsidRDefault="00CD2011" w:rsidP="00CD2011">
      <w:pPr>
        <w:pStyle w:val="F2-zkladn"/>
        <w:spacing w:before="0" w:line="240" w:lineRule="auto"/>
      </w:pPr>
    </w:p>
    <w:p w:rsidR="00CD2011" w:rsidRDefault="00CD2011" w:rsidP="00CD2011">
      <w:pPr>
        <w:pStyle w:val="F2-zkladn"/>
        <w:spacing w:before="0" w:line="240" w:lineRule="auto"/>
      </w:pPr>
    </w:p>
    <w:p w:rsidR="00CD2011" w:rsidRPr="00AA1066" w:rsidRDefault="00CD2011" w:rsidP="00CD2011">
      <w:pPr>
        <w:pStyle w:val="F2-zkladn"/>
        <w:spacing w:before="0" w:line="240" w:lineRule="auto"/>
      </w:pPr>
    </w:p>
    <w:p w:rsidR="009C0623" w:rsidRDefault="009C0623" w:rsidP="00CD2011">
      <w:pPr>
        <w:pStyle w:val="F2-zkladn"/>
        <w:tabs>
          <w:tab w:val="center" w:pos="2126"/>
          <w:tab w:val="center" w:pos="6946"/>
        </w:tabs>
        <w:spacing w:before="0" w:line="240" w:lineRule="auto"/>
      </w:pPr>
      <w:r>
        <w:tab/>
        <w:t>.........................................</w:t>
      </w:r>
      <w:r>
        <w:tab/>
        <w:t>.........................................</w:t>
      </w:r>
    </w:p>
    <w:p w:rsidR="009C0623" w:rsidRDefault="009C0623" w:rsidP="00CD2011">
      <w:pPr>
        <w:pStyle w:val="F2-zkladn"/>
        <w:tabs>
          <w:tab w:val="center" w:pos="2126"/>
          <w:tab w:val="center" w:pos="6946"/>
        </w:tabs>
        <w:spacing w:before="0" w:line="240" w:lineRule="auto"/>
      </w:pPr>
      <w:r>
        <w:tab/>
      </w:r>
      <w:r w:rsidR="00EC31D7">
        <w:rPr>
          <w:noProof/>
          <w:color w:val="000000"/>
          <w:highlight w:val="black"/>
        </w:rPr>
        <w:t>'''''''''''''' '''''''''''''''</w:t>
      </w:r>
      <w:r>
        <w:tab/>
      </w:r>
      <w:r w:rsidR="00797957">
        <w:t>Romana Pelcová</w:t>
      </w:r>
    </w:p>
    <w:p w:rsidR="009C0623" w:rsidRPr="00AA1066" w:rsidRDefault="009C0623" w:rsidP="00CD2011">
      <w:pPr>
        <w:pStyle w:val="F2-zkladn"/>
        <w:tabs>
          <w:tab w:val="center" w:pos="2126"/>
          <w:tab w:val="center" w:pos="6946"/>
        </w:tabs>
        <w:spacing w:before="0" w:line="240" w:lineRule="auto"/>
        <w:rPr>
          <w:i/>
          <w:iCs/>
        </w:rPr>
      </w:pPr>
      <w:r>
        <w:tab/>
      </w:r>
      <w:r w:rsidR="00EC31D7">
        <w:rPr>
          <w:i/>
          <w:noProof/>
          <w:color w:val="000000"/>
          <w:highlight w:val="black"/>
        </w:rPr>
        <w:t>'''''''''''''''</w:t>
      </w:r>
      <w:r w:rsidR="00EC31D7">
        <w:rPr>
          <w:noProof/>
          <w:color w:val="000000"/>
          <w:highlight w:val="black"/>
        </w:rPr>
        <w:t xml:space="preserve"> </w:t>
      </w:r>
      <w:r w:rsidR="00EC31D7">
        <w:rPr>
          <w:i/>
          <w:iCs/>
          <w:noProof/>
          <w:color w:val="000000"/>
          <w:highlight w:val="black"/>
        </w:rPr>
        <w:t>''''''''''''''''''''''</w:t>
      </w:r>
      <w:r>
        <w:rPr>
          <w:i/>
          <w:iCs/>
        </w:rPr>
        <w:tab/>
      </w:r>
      <w:r w:rsidR="00CB162B">
        <w:rPr>
          <w:i/>
          <w:iCs/>
        </w:rPr>
        <w:t>jednatel</w:t>
      </w:r>
    </w:p>
    <w:p w:rsidR="009C0623" w:rsidRDefault="009C0623" w:rsidP="009C0623">
      <w:pPr>
        <w:pStyle w:val="F2-zkladn"/>
      </w:pPr>
    </w:p>
    <w:p w:rsidR="001021F5" w:rsidRPr="00797957" w:rsidRDefault="001021F5" w:rsidP="00ED2A4C">
      <w:pPr>
        <w:pStyle w:val="F2-zkladn"/>
      </w:pPr>
      <w:r w:rsidRPr="00797957">
        <w:t>Přílohy:</w:t>
      </w:r>
    </w:p>
    <w:p w:rsidR="00CD2011" w:rsidRPr="00797957" w:rsidRDefault="00214DF9" w:rsidP="0089261C">
      <w:pPr>
        <w:pStyle w:val="F2-zkladn"/>
        <w:numPr>
          <w:ilvl w:val="0"/>
          <w:numId w:val="27"/>
        </w:numPr>
        <w:ind w:left="714" w:hanging="357"/>
      </w:pPr>
      <w:r>
        <w:rPr>
          <w:noProof/>
        </w:rPr>
        <mc:AlternateContent>
          <mc:Choice Requires="wps">
            <w:drawing>
              <wp:anchor distT="0" distB="0" distL="114300" distR="114300" simplePos="0" relativeHeight="251675648" behindDoc="0" locked="0" layoutInCell="1" allowOverlap="1" wp14:anchorId="136D805D" wp14:editId="6AE21D44">
                <wp:simplePos x="0" y="0"/>
                <wp:positionH relativeFrom="column">
                  <wp:posOffset>4687874</wp:posOffset>
                </wp:positionH>
                <wp:positionV relativeFrom="paragraph">
                  <wp:posOffset>5434965</wp:posOffset>
                </wp:positionV>
                <wp:extent cx="1104900" cy="266700"/>
                <wp:effectExtent l="0" t="0" r="0" b="0"/>
                <wp:wrapNone/>
                <wp:docPr id="16" name="Textové pole 16"/>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4DF9" w:rsidRPr="00214DF9" w:rsidRDefault="00214DF9" w:rsidP="00214DF9">
                            <w:pPr>
                              <w:jc w:val="right"/>
                              <w:rPr>
                                <w:rFonts w:ascii="Ariel" w:hAnsi="Ariel"/>
                                <w:sz w:val="16"/>
                                <w:szCs w:val="16"/>
                              </w:rPr>
                            </w:pPr>
                            <w:r>
                              <w:rPr>
                                <w:rFonts w:ascii="Ariel" w:hAnsi="Ariel"/>
                                <w:sz w:val="16"/>
                                <w:szCs w:val="16"/>
                              </w:rPr>
                              <w:t>Stránka 6 z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6" o:spid="_x0000_s1030" type="#_x0000_t202" style="position:absolute;left:0;text-align:left;margin-left:369.1pt;margin-top:427.95pt;width:87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" fillcolor="white [3201]" stroked="f" strokeweight=".5pt">
                <v:textbox>
                  <w:txbxContent>
                    <w:p w:rsidR="00214DF9" w:rsidRPr="00214DF9" w:rsidRDefault="00214DF9" w:rsidP="00214DF9">
                      <w:pPr>
                        <w:jc w:val="right"/>
                        <w:rPr>
                          <w:rFonts w:ascii="Ariel" w:hAnsi="Ariel"/>
                          <w:sz w:val="16"/>
                          <w:szCs w:val="16"/>
                        </w:rPr>
                      </w:pPr>
                      <w:r>
                        <w:rPr>
                          <w:rFonts w:ascii="Ariel" w:hAnsi="Ariel"/>
                          <w:sz w:val="16"/>
                          <w:szCs w:val="16"/>
                        </w:rPr>
                        <w:t>Stránka 6 z 7</w:t>
                      </w:r>
                    </w:p>
                  </w:txbxContent>
                </v:textbox>
              </v:shape>
            </w:pict>
          </mc:Fallback>
        </mc:AlternateContent>
      </w:r>
      <w:r w:rsidR="001021F5" w:rsidRPr="00797957">
        <w:t>VOP</w:t>
      </w:r>
    </w:p>
    <w:p w:rsidR="00ED2A4C" w:rsidRDefault="00ED2A4C" w:rsidP="00CD2011">
      <w:pPr>
        <w:pStyle w:val="F2-zkladn"/>
        <w:pageBreakBefore/>
      </w:pPr>
      <w:r>
        <w:t>S výše uvedenou nabídkou</w:t>
      </w:r>
      <w:r w:rsidR="00596A0F">
        <w:t xml:space="preserve"> bez výhrad</w:t>
      </w:r>
      <w:r>
        <w:t xml:space="preserve"> souhlasíme</w:t>
      </w:r>
      <w:r w:rsidR="00596A0F">
        <w:t xml:space="preserve"> (přijetí nabídky s výhradami je považováno za nový návrh smlouvy, který musí být poskytovatelem výslovně akceptován)</w:t>
      </w:r>
      <w:r>
        <w:t>.</w:t>
      </w:r>
    </w:p>
    <w:p w:rsidR="00ED2A4C" w:rsidRDefault="00ED2A4C" w:rsidP="00ED2A4C">
      <w:pPr>
        <w:pStyle w:val="F2-zkladn"/>
        <w:spacing w:before="120"/>
      </w:pPr>
      <w:r>
        <w:t xml:space="preserve">Nabídka přijata dne: </w:t>
      </w:r>
      <w:r>
        <w:tab/>
      </w:r>
      <w:r w:rsidR="001865CE">
        <w:t>20. 7. 2017</w:t>
      </w:r>
    </w:p>
    <w:p w:rsidR="00797957" w:rsidRDefault="00797957" w:rsidP="00797957">
      <w:pPr>
        <w:pStyle w:val="F2-zkladn"/>
        <w:spacing w:before="120"/>
      </w:pPr>
      <w:r>
        <w:t>Obchodní firma klienta:</w:t>
      </w:r>
      <w:r>
        <w:tab/>
      </w:r>
      <w:r w:rsidRPr="00103B21">
        <w:t>Pražská plynárenská Distribuce, a.s., člen koncernu Pražská plynárenská, a.s.</w:t>
      </w:r>
    </w:p>
    <w:p w:rsidR="00797957" w:rsidRDefault="00797957" w:rsidP="00797957">
      <w:pPr>
        <w:pStyle w:val="F2-zkladn"/>
        <w:spacing w:before="120"/>
      </w:pPr>
      <w:r>
        <w:t>Sídlo klienta:</w:t>
      </w:r>
      <w:r>
        <w:tab/>
      </w:r>
      <w:r>
        <w:tab/>
      </w:r>
      <w:r w:rsidRPr="00103B21">
        <w:t>Praha 4, U Plynárny 500, PSČ 145</w:t>
      </w:r>
      <w:r>
        <w:t xml:space="preserve"> </w:t>
      </w:r>
      <w:r w:rsidRPr="00103B21">
        <w:t>08</w:t>
      </w:r>
    </w:p>
    <w:p w:rsidR="00797957" w:rsidRDefault="00797957" w:rsidP="00797957">
      <w:pPr>
        <w:pStyle w:val="F2-zkladn"/>
        <w:spacing w:before="120"/>
      </w:pPr>
      <w:r>
        <w:t xml:space="preserve">IČO klienta: </w:t>
      </w:r>
      <w:r>
        <w:tab/>
      </w:r>
      <w:r>
        <w:tab/>
      </w:r>
      <w:r w:rsidRPr="00103B21">
        <w:t>274</w:t>
      </w:r>
      <w:r>
        <w:t xml:space="preserve"> </w:t>
      </w:r>
      <w:r w:rsidRPr="00103B21">
        <w:t>03</w:t>
      </w:r>
      <w:r>
        <w:t xml:space="preserve"> </w:t>
      </w:r>
      <w:r w:rsidRPr="00103B21">
        <w:t>505</w:t>
      </w:r>
    </w:p>
    <w:p w:rsidR="00B16C80" w:rsidRDefault="00797957" w:rsidP="00B16C80">
      <w:pPr>
        <w:pStyle w:val="F2-zkladn"/>
      </w:pPr>
      <w:r>
        <w:t>Osoba / osoby v zastoupení klienta:</w:t>
      </w:r>
    </w:p>
    <w:p w:rsidR="00B16C80" w:rsidRDefault="00B16C80" w:rsidP="00B16C80">
      <w:pPr>
        <w:pStyle w:val="F2-zkladn"/>
      </w:pPr>
    </w:p>
    <w:p w:rsidR="00797957" w:rsidRDefault="00B16C80" w:rsidP="00B16C80">
      <w:pPr>
        <w:pStyle w:val="F2-zkladn"/>
      </w:pPr>
      <w:r>
        <w:tab/>
      </w:r>
      <w:r>
        <w:tab/>
      </w:r>
      <w:r w:rsidR="00797957">
        <w:t>.</w:t>
      </w:r>
      <w:r w:rsidR="00797957">
        <w:tab/>
      </w:r>
      <w:r w:rsidR="00797957">
        <w:tab/>
        <w:t>...............................................</w:t>
      </w:r>
    </w:p>
    <w:p w:rsidR="0030356C" w:rsidRDefault="0030356C" w:rsidP="00797957">
      <w:pPr>
        <w:pStyle w:val="F2-zkladn"/>
        <w:spacing w:before="0"/>
        <w:rPr>
          <w:i/>
          <w:iCs/>
        </w:rPr>
      </w:pPr>
      <w:r>
        <w:rPr>
          <w:i/>
          <w:iCs/>
        </w:rPr>
        <w:t>Ing. Martin Slabý</w:t>
      </w:r>
      <w:r w:rsidRPr="0030356C">
        <w:rPr>
          <w:i/>
          <w:iCs/>
        </w:rPr>
        <w:t xml:space="preserve"> </w:t>
      </w:r>
      <w:r>
        <w:rPr>
          <w:i/>
          <w:iCs/>
        </w:rPr>
        <w:tab/>
      </w:r>
      <w:r>
        <w:rPr>
          <w:i/>
          <w:iCs/>
        </w:rPr>
        <w:tab/>
      </w:r>
      <w:r>
        <w:rPr>
          <w:i/>
          <w:iCs/>
        </w:rPr>
        <w:tab/>
      </w:r>
      <w:r w:rsidRPr="009C0623">
        <w:rPr>
          <w:i/>
          <w:iCs/>
        </w:rPr>
        <w:t>podpis</w:t>
      </w:r>
    </w:p>
    <w:p w:rsidR="00797957" w:rsidRPr="009C0623" w:rsidRDefault="0030356C" w:rsidP="00797957">
      <w:pPr>
        <w:pStyle w:val="F2-zkladn"/>
        <w:spacing w:before="0"/>
        <w:rPr>
          <w:i/>
          <w:iCs/>
        </w:rPr>
      </w:pPr>
      <w:r>
        <w:rPr>
          <w:i/>
          <w:iCs/>
        </w:rPr>
        <w:t>předseda představenstva</w:t>
      </w:r>
      <w:r w:rsidR="00797957" w:rsidRPr="009C0623">
        <w:rPr>
          <w:i/>
          <w:iCs/>
        </w:rPr>
        <w:tab/>
      </w:r>
      <w:r w:rsidR="00797957" w:rsidRPr="009C0623">
        <w:rPr>
          <w:i/>
          <w:iCs/>
        </w:rPr>
        <w:tab/>
      </w:r>
      <w:r w:rsidR="00797957" w:rsidRPr="009C0623">
        <w:rPr>
          <w:i/>
          <w:iCs/>
        </w:rPr>
        <w:tab/>
      </w:r>
    </w:p>
    <w:p w:rsidR="00797957" w:rsidRDefault="00B16C80" w:rsidP="00797957">
      <w:pPr>
        <w:pStyle w:val="F2-zkladn"/>
        <w:spacing w:before="960"/>
      </w:pPr>
      <w:r>
        <w:tab/>
      </w:r>
      <w:r>
        <w:tab/>
      </w:r>
      <w:r w:rsidR="00797957">
        <w:tab/>
      </w:r>
      <w:r w:rsidR="00797957">
        <w:tab/>
        <w:t>...............................................</w:t>
      </w:r>
    </w:p>
    <w:p w:rsidR="0030356C" w:rsidRDefault="0030356C" w:rsidP="00797957">
      <w:pPr>
        <w:pStyle w:val="F2-zkladn"/>
        <w:spacing w:before="0"/>
        <w:rPr>
          <w:i/>
          <w:iCs/>
        </w:rPr>
      </w:pPr>
      <w:r>
        <w:rPr>
          <w:i/>
          <w:iCs/>
        </w:rPr>
        <w:t>Ing. Pavlína Kouřilová</w:t>
      </w:r>
      <w:r w:rsidRPr="0030356C">
        <w:rPr>
          <w:i/>
          <w:iCs/>
        </w:rPr>
        <w:t xml:space="preserve"> </w:t>
      </w:r>
      <w:r>
        <w:rPr>
          <w:i/>
          <w:iCs/>
        </w:rPr>
        <w:tab/>
      </w:r>
      <w:r>
        <w:rPr>
          <w:i/>
          <w:iCs/>
        </w:rPr>
        <w:tab/>
      </w:r>
      <w:r>
        <w:rPr>
          <w:i/>
          <w:iCs/>
        </w:rPr>
        <w:tab/>
      </w:r>
      <w:r w:rsidRPr="009C0623">
        <w:rPr>
          <w:i/>
          <w:iCs/>
        </w:rPr>
        <w:t>podpis</w:t>
      </w:r>
    </w:p>
    <w:p w:rsidR="00797957" w:rsidRDefault="0030356C" w:rsidP="00797957">
      <w:pPr>
        <w:pStyle w:val="F2-zkladn"/>
        <w:spacing w:before="0"/>
      </w:pPr>
      <w:r>
        <w:rPr>
          <w:i/>
          <w:iCs/>
        </w:rPr>
        <w:t>členka představenstva</w:t>
      </w:r>
      <w:r w:rsidR="00797957" w:rsidRPr="009C0623">
        <w:rPr>
          <w:i/>
          <w:iCs/>
        </w:rPr>
        <w:tab/>
      </w:r>
      <w:r w:rsidR="00797957" w:rsidRPr="009C0623">
        <w:rPr>
          <w:i/>
          <w:iCs/>
        </w:rPr>
        <w:tab/>
      </w:r>
      <w:r w:rsidR="00797957" w:rsidRPr="009C0623">
        <w:rPr>
          <w:i/>
          <w:iCs/>
        </w:rPr>
        <w:tab/>
      </w:r>
    </w:p>
    <w:p w:rsidR="00797957" w:rsidRDefault="00797957" w:rsidP="00797957">
      <w:pPr>
        <w:pStyle w:val="F2-zkladn"/>
      </w:pPr>
      <w:r>
        <w:t xml:space="preserve"> </w:t>
      </w:r>
    </w:p>
    <w:p w:rsidR="009C0623" w:rsidRDefault="009C0623" w:rsidP="009C0623">
      <w:pPr>
        <w:pStyle w:val="F2-zkladn"/>
      </w:pPr>
    </w:p>
    <w:p w:rsidR="009C0623" w:rsidRDefault="009C0623" w:rsidP="009C0623">
      <w:pPr>
        <w:pStyle w:val="F2-zkladn"/>
        <w:sectPr w:rsidR="009C0623" w:rsidSect="00797957">
          <w:headerReference w:type="default" r:id="rId9"/>
          <w:footerReference w:type="default" r:id="rId10"/>
          <w:headerReference w:type="first" r:id="rId11"/>
          <w:footerReference w:type="first" r:id="rId12"/>
          <w:pgSz w:w="11906" w:h="16838" w:code="9"/>
          <w:pgMar w:top="1985" w:right="1418" w:bottom="1560" w:left="1418" w:header="567" w:footer="357" w:gutter="0"/>
          <w:cols w:space="708"/>
          <w:titlePg/>
          <w:docGrid w:linePitch="360"/>
        </w:sectPr>
      </w:pPr>
    </w:p>
    <w:p w:rsidR="00BA241C" w:rsidRDefault="00BA241C" w:rsidP="00BA241C">
      <w:pPr>
        <w:pStyle w:val="slovantext"/>
        <w:numPr>
          <w:ilvl w:val="0"/>
          <w:numId w:val="0"/>
        </w:numPr>
        <w:ind w:left="680" w:hanging="680"/>
      </w:pPr>
    </w:p>
    <w:p w:rsidR="00BA241C" w:rsidRDefault="00BA241C" w:rsidP="00BA241C">
      <w:pPr>
        <w:pStyle w:val="slovantext"/>
        <w:numPr>
          <w:ilvl w:val="0"/>
          <w:numId w:val="0"/>
        </w:numPr>
        <w:ind w:left="680" w:hanging="680"/>
      </w:pPr>
    </w:p>
    <w:p w:rsidR="00BA241C" w:rsidRDefault="00BA241C" w:rsidP="00BA241C">
      <w:pPr>
        <w:pStyle w:val="slovantext"/>
        <w:numPr>
          <w:ilvl w:val="0"/>
          <w:numId w:val="0"/>
        </w:numPr>
        <w:ind w:left="680" w:hanging="680"/>
      </w:pPr>
    </w:p>
    <w:p w:rsidR="00BA241C" w:rsidRDefault="00BA241C" w:rsidP="00BA241C">
      <w:pPr>
        <w:pStyle w:val="slovantext"/>
        <w:numPr>
          <w:ilvl w:val="0"/>
          <w:numId w:val="0"/>
        </w:numPr>
        <w:ind w:left="680" w:hanging="680"/>
      </w:pPr>
    </w:p>
    <w:p w:rsidR="00BA241C" w:rsidRDefault="00BA241C" w:rsidP="00BA241C">
      <w:pPr>
        <w:pStyle w:val="slovantext"/>
        <w:numPr>
          <w:ilvl w:val="0"/>
          <w:numId w:val="0"/>
        </w:numPr>
        <w:ind w:left="680" w:hanging="680"/>
      </w:pPr>
    </w:p>
    <w:p w:rsidR="00BA241C" w:rsidRDefault="00BA241C" w:rsidP="00BA241C">
      <w:pPr>
        <w:pStyle w:val="slovantext"/>
        <w:numPr>
          <w:ilvl w:val="0"/>
          <w:numId w:val="0"/>
        </w:numPr>
        <w:ind w:left="680" w:hanging="680"/>
      </w:pPr>
    </w:p>
    <w:p w:rsidR="00BA241C" w:rsidRDefault="00BA241C" w:rsidP="00BA241C">
      <w:pPr>
        <w:pStyle w:val="slovantext"/>
        <w:numPr>
          <w:ilvl w:val="0"/>
          <w:numId w:val="0"/>
        </w:numPr>
        <w:ind w:left="680" w:hanging="680"/>
      </w:pPr>
    </w:p>
    <w:p w:rsidR="00BA241C" w:rsidRDefault="00BA241C" w:rsidP="00BA241C">
      <w:pPr>
        <w:pStyle w:val="slovantext"/>
        <w:numPr>
          <w:ilvl w:val="0"/>
          <w:numId w:val="0"/>
        </w:numPr>
        <w:ind w:left="680" w:hanging="680"/>
      </w:pPr>
    </w:p>
    <w:p w:rsidR="00BA241C" w:rsidRDefault="00BA241C" w:rsidP="00BA241C">
      <w:pPr>
        <w:pStyle w:val="slovantext"/>
        <w:numPr>
          <w:ilvl w:val="0"/>
          <w:numId w:val="0"/>
        </w:numPr>
        <w:ind w:left="680" w:hanging="680"/>
      </w:pPr>
    </w:p>
    <w:p w:rsidR="00BA241C" w:rsidRDefault="00BA241C" w:rsidP="00BA241C">
      <w:pPr>
        <w:pStyle w:val="slovantext"/>
        <w:numPr>
          <w:ilvl w:val="0"/>
          <w:numId w:val="0"/>
        </w:numPr>
        <w:ind w:left="680" w:hanging="680"/>
      </w:pPr>
    </w:p>
    <w:p w:rsidR="00BA241C" w:rsidRDefault="00BA241C" w:rsidP="00BA241C">
      <w:pPr>
        <w:pStyle w:val="slovantext"/>
        <w:numPr>
          <w:ilvl w:val="0"/>
          <w:numId w:val="0"/>
        </w:numPr>
        <w:ind w:left="680" w:hanging="680"/>
      </w:pPr>
    </w:p>
    <w:p w:rsidR="00BA241C" w:rsidRDefault="00BA241C" w:rsidP="00BA241C">
      <w:pPr>
        <w:pStyle w:val="slovantext"/>
        <w:numPr>
          <w:ilvl w:val="0"/>
          <w:numId w:val="0"/>
        </w:numPr>
        <w:ind w:left="680" w:hanging="680"/>
      </w:pPr>
    </w:p>
    <w:p w:rsidR="00BA241C" w:rsidRDefault="00BA241C" w:rsidP="00BA241C">
      <w:pPr>
        <w:pStyle w:val="slovantext"/>
        <w:numPr>
          <w:ilvl w:val="0"/>
          <w:numId w:val="0"/>
        </w:numPr>
        <w:ind w:left="680" w:hanging="680"/>
      </w:pPr>
    </w:p>
    <w:p w:rsidR="00BA241C" w:rsidRDefault="00BA241C" w:rsidP="00BA241C">
      <w:pPr>
        <w:pStyle w:val="slovantext"/>
        <w:numPr>
          <w:ilvl w:val="0"/>
          <w:numId w:val="0"/>
        </w:numPr>
        <w:ind w:left="680" w:hanging="680"/>
      </w:pPr>
    </w:p>
    <w:p w:rsidR="00BA241C" w:rsidRDefault="00BA241C" w:rsidP="00BA241C">
      <w:pPr>
        <w:pStyle w:val="slovantext"/>
        <w:numPr>
          <w:ilvl w:val="0"/>
          <w:numId w:val="0"/>
        </w:numPr>
        <w:ind w:left="680" w:hanging="680"/>
      </w:pPr>
    </w:p>
    <w:p w:rsidR="00BA241C" w:rsidRDefault="00214DF9" w:rsidP="00BA241C">
      <w:pPr>
        <w:pStyle w:val="slovantext"/>
        <w:numPr>
          <w:ilvl w:val="0"/>
          <w:numId w:val="0"/>
        </w:numPr>
        <w:ind w:left="680" w:hanging="680"/>
      </w:pPr>
      <w:r>
        <w:rPr>
          <w:noProof/>
        </w:rPr>
        <mc:AlternateContent>
          <mc:Choice Requires="wps">
            <w:drawing>
              <wp:anchor distT="0" distB="0" distL="114300" distR="114300" simplePos="0" relativeHeight="251673600" behindDoc="0" locked="0" layoutInCell="1" allowOverlap="1" wp14:anchorId="30CA32EA" wp14:editId="58100842">
                <wp:simplePos x="0" y="0"/>
                <wp:positionH relativeFrom="column">
                  <wp:posOffset>4667554</wp:posOffset>
                </wp:positionH>
                <wp:positionV relativeFrom="paragraph">
                  <wp:posOffset>870585</wp:posOffset>
                </wp:positionV>
                <wp:extent cx="1104900" cy="266700"/>
                <wp:effectExtent l="0" t="0" r="0" b="0"/>
                <wp:wrapNone/>
                <wp:docPr id="15" name="Textové pole 15"/>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4DF9" w:rsidRPr="00214DF9" w:rsidRDefault="00214DF9" w:rsidP="00214DF9">
                            <w:pPr>
                              <w:jc w:val="right"/>
                              <w:rPr>
                                <w:rFonts w:ascii="Ariel" w:hAnsi="Ariel"/>
                                <w:sz w:val="16"/>
                                <w:szCs w:val="16"/>
                              </w:rPr>
                            </w:pPr>
                            <w:r>
                              <w:rPr>
                                <w:rFonts w:ascii="Ariel" w:hAnsi="Ariel"/>
                                <w:sz w:val="16"/>
                                <w:szCs w:val="16"/>
                              </w:rPr>
                              <w:t>Stránka 7 z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5" o:spid="_x0000_s1031" type="#_x0000_t202" style="position:absolute;left:0;text-align:left;margin-left:367.5pt;margin-top:68.55pt;width:87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" fillcolor="white [3201]" stroked="f" strokeweight=".5pt">
                <v:textbox>
                  <w:txbxContent>
                    <w:p w:rsidR="00214DF9" w:rsidRPr="00214DF9" w:rsidRDefault="00214DF9" w:rsidP="00214DF9">
                      <w:pPr>
                        <w:jc w:val="right"/>
                        <w:rPr>
                          <w:rFonts w:ascii="Ariel" w:hAnsi="Ariel"/>
                          <w:sz w:val="16"/>
                          <w:szCs w:val="16"/>
                        </w:rPr>
                      </w:pPr>
                      <w:r>
                        <w:rPr>
                          <w:rFonts w:ascii="Ariel" w:hAnsi="Ariel"/>
                          <w:sz w:val="16"/>
                          <w:szCs w:val="16"/>
                        </w:rPr>
                        <w:t>Stránka 7 z 7</w:t>
                      </w:r>
                    </w:p>
                  </w:txbxContent>
                </v:textbox>
              </v:shape>
            </w:pict>
          </mc:Fallback>
        </mc:AlternateContent>
      </w:r>
    </w:p>
    <w:p w:rsidR="00BA241C" w:rsidRDefault="00BA241C" w:rsidP="00BA241C">
      <w:pPr>
        <w:pStyle w:val="slovantext"/>
        <w:numPr>
          <w:ilvl w:val="0"/>
          <w:numId w:val="0"/>
        </w:numPr>
        <w:ind w:left="680" w:hanging="680"/>
      </w:pPr>
    </w:p>
    <w:p w:rsidR="00BA241C" w:rsidRDefault="00BA241C" w:rsidP="00BA241C">
      <w:pPr>
        <w:pStyle w:val="slovantext"/>
        <w:numPr>
          <w:ilvl w:val="0"/>
          <w:numId w:val="0"/>
        </w:numPr>
        <w:ind w:left="680" w:hanging="680"/>
      </w:pPr>
    </w:p>
    <w:p w:rsidR="00BA241C" w:rsidRDefault="00BA241C" w:rsidP="00BA241C">
      <w:pPr>
        <w:pStyle w:val="slovantext"/>
        <w:numPr>
          <w:ilvl w:val="0"/>
          <w:numId w:val="0"/>
        </w:numPr>
        <w:ind w:left="680" w:hanging="680"/>
      </w:pPr>
    </w:p>
    <w:p w:rsidR="00BA241C" w:rsidRDefault="00BA241C" w:rsidP="00BA241C">
      <w:pPr>
        <w:pStyle w:val="slovantext"/>
        <w:numPr>
          <w:ilvl w:val="0"/>
          <w:numId w:val="0"/>
        </w:numPr>
        <w:ind w:left="680" w:hanging="680"/>
      </w:pPr>
    </w:p>
    <w:p w:rsidR="00BA241C" w:rsidRDefault="00BA241C" w:rsidP="00BA241C">
      <w:pPr>
        <w:pStyle w:val="slovantext"/>
        <w:numPr>
          <w:ilvl w:val="0"/>
          <w:numId w:val="0"/>
        </w:numPr>
        <w:ind w:left="680" w:hanging="680"/>
        <w:sectPr w:rsidR="00BA241C" w:rsidSect="00647315">
          <w:headerReference w:type="default" r:id="rId13"/>
          <w:footerReference w:type="default" r:id="rId14"/>
          <w:type w:val="continuous"/>
          <w:pgSz w:w="11906" w:h="16838" w:code="9"/>
          <w:pgMar w:top="2268" w:right="1418" w:bottom="2268" w:left="1418" w:header="567" w:footer="357" w:gutter="0"/>
          <w:cols w:space="708"/>
          <w:docGrid w:linePitch="360"/>
        </w:sectPr>
      </w:pPr>
    </w:p>
    <w:p w:rsidR="00BA241C" w:rsidRDefault="00BA241C" w:rsidP="00BA241C">
      <w:pPr>
        <w:pStyle w:val="slovantext"/>
        <w:numPr>
          <w:ilvl w:val="0"/>
          <w:numId w:val="0"/>
        </w:numPr>
        <w:ind w:left="680" w:hanging="680"/>
      </w:pPr>
    </w:p>
    <w:p w:rsidR="00BA241C" w:rsidRDefault="00BA241C" w:rsidP="00BA241C">
      <w:pPr>
        <w:pStyle w:val="F11-Hlavnkapitola0"/>
        <w:tabs>
          <w:tab w:val="clear" w:pos="794"/>
        </w:tabs>
        <w:ind w:left="0" w:firstLine="0"/>
      </w:pPr>
      <w:r>
        <w:t>všeobecné obchodní podmínky TPA (VOP TPA CZ 2016)</w:t>
      </w:r>
    </w:p>
    <w:p w:rsidR="00BA241C" w:rsidRPr="00AA7D70" w:rsidRDefault="00BA241C" w:rsidP="00BA241C">
      <w:pPr>
        <w:pStyle w:val="F2-zkladn"/>
      </w:pPr>
      <w:r>
        <w:rPr>
          <w:noProof/>
        </w:rPr>
        <w:drawing>
          <wp:anchor distT="0" distB="0" distL="114300" distR="114300" simplePos="0" relativeHeight="251663360" behindDoc="1" locked="0" layoutInCell="1" allowOverlap="1" wp14:anchorId="25DB0927" wp14:editId="5EFAD390">
            <wp:simplePos x="0" y="0"/>
            <wp:positionH relativeFrom="margin">
              <wp:posOffset>2599690</wp:posOffset>
            </wp:positionH>
            <wp:positionV relativeFrom="page">
              <wp:posOffset>523240</wp:posOffset>
            </wp:positionV>
            <wp:extent cx="864235" cy="644525"/>
            <wp:effectExtent l="0" t="0" r="0" b="3175"/>
            <wp:wrapSquare wrapText="bothSides"/>
            <wp:docPr id="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5" cstate="print">
                      <a:extLst>
                        <a:ext uri="{28A0092B-C50C-407E-A947-70E740481C1C}">
                          <a14:useLocalDpi xmlns:a14="http://schemas.microsoft.com/office/drawing/2010/main" val="0"/>
                        </a:ext>
                      </a:extLst>
                    </a:blip>
                    <a:srcRect l="4846" t="4874" r="4916" b="4733"/>
                    <a:stretch>
                      <a:fillRect/>
                    </a:stretch>
                  </pic:blipFill>
                  <pic:spPr bwMode="auto">
                    <a:xfrm>
                      <a:off x="0" y="0"/>
                      <a:ext cx="864235" cy="64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41C" w:rsidRDefault="00BA241C" w:rsidP="00494FD9">
      <w:pPr>
        <w:pStyle w:val="F10-nadpis1"/>
        <w:numPr>
          <w:ilvl w:val="0"/>
          <w:numId w:val="31"/>
        </w:numPr>
        <w:spacing w:before="240" w:line="220" w:lineRule="exact"/>
        <w:ind w:left="709" w:hanging="709"/>
      </w:pPr>
      <w:r>
        <w:t>Předmět úpravy</w:t>
      </w:r>
    </w:p>
    <w:p w:rsidR="00BA241C" w:rsidRPr="00494FD9" w:rsidRDefault="00494FD9" w:rsidP="00494FD9">
      <w:pPr>
        <w:pStyle w:val="F9-nadpis2"/>
        <w:numPr>
          <w:ilvl w:val="0"/>
          <w:numId w:val="0"/>
        </w:numPr>
        <w:ind w:left="794" w:hanging="794"/>
        <w:rPr>
          <w:b w:val="0"/>
        </w:rPr>
      </w:pPr>
      <w:r w:rsidRPr="00494FD9">
        <w:rPr>
          <w:b w:val="0"/>
        </w:rPr>
        <w:t>1.1</w:t>
      </w:r>
      <w:r w:rsidRPr="00494FD9">
        <w:rPr>
          <w:b w:val="0"/>
        </w:rPr>
        <w:tab/>
      </w:r>
      <w:r w:rsidR="00BA241C" w:rsidRPr="00494FD9">
        <w:rPr>
          <w:b w:val="0"/>
        </w:rPr>
        <w:t>Tyto Všeobecné obchodní podmínky (dále jen „VOP“) upravují základní rámcové podmínky, za jakých společnosti ze skupiny TPA Česká republika (dále jen „poskytovatelé“ či jednotlivě „poskytovatel“) poskytují poradenství ve smyslu článku 2.1 VOP.</w:t>
      </w:r>
    </w:p>
    <w:p w:rsidR="00BA241C" w:rsidRDefault="00BA241C" w:rsidP="00494FD9">
      <w:pPr>
        <w:pStyle w:val="F10-nadpis1"/>
        <w:keepNext w:val="0"/>
        <w:numPr>
          <w:ilvl w:val="0"/>
          <w:numId w:val="32"/>
        </w:numPr>
        <w:tabs>
          <w:tab w:val="clear" w:pos="794"/>
          <w:tab w:val="left" w:pos="680"/>
        </w:tabs>
        <w:spacing w:before="240" w:line="220" w:lineRule="exact"/>
      </w:pPr>
      <w:r>
        <w:t>Poradenství</w:t>
      </w:r>
    </w:p>
    <w:p w:rsidR="00BA241C" w:rsidRDefault="00BA241C" w:rsidP="00BA241C">
      <w:pPr>
        <w:pStyle w:val="slovantext"/>
      </w:pPr>
      <w:r>
        <w:t>Poradenství může zahrnovat:</w:t>
      </w:r>
    </w:p>
    <w:p w:rsidR="00BA241C" w:rsidRPr="005B6721" w:rsidRDefault="00BA241C" w:rsidP="00BA241C">
      <w:pPr>
        <w:pStyle w:val="Vet"/>
      </w:pPr>
      <w:r w:rsidRPr="008F3997">
        <w:t>audit</w:t>
      </w:r>
      <w:r>
        <w:t>orskou</w:t>
      </w:r>
      <w:r w:rsidRPr="008F3997">
        <w:t xml:space="preserve"> činnost,</w:t>
      </w:r>
      <w:r>
        <w:t xml:space="preserve"> kterou se rozumí </w:t>
      </w:r>
      <w:r w:rsidRPr="005B6721">
        <w:t>činnost podle zákona č. 93/2009 Sb., o auditorech, v platném znění</w:t>
      </w:r>
      <w:r>
        <w:t>,</w:t>
      </w:r>
    </w:p>
    <w:p w:rsidR="00BA241C" w:rsidRPr="005B6721" w:rsidRDefault="00BA241C" w:rsidP="00BA241C">
      <w:pPr>
        <w:pStyle w:val="Vet"/>
      </w:pPr>
      <w:r w:rsidRPr="005B6721">
        <w:t xml:space="preserve">daňové poradenství, kterým se rozumí poskytování právní pomoci a finančně ekonomických rad ve věcech daní, odvodů, poplatků a jiných podobných plateb (dále jen „daně") </w:t>
      </w:r>
      <w:r w:rsidRPr="005B6721">
        <w:rPr>
          <w:rFonts w:cs="Arial"/>
          <w:szCs w:val="20"/>
          <w:lang w:bidi="ml"/>
        </w:rPr>
        <w:t>podle zákona č. 523/1992 Sb., o daňovém poradenství a Komoře daňových poradců České republiky, v platném znění</w:t>
      </w:r>
      <w:r w:rsidRPr="005B6721">
        <w:t>, jakož i ve věcech, které s daněmi přímo souvisejí,</w:t>
      </w:r>
    </w:p>
    <w:p w:rsidR="00BA241C" w:rsidRPr="005B6721" w:rsidRDefault="00BA241C" w:rsidP="00BA241C">
      <w:pPr>
        <w:pStyle w:val="Vet"/>
      </w:pPr>
      <w:r w:rsidRPr="005B6721">
        <w:t xml:space="preserve">vedení účetnictví, kterým se rozumí účtování o stavu a pohybu majetku a jiných aktiv, závazků a jiných pasiv, dále o nákladech a výnosech a výsledku hospodaření, </w:t>
      </w:r>
      <w:r w:rsidRPr="005B6721">
        <w:rPr>
          <w:szCs w:val="20"/>
          <w:lang w:bidi="ml"/>
        </w:rPr>
        <w:t>a dále vedení daňové evidence,</w:t>
      </w:r>
    </w:p>
    <w:p w:rsidR="00BA241C" w:rsidRPr="005B6721" w:rsidRDefault="00BA241C" w:rsidP="00BA241C">
      <w:pPr>
        <w:pStyle w:val="Vet"/>
      </w:pPr>
      <w:r w:rsidRPr="005B6721">
        <w:t xml:space="preserve">vedení mezd, kterým se rozumí vedení agendy mezd osob, kterým plynou příjmy ze závislé činnosti ve smyslu zákona č. 586/1992 Sb., o daních z příjmů, </w:t>
      </w:r>
      <w:r w:rsidRPr="005B6721">
        <w:rPr>
          <w:szCs w:val="20"/>
          <w:lang w:bidi="ml"/>
        </w:rPr>
        <w:t>v platném znění,</w:t>
      </w:r>
      <w:r w:rsidRPr="005B6721">
        <w:t xml:space="preserve"> včetně provádění odvodů pojistného na zdravotní pojištění a odvodů na sociální zabezpečení u těch osob, které spadají do českého systému sociálního zabezpečení,</w:t>
      </w:r>
    </w:p>
    <w:p w:rsidR="00BA241C" w:rsidRPr="005B6721" w:rsidRDefault="00BA241C" w:rsidP="00BA241C">
      <w:pPr>
        <w:pStyle w:val="Vet"/>
      </w:pPr>
      <w:r w:rsidRPr="005B6721">
        <w:t xml:space="preserve">oceňování majetku pro věci movité, věci nemovité, nehmotný majetek, finanční majetek, </w:t>
      </w:r>
      <w:r>
        <w:t>závod</w:t>
      </w:r>
      <w:r w:rsidRPr="005B6721">
        <w:t xml:space="preserve">, </w:t>
      </w:r>
      <w:r w:rsidRPr="005B6721">
        <w:rPr>
          <w:lang w:bidi="ml"/>
        </w:rPr>
        <w:t>kterým se rozumí stejně označená činnost provozovaná na základě vázané živnosti podle zákona č. 455/1991 Sb., o živnostenském podnikání, v platném znění,</w:t>
      </w:r>
    </w:p>
    <w:p w:rsidR="00BA241C" w:rsidRPr="005B6721" w:rsidRDefault="00BA241C" w:rsidP="00BA241C">
      <w:pPr>
        <w:pStyle w:val="Vet"/>
      </w:pPr>
      <w:r w:rsidRPr="005B6721">
        <w:t xml:space="preserve">činnost soudního znalce v oboru ekonomika, </w:t>
      </w:r>
      <w:r w:rsidRPr="005B6721">
        <w:rPr>
          <w:lang w:bidi="ml"/>
        </w:rPr>
        <w:t>kterou se rozumí znalecká činnost podle zákona č. 36/1967 Sb., o znalcích a tlumočnících, v platném znění,</w:t>
      </w:r>
    </w:p>
    <w:p w:rsidR="00BA241C" w:rsidRPr="005B6721" w:rsidRDefault="00BA241C" w:rsidP="00BA241C">
      <w:pPr>
        <w:pStyle w:val="Vet"/>
      </w:pPr>
      <w:r w:rsidRPr="005B6721">
        <w:t>poradenskou a konzultační činnost, zpracování odborných studií a posudků v oboru ekonomika,</w:t>
      </w:r>
    </w:p>
    <w:p w:rsidR="00BA241C" w:rsidRDefault="00BA241C" w:rsidP="00BA241C">
      <w:pPr>
        <w:pStyle w:val="Vet"/>
        <w:numPr>
          <w:ilvl w:val="0"/>
          <w:numId w:val="0"/>
        </w:numPr>
        <w:ind w:left="680"/>
      </w:pPr>
      <w:r>
        <w:t>dále jen „poradenství“.</w:t>
      </w:r>
    </w:p>
    <w:p w:rsidR="00BA241C" w:rsidRPr="006E432F" w:rsidRDefault="00BA241C" w:rsidP="00BA241C">
      <w:pPr>
        <w:pStyle w:val="slovantext"/>
      </w:pPr>
      <w:r>
        <w:t xml:space="preserve">Konkrétní poskytované poradenství je definováno ve smlouvě uzavřené mezi poskytovatelem či poskytovateli a klientem (dále jen „smlouva“ a „klient“). Smlouvy mohou být uzavírány i formou </w:t>
      </w:r>
      <w:r w:rsidRPr="00707EE2">
        <w:t>objednávek nebo pokynů klienta</w:t>
      </w:r>
      <w:r>
        <w:t xml:space="preserve"> akceptovaných ze strany poskytovatelů </w:t>
      </w:r>
      <w:r w:rsidRPr="00F27180">
        <w:t xml:space="preserve">nebo </w:t>
      </w:r>
      <w:r>
        <w:t xml:space="preserve">formou </w:t>
      </w:r>
      <w:r w:rsidRPr="00F27180">
        <w:t>nabíd</w:t>
      </w:r>
      <w:r>
        <w:t>e</w:t>
      </w:r>
      <w:r w:rsidRPr="00F27180">
        <w:t xml:space="preserve">k </w:t>
      </w:r>
      <w:r>
        <w:t>poskytovatelů akceptovaných</w:t>
      </w:r>
      <w:r w:rsidRPr="00F27180">
        <w:t xml:space="preserve"> klientem. </w:t>
      </w:r>
      <w:r>
        <w:t>Smlouvy, objednávky, pokyny i nabídky, jakož i jejich akceptace, musí mít písemnou formu</w:t>
      </w:r>
      <w:r w:rsidRPr="006E432F">
        <w:t xml:space="preserve">. </w:t>
      </w:r>
      <w:r>
        <w:t xml:space="preserve">Písemná forma je zachována i v případě e-mailové zprávy, ledaže poskytovatel a/nebo klient trvá na uzavření smlouvy v papírové podobě s podpisy smluvních stran. </w:t>
      </w:r>
      <w:r w:rsidRPr="006E432F">
        <w:t>Pokud na straně poskytovatelů vystupuje více subjektů a není-li sjednáno jinak, odpovídá klientovi každý z poskytovatelů samostatně (nikoli solidárně), a to pouze za ty služby, které on sám klientovi poskytl.</w:t>
      </w:r>
      <w:r>
        <w:t xml:space="preserve"> K uzavření smlouvy nedojde, pokud je nabídka na poskytování poradenství akceptována s výhradami - ustanovení § 1740 odst. 3 </w:t>
      </w:r>
      <w:r w:rsidRPr="00B06A20">
        <w:t>zákona č. 89/2012, občanského zákoníku, v platném znění</w:t>
      </w:r>
      <w:r>
        <w:t xml:space="preserve"> (</w:t>
      </w:r>
      <w:r w:rsidRPr="00B06A20">
        <w:t xml:space="preserve">dále jen </w:t>
      </w:r>
      <w:r>
        <w:t>„NOZ“), se tedy nepoužije.</w:t>
      </w:r>
    </w:p>
    <w:p w:rsidR="00BA241C" w:rsidRPr="00A452DA" w:rsidRDefault="00BA241C" w:rsidP="00BA241C">
      <w:pPr>
        <w:pStyle w:val="slovantext"/>
      </w:pPr>
      <w:r w:rsidRPr="00A452DA">
        <w:t>Smlouva</w:t>
      </w:r>
      <w:r>
        <w:t xml:space="preserve"> (a to i v případě, že je v rozporu s VOP uzavřena ústní formou či konkludentně)</w:t>
      </w:r>
      <w:r w:rsidRPr="00A452DA">
        <w:t xml:space="preserve"> se řídí ustanoveními těchto </w:t>
      </w:r>
      <w:r>
        <w:t>VOP</w:t>
      </w:r>
      <w:r w:rsidRPr="00A452DA">
        <w:t xml:space="preserve">, pokud ze smlouvy výslovně nevyplývá jinak. V případě pochybností mají přednost ustanovení </w:t>
      </w:r>
      <w:r>
        <w:t>VOP</w:t>
      </w:r>
      <w:r w:rsidRPr="00A452DA">
        <w:t xml:space="preserve">. </w:t>
      </w:r>
    </w:p>
    <w:p w:rsidR="00BA241C" w:rsidRDefault="00BA241C" w:rsidP="00BA241C">
      <w:pPr>
        <w:pStyle w:val="F10-nadpis1"/>
        <w:tabs>
          <w:tab w:val="clear" w:pos="794"/>
          <w:tab w:val="left" w:pos="680"/>
        </w:tabs>
        <w:spacing w:before="240" w:line="220" w:lineRule="exact"/>
        <w:ind w:left="680" w:hanging="680"/>
      </w:pPr>
      <w:r>
        <w:t xml:space="preserve">Poradci </w:t>
      </w:r>
    </w:p>
    <w:p w:rsidR="00BA241C" w:rsidRPr="00F27180" w:rsidRDefault="00BA241C" w:rsidP="00BA241C">
      <w:pPr>
        <w:pStyle w:val="slovantext"/>
      </w:pPr>
      <w:r>
        <w:t>Poskytovatelé poskytují</w:t>
      </w:r>
      <w:r w:rsidRPr="00F27180">
        <w:t xml:space="preserve"> klientovi poradenství </w:t>
      </w:r>
      <w:r>
        <w:t>pomocí</w:t>
      </w:r>
      <w:r w:rsidRPr="00F27180">
        <w:t xml:space="preserve"> </w:t>
      </w:r>
      <w:r w:rsidRPr="0031236F">
        <w:t>svých zaměstnanců či spolupracovníků</w:t>
      </w:r>
      <w:r>
        <w:t xml:space="preserve"> (dále jen „poradci“, jednotlivě „poradce“).</w:t>
      </w:r>
    </w:p>
    <w:p w:rsidR="00BA241C" w:rsidRPr="00F27180" w:rsidRDefault="00BA241C" w:rsidP="00BA241C">
      <w:pPr>
        <w:pStyle w:val="slovantext"/>
      </w:pPr>
      <w:r>
        <w:t>Smlouva,</w:t>
      </w:r>
      <w:r w:rsidRPr="00F27180">
        <w:t xml:space="preserve"> popř. poskytnutí poradenství poradcem, jehož </w:t>
      </w:r>
      <w:r>
        <w:t>pomocí</w:t>
      </w:r>
      <w:r w:rsidRPr="00F27180">
        <w:t xml:space="preserve"> </w:t>
      </w:r>
      <w:r>
        <w:t>je poradenství ze strany poskytovatele klientovi poskytováno, zakládá</w:t>
      </w:r>
      <w:r w:rsidRPr="00F27180">
        <w:t xml:space="preserve"> smluvní vztah pouze mezi </w:t>
      </w:r>
      <w:r>
        <w:t>daným poskytovatelem a klientem a nezakládá</w:t>
      </w:r>
      <w:r w:rsidRPr="00F27180">
        <w:t xml:space="preserve"> žádný smluvní nebo jiný právní vztah mezi poradcem, jehož </w:t>
      </w:r>
      <w:r>
        <w:t>pomocí</w:t>
      </w:r>
      <w:r w:rsidRPr="00F27180">
        <w:t xml:space="preserve"> je poradenství poskytováno, a klientem.</w:t>
      </w:r>
    </w:p>
    <w:p w:rsidR="00BA241C" w:rsidRPr="005B3990" w:rsidRDefault="00817481" w:rsidP="00BA241C">
      <w:pPr>
        <w:pStyle w:val="F10-nadpis1"/>
        <w:tabs>
          <w:tab w:val="clear" w:pos="794"/>
          <w:tab w:val="left" w:pos="680"/>
        </w:tabs>
        <w:spacing w:before="240" w:line="220" w:lineRule="exact"/>
        <w:ind w:left="680" w:hanging="680"/>
      </w:pPr>
      <w:r>
        <w:rPr>
          <w:noProof/>
        </w:rPr>
        <mc:AlternateContent>
          <mc:Choice Requires="wps">
            <w:drawing>
              <wp:anchor distT="0" distB="0" distL="114300" distR="114300" simplePos="0" relativeHeight="251667456" behindDoc="0" locked="0" layoutInCell="1" allowOverlap="1" wp14:anchorId="62695C74" wp14:editId="7F0CBF5B">
                <wp:simplePos x="0" y="0"/>
                <wp:positionH relativeFrom="column">
                  <wp:posOffset>5547995</wp:posOffset>
                </wp:positionH>
                <wp:positionV relativeFrom="paragraph">
                  <wp:posOffset>-376555</wp:posOffset>
                </wp:positionV>
                <wp:extent cx="1066800" cy="276225"/>
                <wp:effectExtent l="0" t="0" r="0" b="9525"/>
                <wp:wrapNone/>
                <wp:docPr id="11" name="Textové pole 11"/>
                <wp:cNvGraphicFramePr/>
                <a:graphic xmlns:a="http://schemas.openxmlformats.org/drawingml/2006/main">
                  <a:graphicData uri="http://schemas.microsoft.com/office/word/2010/wordprocessingShape">
                    <wps:wsp>
                      <wps:cNvSpPr txBox="1"/>
                      <wps:spPr>
                        <a:xfrm>
                          <a:off x="0" y="0"/>
                          <a:ext cx="10668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4FD9" w:rsidRPr="003F1C2C" w:rsidRDefault="00494FD9" w:rsidP="00494FD9">
                            <w:pPr>
                              <w:jc w:val="right"/>
                              <w:rPr>
                                <w:rFonts w:ascii="Arial" w:hAnsi="Arial" w:cs="Arial"/>
                                <w:sz w:val="16"/>
                                <w:szCs w:val="16"/>
                              </w:rPr>
                            </w:pPr>
                            <w:r>
                              <w:rPr>
                                <w:rFonts w:ascii="Arial" w:hAnsi="Arial" w:cs="Arial"/>
                                <w:sz w:val="16"/>
                                <w:szCs w:val="16"/>
                              </w:rPr>
                              <w:t>Strana 2</w:t>
                            </w:r>
                            <w:r w:rsidRPr="003F1C2C">
                              <w:rPr>
                                <w:rFonts w:ascii="Arial" w:hAnsi="Arial" w:cs="Arial"/>
                                <w:sz w:val="16"/>
                                <w:szCs w:val="16"/>
                              </w:rPr>
                              <w:t xml:space="preserve"> z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1" o:spid="_x0000_s1032" type="#_x0000_t202" style="position:absolute;left:0;text-align:left;margin-left:436.85pt;margin-top:-29.65pt;width:84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" fillcolor="white [3201]" stroked="f" strokeweight=".5pt">
                <v:textbox>
                  <w:txbxContent>
                    <w:p w:rsidR="00494FD9" w:rsidRPr="003F1C2C" w:rsidRDefault="00494FD9" w:rsidP="00494FD9">
                      <w:pPr>
                        <w:jc w:val="right"/>
                        <w:rPr>
                          <w:rFonts w:ascii="Arial" w:hAnsi="Arial" w:cs="Arial"/>
                          <w:sz w:val="16"/>
                          <w:szCs w:val="16"/>
                        </w:rPr>
                      </w:pPr>
                      <w:r>
                        <w:rPr>
                          <w:rFonts w:ascii="Arial" w:hAnsi="Arial" w:cs="Arial"/>
                          <w:sz w:val="16"/>
                          <w:szCs w:val="16"/>
                        </w:rPr>
                        <w:t>Strana 2</w:t>
                      </w:r>
                      <w:r w:rsidRPr="003F1C2C">
                        <w:rPr>
                          <w:rFonts w:ascii="Arial" w:hAnsi="Arial" w:cs="Arial"/>
                          <w:sz w:val="16"/>
                          <w:szCs w:val="16"/>
                        </w:rPr>
                        <w:t xml:space="preserve"> z 4</w:t>
                      </w:r>
                    </w:p>
                  </w:txbxContent>
                </v:textbox>
              </v:shape>
            </w:pict>
          </mc:Fallback>
        </mc:AlternateContent>
      </w:r>
      <w:r w:rsidR="00BA241C" w:rsidRPr="005B3990">
        <w:t>Práva a povinnosti klienta</w:t>
      </w:r>
    </w:p>
    <w:p w:rsidR="00BA241C" w:rsidRDefault="00BA241C" w:rsidP="00BA241C">
      <w:pPr>
        <w:pStyle w:val="slovantext"/>
      </w:pPr>
      <w:r w:rsidRPr="00F27180">
        <w:t xml:space="preserve">Klient </w:t>
      </w:r>
      <w:r>
        <w:t xml:space="preserve">je povinen </w:t>
      </w:r>
      <w:r w:rsidRPr="00F27180">
        <w:t xml:space="preserve">poskytovat </w:t>
      </w:r>
      <w:r>
        <w:t>poskytovatelům</w:t>
      </w:r>
      <w:r w:rsidRPr="00F27180">
        <w:t xml:space="preserve"> veškerou součinnost potřebnou pro řádné poskytnutí poradenství, zejména </w:t>
      </w:r>
      <w:r>
        <w:t xml:space="preserve">jim </w:t>
      </w:r>
      <w:r w:rsidRPr="00F27180">
        <w:t xml:space="preserve">řádně a včas poskytnout i bez </w:t>
      </w:r>
      <w:r>
        <w:t>jejich</w:t>
      </w:r>
      <w:r w:rsidRPr="00F27180">
        <w:t xml:space="preserve"> výzvy veškeré potřebné informace a podklady.  </w:t>
      </w:r>
    </w:p>
    <w:p w:rsidR="00BA241C" w:rsidRDefault="00BA241C" w:rsidP="00BA241C">
      <w:pPr>
        <w:pStyle w:val="slovantext"/>
      </w:pPr>
      <w:bookmarkStart w:id="6" w:name="_Ref251924626"/>
      <w:r w:rsidRPr="00BD73BE">
        <w:t xml:space="preserve">Klient </w:t>
      </w:r>
      <w:r>
        <w:t xml:space="preserve">je povinen </w:t>
      </w:r>
      <w:r w:rsidRPr="00BD73BE">
        <w:t xml:space="preserve">neprodleně a písemně informovat </w:t>
      </w:r>
      <w:r>
        <w:t>poskytovatele</w:t>
      </w:r>
      <w:r w:rsidRPr="00BD73BE">
        <w:t xml:space="preserve"> o zahájení, průběhu a výsledku kontroly ze strany správních orgánů související s poskytnutím poradenství </w:t>
      </w:r>
      <w:r>
        <w:t>ze strany poskytovatelů</w:t>
      </w:r>
      <w:r w:rsidRPr="00BD73BE">
        <w:t xml:space="preserve"> a předat </w:t>
      </w:r>
      <w:r>
        <w:t>poskytovatelům</w:t>
      </w:r>
      <w:r w:rsidRPr="00BD73BE">
        <w:t xml:space="preserve"> kopie kontrolních protokolů a rozhodnutí správního orgánu v dané věci, a to i v případě, že kontrola probíhá po skončení </w:t>
      </w:r>
      <w:r>
        <w:t>smluvního vztahu mezi klientem a poskytovateli</w:t>
      </w:r>
      <w:r w:rsidRPr="00BD73BE">
        <w:t xml:space="preserve">. Klient se dále zavazuje předem informovat </w:t>
      </w:r>
      <w:r>
        <w:t>poskytovatele</w:t>
      </w:r>
      <w:r w:rsidRPr="00BD73BE">
        <w:t xml:space="preserve"> o</w:t>
      </w:r>
      <w:r>
        <w:t> </w:t>
      </w:r>
      <w:r w:rsidRPr="00BD73BE">
        <w:t>jakýchkoliv svých úkonech vůči správním orgánům, které s</w:t>
      </w:r>
      <w:r>
        <w:t>ouvisí s poskytnutým poradenství</w:t>
      </w:r>
      <w:r w:rsidRPr="00BD73BE">
        <w:t>m</w:t>
      </w:r>
      <w:r>
        <w:t xml:space="preserve"> ze strany poskytovatelů</w:t>
      </w:r>
      <w:r w:rsidRPr="00BD73BE">
        <w:t>.</w:t>
      </w:r>
      <w:r>
        <w:t xml:space="preserve"> Pokud kontrola </w:t>
      </w:r>
      <w:r w:rsidRPr="00445C4C">
        <w:t xml:space="preserve">souvisí s poskytnutím poradenství </w:t>
      </w:r>
      <w:r>
        <w:t xml:space="preserve">ze strany </w:t>
      </w:r>
      <w:r w:rsidRPr="00445C4C">
        <w:t>poskytovatel</w:t>
      </w:r>
      <w:r>
        <w:t>ů</w:t>
      </w:r>
      <w:r w:rsidRPr="00445C4C">
        <w:t xml:space="preserve"> a</w:t>
      </w:r>
      <w:r>
        <w:t xml:space="preserve"> poskytovatelé to požadují, je klient povinen jim umožnit, aby se </w:t>
      </w:r>
      <w:r w:rsidRPr="00445C4C">
        <w:t>této kontroly aktivně zúčastnili.</w:t>
      </w:r>
      <w:bookmarkEnd w:id="6"/>
    </w:p>
    <w:p w:rsidR="00BA241C" w:rsidRPr="003D47E4" w:rsidRDefault="00BA241C" w:rsidP="00BA241C">
      <w:pPr>
        <w:pStyle w:val="slovantext"/>
      </w:pPr>
      <w:r w:rsidRPr="00F27180">
        <w:t>Aby mohl</w:t>
      </w:r>
      <w:r>
        <w:t>i</w:t>
      </w:r>
      <w:r w:rsidRPr="00F27180">
        <w:t xml:space="preserve"> poskytovatel</w:t>
      </w:r>
      <w:r>
        <w:t>é</w:t>
      </w:r>
      <w:r w:rsidRPr="00F27180">
        <w:t xml:space="preserve"> zabránit vzniku škody či omezit její rozsah, je klient povinen i po skončení </w:t>
      </w:r>
      <w:r>
        <w:t xml:space="preserve">smluvního vztahu </w:t>
      </w:r>
      <w:r w:rsidRPr="00F27180">
        <w:t xml:space="preserve">bezodkladně </w:t>
      </w:r>
      <w:r>
        <w:t xml:space="preserve">daného </w:t>
      </w:r>
      <w:r w:rsidRPr="00F27180">
        <w:t xml:space="preserve">poskytovatele informovat o všech skutečnostech, na základě kterých by mohla vzniknout škoda v souvislosti s poskytnutím poradenství poskytovatelem, a respektovat písemná doporučení poskytovatele. </w:t>
      </w:r>
      <w:r w:rsidRPr="003D47E4">
        <w:t>Bude-li klientovi v této souvislosti</w:t>
      </w:r>
      <w:r>
        <w:t xml:space="preserve">, popř. v souladu s článkem 4.2 VOP </w:t>
      </w:r>
      <w:r w:rsidRPr="003D47E4">
        <w:t>poskytnuta jakákoliv služba poradenství, má poskytovatel nárok na odměnu a náhradu nákladů</w:t>
      </w:r>
      <w:r>
        <w:t>.</w:t>
      </w:r>
    </w:p>
    <w:p w:rsidR="00BA241C" w:rsidRPr="00F80E17" w:rsidRDefault="00BA241C" w:rsidP="00BA241C">
      <w:pPr>
        <w:pStyle w:val="slovantext"/>
      </w:pPr>
      <w:r w:rsidRPr="00F27180">
        <w:t xml:space="preserve">Klient </w:t>
      </w:r>
      <w:r>
        <w:t xml:space="preserve">se zavazuje, že </w:t>
      </w:r>
      <w:r w:rsidRPr="00F27180">
        <w:t xml:space="preserve">nebude </w:t>
      </w:r>
      <w:r>
        <w:t>poradcům</w:t>
      </w:r>
      <w:r w:rsidRPr="00F27180">
        <w:t>, se kterými v rámci poskytování poradenství přijde do styku, nabízet zaměstnání či jiný smluvní vztah, na základě kterého by došlo nebo mohlo dojít k poskytování poradenství jiným způsobem, než</w:t>
      </w:r>
      <w:r w:rsidRPr="00B20164">
        <w:t xml:space="preserve"> prostřednictvím poskytovatelů, ani vyvíjet jakoukoli činnost, která by směřovala k ovlivňování těchto osob k přerušení nebo omezení jejich spolupráce s poskytovateli</w:t>
      </w:r>
      <w:r w:rsidRPr="00F80E17">
        <w:t xml:space="preserve">. </w:t>
      </w:r>
    </w:p>
    <w:p w:rsidR="00BA241C" w:rsidRPr="004A7247" w:rsidRDefault="00BA241C" w:rsidP="00BA241C">
      <w:pPr>
        <w:pStyle w:val="slovantext"/>
      </w:pPr>
      <w:r w:rsidRPr="00AE2687">
        <w:t xml:space="preserve">Klient </w:t>
      </w:r>
      <w:r>
        <w:t xml:space="preserve">je povinen </w:t>
      </w:r>
      <w:r w:rsidRPr="00AE2687">
        <w:t xml:space="preserve">poskytovatele neprodleně písemně informovat o změně svých identifikačních údajů, jakož i údajů osoby, která je za něj </w:t>
      </w:r>
      <w:r w:rsidRPr="00B06A20">
        <w:t>oprávněna jednat, a tyto skutečnosti na vyžádání poskytovatelům doložit. Současně je klient povinen poskytovatelům poskytnout</w:t>
      </w:r>
      <w:r w:rsidRPr="00E02234">
        <w:t xml:space="preserve"> veškerou součinnost, které bude zapotřebí pro plnění povinností poskytovatelů vyplývajících ze zákona č. 253/2008 Sb., o některých opatřeních proti legalizaci výnosů z trestné činnosti a financování terorismu, v platném znění, a to zejména při provádění kontr</w:t>
      </w:r>
      <w:r w:rsidRPr="001F7E19">
        <w:t xml:space="preserve">oly klienta ve smyslu § 9 citovaného zákona. Klient je v této </w:t>
      </w:r>
      <w:r w:rsidRPr="004A7247">
        <w:t>souvislosti povinen poskytovatele informovat o svém skutečném majiteli a o zdrojích peněžních prostředků.</w:t>
      </w:r>
    </w:p>
    <w:p w:rsidR="00BA241C" w:rsidRPr="00B06A20" w:rsidRDefault="00BA241C" w:rsidP="00BA241C">
      <w:pPr>
        <w:pStyle w:val="F10-nadpis1"/>
        <w:keepNext w:val="0"/>
        <w:keepLines w:val="0"/>
        <w:tabs>
          <w:tab w:val="left" w:pos="680"/>
          <w:tab w:val="left" w:pos="794"/>
        </w:tabs>
        <w:spacing w:before="240" w:line="220" w:lineRule="exact"/>
        <w:ind w:left="680" w:hanging="680"/>
      </w:pPr>
      <w:r w:rsidRPr="00B06A20">
        <w:t>Práva a povinnosti poskytovatelů</w:t>
      </w:r>
    </w:p>
    <w:p w:rsidR="00BA241C" w:rsidRPr="00F27180" w:rsidRDefault="00BA241C" w:rsidP="00BA241C">
      <w:pPr>
        <w:pStyle w:val="slovantext"/>
      </w:pPr>
      <w:r w:rsidRPr="00EE1191">
        <w:t xml:space="preserve">Poskytovatelé jsou povinni </w:t>
      </w:r>
      <w:r>
        <w:t xml:space="preserve">se v rámci poskytování </w:t>
      </w:r>
      <w:r w:rsidRPr="00F27180">
        <w:t xml:space="preserve">poradenství </w:t>
      </w:r>
      <w:r>
        <w:t>řídit pokyny klienta, které budou mít, požádají</w:t>
      </w:r>
      <w:r w:rsidRPr="00F27180">
        <w:t xml:space="preserve">-li o to </w:t>
      </w:r>
      <w:r>
        <w:t>poskytovatelé</w:t>
      </w:r>
      <w:r w:rsidRPr="00F27180">
        <w:t xml:space="preserve">, písemnou podobu. Od pokynů klienta se </w:t>
      </w:r>
      <w:r>
        <w:t>může poskytovatel</w:t>
      </w:r>
      <w:r w:rsidRPr="00F27180">
        <w:t xml:space="preserve"> odchýlit jen</w:t>
      </w:r>
      <w:r>
        <w:t>,</w:t>
      </w:r>
      <w:r w:rsidRPr="00F27180">
        <w:t xml:space="preserve"> je-li to naléhavě nezbytné v zájmu klienta a </w:t>
      </w:r>
      <w:r>
        <w:t>poskytovatel</w:t>
      </w:r>
      <w:r w:rsidRPr="00F27180">
        <w:t xml:space="preserve"> nemůže včas obdržet jeho souhlas. </w:t>
      </w:r>
    </w:p>
    <w:p w:rsidR="00BA241C" w:rsidRPr="00406B8C" w:rsidRDefault="00BA241C" w:rsidP="00BA241C">
      <w:pPr>
        <w:pStyle w:val="slovantext"/>
      </w:pPr>
      <w:r w:rsidRPr="00822ECB">
        <w:t xml:space="preserve">Poskytovatel je povinen upozornit klienta na nevhodnost jeho pokynů. V případě, že klient i přes upozornění poskytovatele na vydaných pokynech trvá, není daný poskytovatel odpovědný za případnou </w:t>
      </w:r>
      <w:r>
        <w:t>újmu</w:t>
      </w:r>
      <w:r w:rsidRPr="00822ECB">
        <w:t xml:space="preserve">, která vznikne na základě takových pokynů </w:t>
      </w:r>
      <w:r w:rsidRPr="005B0244">
        <w:t>klienta. Poskytovatelé jsou oprávněni odmítnout poskytnutí takové služby, která by vedla k porušení právních předpisů</w:t>
      </w:r>
      <w:r>
        <w:t>.</w:t>
      </w:r>
    </w:p>
    <w:p w:rsidR="00BA241C" w:rsidRPr="00F27180" w:rsidRDefault="00BA241C" w:rsidP="00BA241C">
      <w:pPr>
        <w:pStyle w:val="slovantext"/>
      </w:pPr>
      <w:r>
        <w:t>Poskytovatelé</w:t>
      </w:r>
      <w:r w:rsidRPr="00F27180">
        <w:t xml:space="preserve"> </w:t>
      </w:r>
      <w:r>
        <w:t xml:space="preserve">jsou </w:t>
      </w:r>
      <w:r w:rsidRPr="00F27180">
        <w:t>oprávněn</w:t>
      </w:r>
      <w:r>
        <w:t>i považovat předané informace a</w:t>
      </w:r>
      <w:r w:rsidRPr="00725720">
        <w:t xml:space="preserve"> </w:t>
      </w:r>
      <w:r>
        <w:t>podklady</w:t>
      </w:r>
      <w:r w:rsidRPr="00F27180">
        <w:t xml:space="preserve"> </w:t>
      </w:r>
      <w:r>
        <w:t>za obsahově správné, úplné, pravdivé a pravé a nejsou povinni zkoumat jejich věcnou správnost a pravost ani prověřovat způsob, jakým byly klientem získány.</w:t>
      </w:r>
    </w:p>
    <w:p w:rsidR="00BA241C" w:rsidRPr="00F27180" w:rsidRDefault="00BA241C" w:rsidP="00BA241C">
      <w:pPr>
        <w:pStyle w:val="slovantext"/>
      </w:pPr>
      <w:r w:rsidRPr="00F27180">
        <w:t xml:space="preserve">Po poskytnutí jednotlivé služby poradenství je </w:t>
      </w:r>
      <w:r>
        <w:t>poskytovatel</w:t>
      </w:r>
      <w:r w:rsidRPr="00F27180">
        <w:t xml:space="preserve"> </w:t>
      </w:r>
      <w:r>
        <w:t>povinen</w:t>
      </w:r>
      <w:r w:rsidRPr="00F27180">
        <w:t xml:space="preserve"> vrátit klientovi všechny podklady, které za tím účelem od něj obdržel</w:t>
      </w:r>
      <w:r>
        <w:t>.</w:t>
      </w:r>
      <w:r w:rsidRPr="00F27180">
        <w:t xml:space="preserve"> </w:t>
      </w:r>
      <w:r>
        <w:t xml:space="preserve">Poskytovatel je </w:t>
      </w:r>
      <w:r w:rsidRPr="00F27180">
        <w:t>oprávněn ponecha</w:t>
      </w:r>
      <w:r>
        <w:t>t si kopie podkladů předaných mu</w:t>
      </w:r>
      <w:r w:rsidRPr="00F27180">
        <w:t xml:space="preserve"> klientem pro dokumentaci své činnosti a pro účely vyplývající z povinností</w:t>
      </w:r>
      <w:r>
        <w:t xml:space="preserve"> stanovených právními předpisy,</w:t>
      </w:r>
      <w:r w:rsidRPr="00F27180">
        <w:t xml:space="preserve"> smlouvou</w:t>
      </w:r>
      <w:r>
        <w:t xml:space="preserve"> a VOP</w:t>
      </w:r>
      <w:r w:rsidRPr="00F27180">
        <w:t xml:space="preserve">. </w:t>
      </w:r>
      <w:r>
        <w:t>Tím není dotčena</w:t>
      </w:r>
      <w:r w:rsidRPr="00F27180">
        <w:t xml:space="preserve"> povinnost mlčenlivosti </w:t>
      </w:r>
      <w:r>
        <w:t>poskytovatele</w:t>
      </w:r>
      <w:r w:rsidRPr="00F27180">
        <w:t>.</w:t>
      </w:r>
    </w:p>
    <w:p w:rsidR="00BA241C" w:rsidRDefault="00BA241C" w:rsidP="00BA241C">
      <w:pPr>
        <w:pStyle w:val="slovantext"/>
      </w:pPr>
      <w:r>
        <w:t xml:space="preserve">Poskytovatelé jsou oprávněni </w:t>
      </w:r>
      <w:r w:rsidRPr="00F60D02">
        <w:t xml:space="preserve">poskytovat klientovi poradenství i prostřednictvím třetí osoby. V takovém případě </w:t>
      </w:r>
      <w:r>
        <w:t xml:space="preserve">poskytovatelé </w:t>
      </w:r>
      <w:r w:rsidRPr="00F60D02">
        <w:t>odpovíd</w:t>
      </w:r>
      <w:r>
        <w:t>ají</w:t>
      </w:r>
      <w:r w:rsidRPr="00F60D02">
        <w:t xml:space="preserve"> tak, jako by poradenství poskytoval</w:t>
      </w:r>
      <w:r>
        <w:t>i</w:t>
      </w:r>
      <w:r w:rsidRPr="00F60D02">
        <w:t xml:space="preserve"> s</w:t>
      </w:r>
      <w:r>
        <w:t>ami</w:t>
      </w:r>
      <w:r w:rsidRPr="00F60D02">
        <w:t>.</w:t>
      </w:r>
    </w:p>
    <w:p w:rsidR="00BA241C" w:rsidRPr="005B3990" w:rsidRDefault="00BA241C" w:rsidP="00BA241C">
      <w:pPr>
        <w:pStyle w:val="F10-nadpis1"/>
        <w:tabs>
          <w:tab w:val="clear" w:pos="794"/>
          <w:tab w:val="left" w:pos="680"/>
        </w:tabs>
        <w:spacing w:before="240" w:line="220" w:lineRule="exact"/>
        <w:ind w:left="680" w:hanging="680"/>
      </w:pPr>
      <w:r>
        <w:t>Místo, lhůta a způsob poskytnutí poradenství</w:t>
      </w:r>
    </w:p>
    <w:p w:rsidR="00BA241C" w:rsidRDefault="00BA241C" w:rsidP="00BA241C">
      <w:pPr>
        <w:pStyle w:val="slovantext"/>
      </w:pPr>
      <w:r w:rsidRPr="00B97CEE">
        <w:t>Místo, lhůty a způsob poskytování poradenství</w:t>
      </w:r>
      <w:r>
        <w:t xml:space="preserve"> stanoví smlouva</w:t>
      </w:r>
      <w:r w:rsidRPr="00B97CEE">
        <w:t>. Poradenství je poskytováno v sídle nebo provozovně poskytovatelů, není-li výslovně dohodnuto jinak.</w:t>
      </w:r>
    </w:p>
    <w:p w:rsidR="00BA241C" w:rsidRDefault="00BA241C" w:rsidP="00BA241C">
      <w:pPr>
        <w:pStyle w:val="slovantext"/>
      </w:pPr>
      <w:r>
        <w:t>P</w:t>
      </w:r>
      <w:r w:rsidRPr="00F27180">
        <w:t xml:space="preserve">oradenství poskytnuté v jiné než písemné formě má pouze orientační povahu a poskytovatel neodpovídá za správnost a úplnost tímto způsobem poskytnutého poradenství. Klient je však oprávněn požadovat, aby </w:t>
      </w:r>
      <w:r>
        <w:t>poradenství poskytnuté v jiné</w:t>
      </w:r>
      <w:r w:rsidRPr="00F27180">
        <w:t xml:space="preserve"> než písemné formě bylo poskytovatelem následně písemně potvrzeno, resp. poskytnuto v písemné podobě.</w:t>
      </w:r>
    </w:p>
    <w:p w:rsidR="00494FD9" w:rsidRDefault="00494FD9" w:rsidP="00494FD9">
      <w:pPr>
        <w:pStyle w:val="slovantext"/>
        <w:numPr>
          <w:ilvl w:val="0"/>
          <w:numId w:val="0"/>
        </w:numPr>
        <w:ind w:left="680"/>
      </w:pPr>
    </w:p>
    <w:p w:rsidR="00494FD9" w:rsidRPr="00F27180" w:rsidRDefault="00494FD9" w:rsidP="00494FD9">
      <w:pPr>
        <w:pStyle w:val="slovantext"/>
        <w:numPr>
          <w:ilvl w:val="0"/>
          <w:numId w:val="0"/>
        </w:numPr>
        <w:ind w:left="680"/>
      </w:pPr>
      <w:r>
        <w:rPr>
          <w:noProof/>
        </w:rPr>
        <mc:AlternateContent>
          <mc:Choice Requires="wps">
            <w:drawing>
              <wp:anchor distT="0" distB="0" distL="114300" distR="114300" simplePos="0" relativeHeight="251671552" behindDoc="0" locked="0" layoutInCell="1" allowOverlap="1" wp14:anchorId="79712EFC" wp14:editId="06246B71">
                <wp:simplePos x="0" y="0"/>
                <wp:positionH relativeFrom="column">
                  <wp:posOffset>-43180</wp:posOffset>
                </wp:positionH>
                <wp:positionV relativeFrom="paragraph">
                  <wp:posOffset>652145</wp:posOffset>
                </wp:positionV>
                <wp:extent cx="1104900" cy="266700"/>
                <wp:effectExtent l="0" t="0" r="0" b="0"/>
                <wp:wrapNone/>
                <wp:docPr id="13" name="Textové pole 13"/>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4FD9" w:rsidRPr="00BA241C" w:rsidRDefault="00494FD9" w:rsidP="00494FD9">
                            <w:pPr>
                              <w:rPr>
                                <w:rFonts w:ascii="Ariel" w:hAnsi="Ariel"/>
                                <w:b/>
                                <w:sz w:val="16"/>
                                <w:szCs w:val="16"/>
                              </w:rPr>
                            </w:pPr>
                            <w:r w:rsidRPr="00BA241C">
                              <w:rPr>
                                <w:rFonts w:ascii="Ariel" w:hAnsi="Ariel"/>
                                <w:b/>
                                <w:sz w:val="16"/>
                                <w:szCs w:val="16"/>
                              </w:rPr>
                              <w:t>VOP TPA CZ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3" o:spid="_x0000_s1033" type="#_x0000_t202" style="position:absolute;left:0;text-align:left;margin-left:-3.4pt;margin-top:51.35pt;width:87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" fillcolor="white [3201]" stroked="f" strokeweight=".5pt">
                <v:textbox>
                  <w:txbxContent>
                    <w:p w:rsidR="00494FD9" w:rsidRPr="00BA241C" w:rsidRDefault="00494FD9" w:rsidP="00494FD9">
                      <w:pPr>
                        <w:rPr>
                          <w:rFonts w:ascii="Ariel" w:hAnsi="Ariel"/>
                          <w:b/>
                          <w:sz w:val="16"/>
                          <w:szCs w:val="16"/>
                        </w:rPr>
                      </w:pPr>
                      <w:r w:rsidRPr="00BA241C">
                        <w:rPr>
                          <w:rFonts w:ascii="Ariel" w:hAnsi="Ariel"/>
                          <w:b/>
                          <w:sz w:val="16"/>
                          <w:szCs w:val="16"/>
                        </w:rPr>
                        <w:t>VOP TPA CZ 2016</w:t>
                      </w:r>
                    </w:p>
                  </w:txbxContent>
                </v:textbox>
              </v:shape>
            </w:pict>
          </mc:Fallback>
        </mc:AlternateContent>
      </w:r>
    </w:p>
    <w:p w:rsidR="00BA241C" w:rsidRPr="005B3990" w:rsidRDefault="00817481" w:rsidP="00BA241C">
      <w:pPr>
        <w:pStyle w:val="F10-nadpis1"/>
        <w:keepNext w:val="0"/>
        <w:tabs>
          <w:tab w:val="left" w:pos="680"/>
          <w:tab w:val="left" w:pos="794"/>
        </w:tabs>
        <w:spacing w:before="240" w:line="220" w:lineRule="exact"/>
        <w:ind w:left="680" w:hanging="680"/>
      </w:pPr>
      <w:bookmarkStart w:id="7" w:name="_Ref251924713"/>
      <w:r>
        <w:rPr>
          <w:noProof/>
        </w:rPr>
        <mc:AlternateContent>
          <mc:Choice Requires="wps">
            <w:drawing>
              <wp:anchor distT="0" distB="0" distL="114300" distR="114300" simplePos="0" relativeHeight="251665408" behindDoc="0" locked="0" layoutInCell="1" allowOverlap="1" wp14:anchorId="4B07A188" wp14:editId="7ECCAE6D">
                <wp:simplePos x="0" y="0"/>
                <wp:positionH relativeFrom="column">
                  <wp:posOffset>5519420</wp:posOffset>
                </wp:positionH>
                <wp:positionV relativeFrom="paragraph">
                  <wp:posOffset>-392430</wp:posOffset>
                </wp:positionV>
                <wp:extent cx="1066800" cy="276225"/>
                <wp:effectExtent l="0" t="0" r="0" b="9525"/>
                <wp:wrapNone/>
                <wp:docPr id="10" name="Textové pole 10"/>
                <wp:cNvGraphicFramePr/>
                <a:graphic xmlns:a="http://schemas.openxmlformats.org/drawingml/2006/main">
                  <a:graphicData uri="http://schemas.microsoft.com/office/word/2010/wordprocessingShape">
                    <wps:wsp>
                      <wps:cNvSpPr txBox="1"/>
                      <wps:spPr>
                        <a:xfrm>
                          <a:off x="0" y="0"/>
                          <a:ext cx="10668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4FD9" w:rsidRPr="003F1C2C" w:rsidRDefault="00494FD9" w:rsidP="00494FD9">
                            <w:pPr>
                              <w:jc w:val="right"/>
                              <w:rPr>
                                <w:rFonts w:ascii="Arial" w:hAnsi="Arial" w:cs="Arial"/>
                                <w:sz w:val="16"/>
                                <w:szCs w:val="16"/>
                              </w:rPr>
                            </w:pPr>
                            <w:r w:rsidRPr="003F1C2C">
                              <w:rPr>
                                <w:rFonts w:ascii="Arial" w:hAnsi="Arial" w:cs="Arial"/>
                                <w:sz w:val="16"/>
                                <w:szCs w:val="16"/>
                              </w:rPr>
                              <w:t xml:space="preserve">Strana </w:t>
                            </w:r>
                            <w:r>
                              <w:rPr>
                                <w:rFonts w:ascii="Arial" w:hAnsi="Arial" w:cs="Arial"/>
                                <w:sz w:val="16"/>
                                <w:szCs w:val="16"/>
                              </w:rPr>
                              <w:t>3</w:t>
                            </w:r>
                            <w:r w:rsidRPr="003F1C2C">
                              <w:rPr>
                                <w:rFonts w:ascii="Arial" w:hAnsi="Arial" w:cs="Arial"/>
                                <w:sz w:val="16"/>
                                <w:szCs w:val="16"/>
                              </w:rPr>
                              <w:t xml:space="preserve"> z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0" o:spid="_x0000_s1034" type="#_x0000_t202" style="position:absolute;left:0;text-align:left;margin-left:434.6pt;margin-top:-30.9pt;width:84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" fillcolor="white [3201]" stroked="f" strokeweight=".5pt">
                <v:textbox>
                  <w:txbxContent>
                    <w:p w:rsidR="00494FD9" w:rsidRPr="003F1C2C" w:rsidRDefault="00494FD9" w:rsidP="00494FD9">
                      <w:pPr>
                        <w:jc w:val="right"/>
                        <w:rPr>
                          <w:rFonts w:ascii="Arial" w:hAnsi="Arial" w:cs="Arial"/>
                          <w:sz w:val="16"/>
                          <w:szCs w:val="16"/>
                        </w:rPr>
                      </w:pPr>
                      <w:r w:rsidRPr="003F1C2C">
                        <w:rPr>
                          <w:rFonts w:ascii="Arial" w:hAnsi="Arial" w:cs="Arial"/>
                          <w:sz w:val="16"/>
                          <w:szCs w:val="16"/>
                        </w:rPr>
                        <w:t xml:space="preserve">Strana </w:t>
                      </w:r>
                      <w:r>
                        <w:rPr>
                          <w:rFonts w:ascii="Arial" w:hAnsi="Arial" w:cs="Arial"/>
                          <w:sz w:val="16"/>
                          <w:szCs w:val="16"/>
                        </w:rPr>
                        <w:t>3</w:t>
                      </w:r>
                      <w:r w:rsidRPr="003F1C2C">
                        <w:rPr>
                          <w:rFonts w:ascii="Arial" w:hAnsi="Arial" w:cs="Arial"/>
                          <w:sz w:val="16"/>
                          <w:szCs w:val="16"/>
                        </w:rPr>
                        <w:t xml:space="preserve"> z 4</w:t>
                      </w:r>
                    </w:p>
                  </w:txbxContent>
                </v:textbox>
              </v:shape>
            </w:pict>
          </mc:Fallback>
        </mc:AlternateContent>
      </w:r>
      <w:r w:rsidR="00BA241C" w:rsidRPr="005B3990">
        <w:t>Odměna za poskytnutí poradenství a její splatnost</w:t>
      </w:r>
      <w:bookmarkEnd w:id="7"/>
    </w:p>
    <w:p w:rsidR="00BA241C" w:rsidRPr="00F27180" w:rsidRDefault="00BA241C" w:rsidP="00BA241C">
      <w:pPr>
        <w:pStyle w:val="slovantext"/>
      </w:pPr>
      <w:r w:rsidRPr="00F27180">
        <w:t xml:space="preserve">Za poskytnutí poradenství </w:t>
      </w:r>
      <w:r>
        <w:t>je</w:t>
      </w:r>
      <w:r w:rsidRPr="00F27180">
        <w:t xml:space="preserve"> klient </w:t>
      </w:r>
      <w:r>
        <w:t xml:space="preserve">povinen </w:t>
      </w:r>
      <w:r w:rsidRPr="00F27180">
        <w:t xml:space="preserve">zaplatit </w:t>
      </w:r>
      <w:r>
        <w:t xml:space="preserve">danému poskytovateli </w:t>
      </w:r>
      <w:r w:rsidRPr="00F27180">
        <w:t xml:space="preserve">odměnu </w:t>
      </w:r>
      <w:r>
        <w:t xml:space="preserve">sjednanou ve </w:t>
      </w:r>
      <w:r w:rsidRPr="00F27180">
        <w:t>sm</w:t>
      </w:r>
      <w:r>
        <w:t>louvě</w:t>
      </w:r>
      <w:r w:rsidRPr="00F27180">
        <w:t xml:space="preserve">. </w:t>
      </w:r>
      <w:r>
        <w:t>Pokud je odměna sjednána v závislosti na čase, který poskytovatel na poskytnutí poradenství vynaložil, náleží poskytovateli odměna i za čas strávený s klientem i</w:t>
      </w:r>
      <w:r w:rsidRPr="0096466A">
        <w:t xml:space="preserve"> za čas strávený na zpracování </w:t>
      </w:r>
      <w:r>
        <w:t>informací a</w:t>
      </w:r>
      <w:r w:rsidRPr="00725720">
        <w:t xml:space="preserve"> </w:t>
      </w:r>
      <w:r w:rsidRPr="0096466A">
        <w:t>podkladů vztah</w:t>
      </w:r>
      <w:r>
        <w:t>ujících se k poradenství.</w:t>
      </w:r>
    </w:p>
    <w:p w:rsidR="00BA241C" w:rsidRDefault="00BA241C" w:rsidP="00BA241C">
      <w:pPr>
        <w:pStyle w:val="slovantext"/>
      </w:pPr>
      <w:bookmarkStart w:id="8" w:name="OLE_LINK2"/>
      <w:r>
        <w:t>Poskytovatelé</w:t>
      </w:r>
      <w:r w:rsidRPr="00F27180">
        <w:t xml:space="preserve"> </w:t>
      </w:r>
      <w:r>
        <w:t xml:space="preserve">mají </w:t>
      </w:r>
      <w:bookmarkEnd w:id="8"/>
      <w:r w:rsidRPr="00F27180">
        <w:t>kromě odměny nárok na náhradu veškerých nákladů, které v souvislosti s p</w:t>
      </w:r>
      <w:r>
        <w:t>oskytnutím poradenství vynaloží</w:t>
      </w:r>
      <w:r w:rsidRPr="00F27180">
        <w:t>. Za náklady se považují zejména cestovní výdaje a výdaje za ubytování, je-li poradenství poskytováno mimo území Prahy</w:t>
      </w:r>
      <w:r>
        <w:t>,</w:t>
      </w:r>
      <w:r w:rsidRPr="00F27180">
        <w:t xml:space="preserve"> náklady na překlady</w:t>
      </w:r>
      <w:r>
        <w:t xml:space="preserve"> do jiného než českého jazyka </w:t>
      </w:r>
      <w:r w:rsidRPr="0096466A">
        <w:t>a správní a jiné poplatky</w:t>
      </w:r>
      <w:r>
        <w:t xml:space="preserve"> </w:t>
      </w:r>
      <w:r w:rsidRPr="0096466A">
        <w:t>související</w:t>
      </w:r>
      <w:r>
        <w:t xml:space="preserve"> s poskytovaným poradenstvím</w:t>
      </w:r>
      <w:r w:rsidRPr="00F27180">
        <w:t xml:space="preserve">. </w:t>
      </w:r>
      <w:r>
        <w:t>Poskytovatelé</w:t>
      </w:r>
      <w:r w:rsidRPr="00F27180">
        <w:t xml:space="preserve"> </w:t>
      </w:r>
      <w:r>
        <w:t xml:space="preserve">mají </w:t>
      </w:r>
      <w:r w:rsidRPr="00F27180">
        <w:t>nárok také na náhradu času stráveného na cestě v souvislosti s poskytnutím poradenství.</w:t>
      </w:r>
    </w:p>
    <w:p w:rsidR="00BA241C" w:rsidRPr="00F27180" w:rsidRDefault="00BA241C" w:rsidP="00BA241C">
      <w:pPr>
        <w:pStyle w:val="slovantext"/>
      </w:pPr>
      <w:r w:rsidRPr="008F3997">
        <w:t xml:space="preserve">K </w:t>
      </w:r>
      <w:r>
        <w:t xml:space="preserve">fakturované částce </w:t>
      </w:r>
      <w:r w:rsidRPr="008F3997">
        <w:t xml:space="preserve">bude připočtena daň z přidané hodnoty v zákonné výši. </w:t>
      </w:r>
      <w:r>
        <w:t>Faktura poskytovatele</w:t>
      </w:r>
      <w:r w:rsidRPr="00F27180">
        <w:t xml:space="preserve"> je splatná do 14 dní po</w:t>
      </w:r>
      <w:r>
        <w:t xml:space="preserve"> jejím</w:t>
      </w:r>
      <w:r w:rsidRPr="00F27180">
        <w:t xml:space="preserve"> vystavení. </w:t>
      </w:r>
      <w:r w:rsidRPr="00176315">
        <w:t>Faktury budou zasílány elektronicky.</w:t>
      </w:r>
    </w:p>
    <w:p w:rsidR="00BA241C" w:rsidRPr="00F27180" w:rsidRDefault="00BA241C" w:rsidP="00BA241C">
      <w:pPr>
        <w:pStyle w:val="slovantext"/>
      </w:pPr>
      <w:r>
        <w:t>Poskytovatelé</w:t>
      </w:r>
      <w:r w:rsidRPr="00F27180">
        <w:t xml:space="preserve"> </w:t>
      </w:r>
      <w:r>
        <w:t xml:space="preserve">jsou </w:t>
      </w:r>
      <w:r w:rsidRPr="00F27180">
        <w:t>oprávněn</w:t>
      </w:r>
      <w:r>
        <w:t>i</w:t>
      </w:r>
      <w:r w:rsidRPr="00F27180">
        <w:t xml:space="preserve"> požadovat zálohu na poskytnutí poradenství, a to až do výše sjednané popř. předpokládané odměny za poskytnutí poradenství a předpokládaných nákladů. Záloha je splatná do 14 dní po vystavení zálohové faktury. </w:t>
      </w:r>
    </w:p>
    <w:p w:rsidR="00BA241C" w:rsidRPr="00F27180" w:rsidRDefault="00BA241C" w:rsidP="00BA241C">
      <w:pPr>
        <w:pStyle w:val="slovantext"/>
      </w:pPr>
      <w:r w:rsidRPr="00F27180">
        <w:t>V případě prodlení klienta s plněním jeho peněžitých závazků</w:t>
      </w:r>
      <w:r>
        <w:t>,</w:t>
      </w:r>
      <w:r w:rsidRPr="00F27180">
        <w:t xml:space="preserve"> je </w:t>
      </w:r>
      <w:r>
        <w:t xml:space="preserve">poskytovatel </w:t>
      </w:r>
      <w:r w:rsidRPr="00F27180">
        <w:t xml:space="preserve">oprávněn požadovat od klienta smluvní pokutu ve výši 0,05% z dlužné částky za každý započatý den prodlení. Nárok na náhradu škody tím není dotčen. </w:t>
      </w:r>
      <w:r>
        <w:t>Klientovi nebude účtován úrok z nákladů a úroků ve smyslu § 1932 NOZ.</w:t>
      </w:r>
    </w:p>
    <w:p w:rsidR="00BA241C" w:rsidRPr="00F27180" w:rsidRDefault="00BA241C" w:rsidP="00BA241C">
      <w:pPr>
        <w:pStyle w:val="slovantext"/>
      </w:pPr>
      <w:r w:rsidRPr="00F27180">
        <w:t>Je-li klient v prodlení s plněním svých peněžitých závazků</w:t>
      </w:r>
      <w:r>
        <w:t xml:space="preserve"> vůči jakémukoli z poskytovatelů</w:t>
      </w:r>
      <w:r w:rsidRPr="00F27180">
        <w:t xml:space="preserve"> i přesto, že byl </w:t>
      </w:r>
      <w:r>
        <w:t xml:space="preserve">poskytovatelem </w:t>
      </w:r>
      <w:r w:rsidRPr="00F27180">
        <w:t xml:space="preserve">k jejich plnění písemně vyzván, </w:t>
      </w:r>
      <w:r>
        <w:t xml:space="preserve">jsou všichni poskytovatelé </w:t>
      </w:r>
      <w:r w:rsidRPr="00F27180">
        <w:t>oprávněn</w:t>
      </w:r>
      <w:r>
        <w:t>i</w:t>
      </w:r>
      <w:r w:rsidRPr="00F27180">
        <w:t xml:space="preserve"> přerušit poskytování poradenství klientovi, a to do doby splnění veškerých peněžitých závazků klienta vůči </w:t>
      </w:r>
      <w:r>
        <w:t xml:space="preserve">poskytovatelům </w:t>
      </w:r>
      <w:r w:rsidRPr="00F27180">
        <w:t xml:space="preserve">po lhůtě splatnosti. Za </w:t>
      </w:r>
      <w:r>
        <w:t>újmu</w:t>
      </w:r>
      <w:r w:rsidRPr="00F27180">
        <w:t xml:space="preserve"> či jiné důsledky vyplývající z přerušení poskytování poradenství dle tohoto článku </w:t>
      </w:r>
      <w:r>
        <w:t>poskytovatelé žádným způsobem neodpovídají</w:t>
      </w:r>
      <w:r w:rsidRPr="00F27180">
        <w:t>.</w:t>
      </w:r>
    </w:p>
    <w:p w:rsidR="00BA241C" w:rsidRPr="005B3990" w:rsidRDefault="00BA241C" w:rsidP="00BA241C">
      <w:pPr>
        <w:pStyle w:val="F10-nadpis1"/>
        <w:keepNext w:val="0"/>
        <w:tabs>
          <w:tab w:val="left" w:pos="680"/>
          <w:tab w:val="left" w:pos="794"/>
        </w:tabs>
        <w:spacing w:before="240" w:line="220" w:lineRule="exact"/>
        <w:ind w:left="680" w:hanging="680"/>
      </w:pPr>
      <w:r w:rsidRPr="005B3990">
        <w:t>Odpovědnost za škodu</w:t>
      </w:r>
    </w:p>
    <w:p w:rsidR="00BA241C" w:rsidRDefault="00BA241C" w:rsidP="00BA241C">
      <w:pPr>
        <w:pStyle w:val="slovantext"/>
      </w:pPr>
      <w:r w:rsidRPr="00F27180">
        <w:t>Poskytovatel</w:t>
      </w:r>
      <w:r>
        <w:t>é odpovídají</w:t>
      </w:r>
      <w:r w:rsidRPr="00F27180">
        <w:t xml:space="preserve"> </w:t>
      </w:r>
      <w:r w:rsidRPr="006A23AB">
        <w:t xml:space="preserve">klientovi </w:t>
      </w:r>
      <w:r>
        <w:t xml:space="preserve">pouze </w:t>
      </w:r>
      <w:r w:rsidRPr="006A23AB">
        <w:t>za</w:t>
      </w:r>
      <w:r>
        <w:t xml:space="preserve"> újmu na jmění (dále jen „</w:t>
      </w:r>
      <w:r w:rsidRPr="006A23AB">
        <w:t>škod</w:t>
      </w:r>
      <w:r>
        <w:t>a“)</w:t>
      </w:r>
      <w:r w:rsidRPr="006A23AB">
        <w:t>, která mu vznikla</w:t>
      </w:r>
      <w:r>
        <w:t xml:space="preserve"> v důsledku porušení jejich povinností při poskytování poradenství, přičemž každý poskytovatel </w:t>
      </w:r>
      <w:r w:rsidRPr="00DD3F2A">
        <w:t>je odpovědný pouze za porušení svých povinností</w:t>
      </w:r>
      <w:r>
        <w:t xml:space="preserve"> při poskytování svých služeb poradenství. </w:t>
      </w:r>
      <w:r w:rsidRPr="00F27180">
        <w:t>Poskytovatel se odpovědnosti zprostí, prokáže-li, že škodě nemohl zabránit ani při vynaložení veškerého úsilí, které lze na něm požadovat.</w:t>
      </w:r>
    </w:p>
    <w:p w:rsidR="00BA241C" w:rsidRPr="00F27180" w:rsidRDefault="00BA241C" w:rsidP="00BA241C">
      <w:pPr>
        <w:pStyle w:val="slovantext"/>
      </w:pPr>
      <w:r>
        <w:t>Každý poskytovatel odpovídá</w:t>
      </w:r>
      <w:r w:rsidRPr="00F27180">
        <w:t xml:space="preserve"> za škodu maximálně do výše </w:t>
      </w:r>
      <w:r>
        <w:t>pěti</w:t>
      </w:r>
      <w:r w:rsidRPr="009E32CA">
        <w:t>násobku</w:t>
      </w:r>
      <w:r>
        <w:t xml:space="preserve"> své </w:t>
      </w:r>
      <w:r w:rsidRPr="00307C8B">
        <w:t xml:space="preserve">odměny </w:t>
      </w:r>
      <w:r>
        <w:t xml:space="preserve">zaplacené klientem </w:t>
      </w:r>
      <w:r w:rsidRPr="00307C8B">
        <w:t xml:space="preserve">za </w:t>
      </w:r>
      <w:r w:rsidRPr="00790850">
        <w:t>konkrétní službu poradenství, v souvislosti se kterou škoda vznikla</w:t>
      </w:r>
      <w:r w:rsidRPr="00F27180">
        <w:t xml:space="preserve">. </w:t>
      </w:r>
      <w:r>
        <w:t>Pokud se jedná o služby poradenství opakované nebo trvalé povahy, odpovídá poskytovatel</w:t>
      </w:r>
      <w:r w:rsidRPr="00F27180">
        <w:t xml:space="preserve"> za škodu maximálně do výše </w:t>
      </w:r>
      <w:r>
        <w:t>pěti</w:t>
      </w:r>
      <w:r w:rsidRPr="009E32CA">
        <w:t>násobku</w:t>
      </w:r>
      <w:r>
        <w:t xml:space="preserve"> své </w:t>
      </w:r>
      <w:r w:rsidRPr="00307C8B">
        <w:t xml:space="preserve">odměny </w:t>
      </w:r>
      <w:r>
        <w:t xml:space="preserve">zaplacené klientem </w:t>
      </w:r>
      <w:r w:rsidRPr="00790850">
        <w:t>za tyto služby, jež byly poskytnuty během kalendářního měsíce, ve kterém příčina škody</w:t>
      </w:r>
      <w:r>
        <w:t xml:space="preserve"> vznikla, a po dobu </w:t>
      </w:r>
      <w:r w:rsidRPr="00790850">
        <w:t>11</w:t>
      </w:r>
      <w:r>
        <w:t xml:space="preserve"> předcházejících kalendářních měsíců. Poskytovatel není povine</w:t>
      </w:r>
      <w:r w:rsidRPr="00F27180">
        <w:t xml:space="preserve">n nahradit </w:t>
      </w:r>
      <w:r w:rsidRPr="00A07C16">
        <w:t xml:space="preserve">klientovi škodu přesahující částku uvedenou v předchozích větách. Tím nejsou dotčena ustanovení </w:t>
      </w:r>
      <w:r>
        <w:t>článků</w:t>
      </w:r>
      <w:r w:rsidRPr="00A07C16">
        <w:t xml:space="preserve"> 8.3 až 8.6 VOP</w:t>
      </w:r>
      <w:r>
        <w:t>.</w:t>
      </w:r>
    </w:p>
    <w:p w:rsidR="00BA241C" w:rsidRDefault="00BA241C" w:rsidP="00BA241C">
      <w:pPr>
        <w:pStyle w:val="slovantext"/>
      </w:pPr>
      <w:r w:rsidRPr="00DE69A9">
        <w:t xml:space="preserve">Veškeré služby poradenství poskytnuté každým z poskytovatelů jsou poskytnuty pouze v rámci konkrétní smlouvy, jasně a konkrétně určeného zadání a pro konkrétně stanovený účel. Poskytnuté poradenství nemůže být ani považováno za doporučení k realizaci / nerealizaci určité investice. Poskytovatel v žádném případě neodpovídá za jakékoliv užití výsledku služby poradenství v jiném případě či pro jiný účel, než který konkrétně posuzoval, ani za jakékoliv důsledky plynoucí ze zobecnění závěrů poskytnutého poradenství klientem, ani za jakékoli důsledky plynoucí z realizace / nerealizace určité investice na základě poskytnutého poradenství. Poskytovatel nemá povinnost aktualizovat předaný písemný nebo jiný výstup služby poradenství, pokud není mezi smluvními stranami dohodnuto jinak. </w:t>
      </w:r>
    </w:p>
    <w:p w:rsidR="00BA241C" w:rsidRPr="00BB595A" w:rsidRDefault="00BA241C" w:rsidP="00BA241C">
      <w:pPr>
        <w:pStyle w:val="slovantext"/>
      </w:pPr>
      <w:r w:rsidRPr="00DE69A9">
        <w:t>Pokud v souvislosti s poradenstvím poskytnutým klientovi uplatní na poskytovateli jakýkoli nárok třetí osoba, zavazuje se klient, že tento nárok převezme a uspokojí</w:t>
      </w:r>
      <w:r>
        <w:t>; to neplatí pouze v případě, kdy se třetí osoba zmocnila výsledku poradenství protiprávním činem bez vědomí klienta a nebo v případech, kdy poradenství zcela zjevně nemělo sloužit zájmům třetí osoby</w:t>
      </w:r>
      <w:r w:rsidRPr="00DE69A9">
        <w:t>. Tím není dotčena odpovědnost poskytovatele vůči klientovi za podmínek stanovených smlouvou a VOP</w:t>
      </w:r>
      <w:r w:rsidRPr="00BB595A">
        <w:t>.</w:t>
      </w:r>
    </w:p>
    <w:p w:rsidR="00494FD9" w:rsidRDefault="00BA241C" w:rsidP="00BA241C">
      <w:pPr>
        <w:pStyle w:val="slovantext"/>
      </w:pPr>
      <w:r>
        <w:t>Z</w:t>
      </w:r>
      <w:r w:rsidRPr="00F27180">
        <w:t>a škodu, která klientovi vznikla v souvislosti s poskytnutím poradenství</w:t>
      </w:r>
      <w:r>
        <w:t>,</w:t>
      </w:r>
      <w:r w:rsidRPr="00F27180">
        <w:t xml:space="preserve"> odpovídá klientovi výlučně poskytovatel a </w:t>
      </w:r>
      <w:r>
        <w:t>nikoli poradce</w:t>
      </w:r>
      <w:r w:rsidRPr="00F27180">
        <w:t xml:space="preserve">. Klient se zavazuje, že náhradu škody bude uplatňovat výlučně vůči poskytovateli. V případě porušení povinnosti klienta dle předchozí věty je poskytovatel oprávněn požadovat od klienta smluvní pokutu ve výši nároku, který klient uplatnil vůči </w:t>
      </w:r>
      <w:r>
        <w:t>poradci</w:t>
      </w:r>
      <w:r w:rsidRPr="00F27180">
        <w:t xml:space="preserve">. Nárok na náhradu </w:t>
      </w:r>
      <w:r>
        <w:t>újmy vzniklé poskytovateli a/nebo poradci</w:t>
      </w:r>
      <w:r w:rsidRPr="00F27180">
        <w:t xml:space="preserve"> není předchozí větou dotčen.</w:t>
      </w:r>
    </w:p>
    <w:p w:rsidR="00494FD9" w:rsidRDefault="00494FD9" w:rsidP="00494FD9">
      <w:pPr>
        <w:pStyle w:val="F2-zkladn"/>
      </w:pPr>
      <w:r>
        <w:rPr>
          <w:noProof/>
        </w:rPr>
        <mc:AlternateContent>
          <mc:Choice Requires="wps">
            <w:drawing>
              <wp:anchor distT="0" distB="0" distL="114300" distR="114300" simplePos="0" relativeHeight="251669504" behindDoc="0" locked="0" layoutInCell="1" allowOverlap="1" wp14:anchorId="226297AA" wp14:editId="3B611832">
                <wp:simplePos x="0" y="0"/>
                <wp:positionH relativeFrom="column">
                  <wp:posOffset>-43180</wp:posOffset>
                </wp:positionH>
                <wp:positionV relativeFrom="paragraph">
                  <wp:posOffset>893445</wp:posOffset>
                </wp:positionV>
                <wp:extent cx="1104900" cy="266700"/>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4FD9" w:rsidRPr="00BA241C" w:rsidRDefault="00494FD9" w:rsidP="00494FD9">
                            <w:pPr>
                              <w:rPr>
                                <w:rFonts w:ascii="Ariel" w:hAnsi="Ariel"/>
                                <w:b/>
                                <w:sz w:val="16"/>
                                <w:szCs w:val="16"/>
                              </w:rPr>
                            </w:pPr>
                            <w:r w:rsidRPr="00BA241C">
                              <w:rPr>
                                <w:rFonts w:ascii="Ariel" w:hAnsi="Ariel"/>
                                <w:b/>
                                <w:sz w:val="16"/>
                                <w:szCs w:val="16"/>
                              </w:rPr>
                              <w:t>VOP TPA CZ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2" o:spid="_x0000_s1035" type="#_x0000_t202" style="position:absolute;left:0;text-align:left;margin-left:-3.4pt;margin-top:70.35pt;width:87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" fillcolor="white [3201]" stroked="f" strokeweight=".5pt">
                <v:textbox>
                  <w:txbxContent>
                    <w:p w:rsidR="00494FD9" w:rsidRPr="00BA241C" w:rsidRDefault="00494FD9" w:rsidP="00494FD9">
                      <w:pPr>
                        <w:rPr>
                          <w:rFonts w:ascii="Ariel" w:hAnsi="Ariel"/>
                          <w:b/>
                          <w:sz w:val="16"/>
                          <w:szCs w:val="16"/>
                        </w:rPr>
                      </w:pPr>
                      <w:r w:rsidRPr="00BA241C">
                        <w:rPr>
                          <w:rFonts w:ascii="Ariel" w:hAnsi="Ariel"/>
                          <w:b/>
                          <w:sz w:val="16"/>
                          <w:szCs w:val="16"/>
                        </w:rPr>
                        <w:t>VOP TPA CZ 2016</w:t>
                      </w:r>
                    </w:p>
                  </w:txbxContent>
                </v:textbox>
              </v:shape>
            </w:pict>
          </mc:Fallback>
        </mc:AlternateContent>
      </w:r>
      <w:r>
        <w:br w:type="page"/>
      </w:r>
    </w:p>
    <w:p w:rsidR="00BA241C" w:rsidRPr="00E67349" w:rsidRDefault="001E38A2" w:rsidP="00BA241C">
      <w:pPr>
        <w:pStyle w:val="slovantext"/>
      </w:pPr>
      <w:r>
        <w:rPr>
          <w:noProof/>
        </w:rPr>
        <mc:AlternateContent>
          <mc:Choice Requires="wps">
            <w:drawing>
              <wp:anchor distT="0" distB="0" distL="114300" distR="114300" simplePos="0" relativeHeight="251659264" behindDoc="0" locked="0" layoutInCell="1" allowOverlap="1" wp14:anchorId="21120CD7" wp14:editId="4C8356DE">
                <wp:simplePos x="0" y="0"/>
                <wp:positionH relativeFrom="column">
                  <wp:posOffset>5538470</wp:posOffset>
                </wp:positionH>
                <wp:positionV relativeFrom="paragraph">
                  <wp:posOffset>-474980</wp:posOffset>
                </wp:positionV>
                <wp:extent cx="1066800" cy="276225"/>
                <wp:effectExtent l="0" t="0" r="0" b="9525"/>
                <wp:wrapNone/>
                <wp:docPr id="4" name="Textové pole 4"/>
                <wp:cNvGraphicFramePr/>
                <a:graphic xmlns:a="http://schemas.openxmlformats.org/drawingml/2006/main">
                  <a:graphicData uri="http://schemas.microsoft.com/office/word/2010/wordprocessingShape">
                    <wps:wsp>
                      <wps:cNvSpPr txBox="1"/>
                      <wps:spPr>
                        <a:xfrm>
                          <a:off x="0" y="0"/>
                          <a:ext cx="10668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63D8" w:rsidRPr="003F1C2C" w:rsidRDefault="003F1C2C" w:rsidP="003F1C2C">
                            <w:pPr>
                              <w:jc w:val="right"/>
                              <w:rPr>
                                <w:rFonts w:ascii="Arial" w:hAnsi="Arial" w:cs="Arial"/>
                                <w:sz w:val="16"/>
                                <w:szCs w:val="16"/>
                              </w:rPr>
                            </w:pPr>
                            <w:r w:rsidRPr="003F1C2C">
                              <w:rPr>
                                <w:rFonts w:ascii="Arial" w:hAnsi="Arial" w:cs="Arial"/>
                                <w:sz w:val="16"/>
                                <w:szCs w:val="16"/>
                              </w:rPr>
                              <w:t>Strana 4 z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4" o:spid="_x0000_s1036" type="#_x0000_t202" style="position:absolute;left:0;text-align:left;margin-left:436.1pt;margin-top:-37.4pt;width:84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" fillcolor="white [3201]" stroked="f" strokeweight=".5pt">
                <v:textbox>
                  <w:txbxContent>
                    <w:p w:rsidR="00E063D8" w:rsidRPr="003F1C2C" w:rsidRDefault="003F1C2C" w:rsidP="003F1C2C">
                      <w:pPr>
                        <w:jc w:val="right"/>
                        <w:rPr>
                          <w:rFonts w:ascii="Arial" w:hAnsi="Arial" w:cs="Arial"/>
                          <w:sz w:val="16"/>
                          <w:szCs w:val="16"/>
                        </w:rPr>
                      </w:pPr>
                      <w:r w:rsidRPr="003F1C2C">
                        <w:rPr>
                          <w:rFonts w:ascii="Arial" w:hAnsi="Arial" w:cs="Arial"/>
                          <w:sz w:val="16"/>
                          <w:szCs w:val="16"/>
                        </w:rPr>
                        <w:t>Strana 4 z 4</w:t>
                      </w:r>
                    </w:p>
                  </w:txbxContent>
                </v:textbox>
              </v:shape>
            </w:pict>
          </mc:Fallback>
        </mc:AlternateContent>
      </w:r>
      <w:r w:rsidR="00BA241C" w:rsidRPr="00E67349">
        <w:t>Poskytovatel není odpovědný za škodu, která klientovi vznikla v souvislosti s poskytnutím nesprávných, neúplných či nepravdivých informací a podkladů ze strany klienta nebo byla způsobena prodlením klienta s plněním povinností dle smlouvy.</w:t>
      </w:r>
    </w:p>
    <w:p w:rsidR="00BA241C" w:rsidRPr="00E67349" w:rsidRDefault="00BA241C" w:rsidP="00BA241C">
      <w:pPr>
        <w:pStyle w:val="slovantext"/>
      </w:pPr>
      <w:r w:rsidRPr="00E67349">
        <w:t xml:space="preserve">Klient nemá nárok na náhradu škody, která mu vznikla v souvislosti s poskytnutím poradenství, jestliže včas nesplnil oznamovací povinnost podle </w:t>
      </w:r>
      <w:r>
        <w:t>článku</w:t>
      </w:r>
      <w:r w:rsidRPr="00E67349">
        <w:t xml:space="preserve"> 4.</w:t>
      </w:r>
      <w:r>
        <w:t>2</w:t>
      </w:r>
      <w:r w:rsidRPr="00E67349">
        <w:t xml:space="preserve"> či 4.</w:t>
      </w:r>
      <w:r>
        <w:t>3</w:t>
      </w:r>
      <w:r w:rsidRPr="00E67349">
        <w:t xml:space="preserve"> VOP a/nebo pokud jednal v rozporu s písemnými doporučeními poskytovatele.</w:t>
      </w:r>
    </w:p>
    <w:p w:rsidR="00BA241C" w:rsidRPr="00F27180" w:rsidRDefault="00BA241C" w:rsidP="00BA241C">
      <w:pPr>
        <w:pStyle w:val="slovantext"/>
      </w:pPr>
      <w:r>
        <w:t xml:space="preserve">Každý z poskytovatelů je </w:t>
      </w:r>
      <w:r w:rsidRPr="00F27180">
        <w:t>pro případ odpovědnosti za škodu vzniklou v souvislosti s poskytováním poradenství pojištěn</w:t>
      </w:r>
      <w:r>
        <w:t>, a to v rozsahu činností, k jejichž poskytování je oprávněn.</w:t>
      </w:r>
    </w:p>
    <w:p w:rsidR="00BA241C" w:rsidRPr="00597E96" w:rsidRDefault="00BA241C" w:rsidP="00BA241C">
      <w:pPr>
        <w:pStyle w:val="F10-nadpis1"/>
        <w:keepNext w:val="0"/>
        <w:tabs>
          <w:tab w:val="left" w:pos="680"/>
          <w:tab w:val="left" w:pos="794"/>
        </w:tabs>
        <w:spacing w:before="240" w:line="220" w:lineRule="exact"/>
        <w:ind w:left="680" w:hanging="680"/>
      </w:pPr>
      <w:r w:rsidRPr="00597E96">
        <w:t>Povinnost mlčenlivosti</w:t>
      </w:r>
    </w:p>
    <w:p w:rsidR="00BA241C" w:rsidRPr="00F27180" w:rsidRDefault="00BA241C" w:rsidP="00BA241C">
      <w:pPr>
        <w:pStyle w:val="slovantext"/>
      </w:pPr>
      <w:r>
        <w:t>Poskytovatelé jsou povin</w:t>
      </w:r>
      <w:r w:rsidRPr="00F27180">
        <w:t>n</w:t>
      </w:r>
      <w:r>
        <w:t>i</w:t>
      </w:r>
      <w:r w:rsidRPr="00F27180">
        <w:t xml:space="preserve"> zachovávat mlčenlivost o všech skutečnostech, o kterých se v souvislosti s výkonem poradenství pro klienta do</w:t>
      </w:r>
      <w:r>
        <w:t>z</w:t>
      </w:r>
      <w:r w:rsidRPr="00F27180">
        <w:t>v</w:t>
      </w:r>
      <w:r>
        <w:t>í</w:t>
      </w:r>
      <w:r w:rsidRPr="00F27180">
        <w:t xml:space="preserve">. Povinnosti mlčenlivosti může </w:t>
      </w:r>
      <w:r>
        <w:t>poskytovatele</w:t>
      </w:r>
      <w:r w:rsidRPr="00F27180">
        <w:t xml:space="preserve"> zprostit klient svým písemným prohlášením. Povinnost mlčenlivosti </w:t>
      </w:r>
      <w:r>
        <w:t>poskytovatelů</w:t>
      </w:r>
      <w:r w:rsidRPr="00F27180">
        <w:t xml:space="preserve"> trvá i po skončení </w:t>
      </w:r>
      <w:r>
        <w:t>smluvního vztahu s klientem</w:t>
      </w:r>
      <w:r w:rsidRPr="00F27180">
        <w:t>.</w:t>
      </w:r>
    </w:p>
    <w:p w:rsidR="00BA241C" w:rsidRPr="00F27180" w:rsidRDefault="00BA241C" w:rsidP="00BA241C">
      <w:pPr>
        <w:pStyle w:val="slovantext"/>
      </w:pPr>
      <w:r w:rsidRPr="00F27180">
        <w:t xml:space="preserve">Povinnost mlčenlivosti </w:t>
      </w:r>
      <w:r>
        <w:t>poskytovatelů</w:t>
      </w:r>
      <w:r w:rsidRPr="00F27180">
        <w:t xml:space="preserve"> se nevztahuje na případy zákonem uložené povinnosti překazit a oznámit spáchání trestného činu a ostatní případy stanovené obecně závaznými právními předpisy. Povinnost mlčenlivosti se nevztahuje také na poskytování informací osobám, prostřednictvím kterých je poradenství poskytováno, a na poskytování informací osobám, </w:t>
      </w:r>
      <w:r w:rsidRPr="00095BD5">
        <w:t>které patří do skupiny TPA - jak v České republice, tak v zahraničí</w:t>
      </w:r>
      <w:r w:rsidRPr="00F27180">
        <w:t xml:space="preserve">. </w:t>
      </w:r>
    </w:p>
    <w:p w:rsidR="00BA241C" w:rsidRDefault="00BA241C" w:rsidP="00BA241C">
      <w:pPr>
        <w:pStyle w:val="slovantext"/>
      </w:pPr>
      <w:r w:rsidRPr="00BA518D">
        <w:t xml:space="preserve">Poskytovatelé jsou zproštěni </w:t>
      </w:r>
      <w:r w:rsidRPr="00F27180">
        <w:t>povin</w:t>
      </w:r>
      <w:r>
        <w:t>nosti mlčenlivosti v případě, jsou</w:t>
      </w:r>
      <w:r w:rsidRPr="00F27180">
        <w:t>-li podle smluvních podmín</w:t>
      </w:r>
      <w:r>
        <w:t>ek pojišťovny, u které uplatňují</w:t>
      </w:r>
      <w:r w:rsidRPr="00F27180">
        <w:t xml:space="preserve"> nárok na pojistné plnění z pojištění odpovědnosti za škodu způsobenou v souvislosti s výkonem </w:t>
      </w:r>
      <w:r>
        <w:t>poradenství, povin</w:t>
      </w:r>
      <w:r w:rsidRPr="00F27180">
        <w:t>n</w:t>
      </w:r>
      <w:r>
        <w:t>i</w:t>
      </w:r>
      <w:r w:rsidRPr="00F27180">
        <w:t xml:space="preserve"> pojišťovně sdělit okolnosti škodn</w:t>
      </w:r>
      <w:r>
        <w:t>í</w:t>
      </w:r>
      <w:r w:rsidRPr="00F27180">
        <w:t xml:space="preserve"> události či poskytnout jinou </w:t>
      </w:r>
      <w:r w:rsidRPr="00510A2E">
        <w:t>součinnost nebo, je-li to nutné ve vztahu</w:t>
      </w:r>
      <w:r>
        <w:t xml:space="preserve"> k</w:t>
      </w:r>
      <w:r w:rsidRPr="00F27180">
        <w:t xml:space="preserve"> uplatněným nárokům klienta. </w:t>
      </w:r>
    </w:p>
    <w:p w:rsidR="00BA241C" w:rsidRPr="00F27180" w:rsidRDefault="00BA241C" w:rsidP="00BA241C">
      <w:pPr>
        <w:pStyle w:val="slovantext"/>
      </w:pPr>
      <w:r>
        <w:t>P</w:t>
      </w:r>
      <w:r w:rsidRPr="00A045F0">
        <w:t>oskytovatelé jsou oprávněni uvádět klienta (obchodní firmu</w:t>
      </w:r>
      <w:r>
        <w:t>, specifikaci služeb poradenství</w:t>
      </w:r>
      <w:r w:rsidRPr="00A045F0">
        <w:t xml:space="preserve"> a jeho</w:t>
      </w:r>
      <w:r w:rsidRPr="00F27180">
        <w:t xml:space="preserve"> vztah s </w:t>
      </w:r>
      <w:r>
        <w:t>poskytovateli</w:t>
      </w:r>
      <w:r w:rsidRPr="00F27180">
        <w:t>) jako referenci.</w:t>
      </w:r>
      <w:r>
        <w:t xml:space="preserve"> Souhlas dle předchozí věty platí i pro další společnosti, </w:t>
      </w:r>
      <w:r w:rsidRPr="00095BD5">
        <w:t>které patří do skupiny TPA - jak v České republice, tak v zahraničí</w:t>
      </w:r>
      <w:r w:rsidRPr="00F27180">
        <w:t>.</w:t>
      </w:r>
    </w:p>
    <w:p w:rsidR="00BA241C" w:rsidRPr="005B3990" w:rsidRDefault="00BA241C" w:rsidP="00BA241C">
      <w:pPr>
        <w:pStyle w:val="F10-nadpis1"/>
        <w:keepNext w:val="0"/>
        <w:tabs>
          <w:tab w:val="left" w:pos="680"/>
          <w:tab w:val="left" w:pos="794"/>
        </w:tabs>
        <w:spacing w:before="240" w:line="220" w:lineRule="exact"/>
        <w:ind w:left="680" w:hanging="680"/>
      </w:pPr>
      <w:r>
        <w:t xml:space="preserve">Ukončení </w:t>
      </w:r>
      <w:r w:rsidRPr="005B3990">
        <w:t>smlouvy</w:t>
      </w:r>
    </w:p>
    <w:p w:rsidR="00BA241C" w:rsidRDefault="00BA241C" w:rsidP="00BA241C">
      <w:pPr>
        <w:pStyle w:val="slovantext"/>
      </w:pPr>
      <w:r w:rsidRPr="00F27180">
        <w:t xml:space="preserve">Je-li smlouva uzavřena na dobu neurčitou, může každá ze smluvních stran ukončit smlouvu písemnou výpovědí. Výpovědní lhůta činí </w:t>
      </w:r>
      <w:r>
        <w:t>dva</w:t>
      </w:r>
      <w:r w:rsidRPr="00F27180">
        <w:t xml:space="preserve"> měsíc</w:t>
      </w:r>
      <w:r>
        <w:t>e</w:t>
      </w:r>
      <w:r w:rsidRPr="00F27180">
        <w:t xml:space="preserve"> a končí posledním dnem </w:t>
      </w:r>
      <w:r>
        <w:t xml:space="preserve">druhého </w:t>
      </w:r>
      <w:r w:rsidRPr="00F27180">
        <w:t xml:space="preserve">kalendářního měsíce následujícího po doručení výpovědi druhé smluvní straně. </w:t>
      </w:r>
    </w:p>
    <w:p w:rsidR="00BA241C" w:rsidRPr="00F27180" w:rsidRDefault="00BA241C" w:rsidP="00BA241C">
      <w:pPr>
        <w:pStyle w:val="slovantext"/>
      </w:pPr>
      <w:r>
        <w:t xml:space="preserve">Poskytovatel je </w:t>
      </w:r>
      <w:r w:rsidRPr="00F27180">
        <w:t>oprávněn odstoupit od smlouvy, doj</w:t>
      </w:r>
      <w:r>
        <w:t xml:space="preserve">de-li k narušení důvěry mezi ním </w:t>
      </w:r>
      <w:r w:rsidRPr="00F27180">
        <w:t xml:space="preserve">a klientem nebo neposkytuje-li klient potřebnou součinnost. Za narušení důvěry se považuje zejména, pokud klient poskytuje </w:t>
      </w:r>
      <w:r>
        <w:t>poskytovateli</w:t>
      </w:r>
      <w:r w:rsidRPr="00F27180">
        <w:t xml:space="preserve"> nepravdivé či zkreslené údaje a/nebo pokud je v prodlení s plněním své povinnosti v případě, byl-li </w:t>
      </w:r>
      <w:r>
        <w:t>poskytovatelem</w:t>
      </w:r>
      <w:r w:rsidRPr="00F27180">
        <w:t xml:space="preserve"> k jejímu plnění písemně vyzván.</w:t>
      </w:r>
    </w:p>
    <w:p w:rsidR="00BA241C" w:rsidRPr="005B3990" w:rsidRDefault="00BA241C" w:rsidP="00BA241C">
      <w:pPr>
        <w:pStyle w:val="F10-nadpis1"/>
        <w:keepNext w:val="0"/>
        <w:tabs>
          <w:tab w:val="left" w:pos="680"/>
          <w:tab w:val="left" w:pos="794"/>
        </w:tabs>
        <w:spacing w:before="240" w:line="220" w:lineRule="exact"/>
        <w:ind w:left="680" w:hanging="680"/>
      </w:pPr>
      <w:r>
        <w:t>Závěrečná ustanovení</w:t>
      </w:r>
    </w:p>
    <w:p w:rsidR="00BA241C" w:rsidRDefault="00BA241C" w:rsidP="00BA241C">
      <w:pPr>
        <w:pStyle w:val="slovantext"/>
      </w:pPr>
      <w:r>
        <w:t xml:space="preserve">Vztahy mezi poskytovateli a klientem </w:t>
      </w:r>
      <w:r w:rsidRPr="00F27180">
        <w:t xml:space="preserve">se řídí právním řádem České republiky, zejména </w:t>
      </w:r>
      <w:r>
        <w:t>NOZ</w:t>
      </w:r>
      <w:r w:rsidRPr="00F27180">
        <w:t>.</w:t>
      </w:r>
      <w:r>
        <w:t xml:space="preserve"> </w:t>
      </w:r>
      <w:r w:rsidRPr="003E1ABB">
        <w:t>Veškeré případné spory ze smlouvy a v souvislosti s ní budou rozhodovány věcně příslušným soudem České republiky. Místní příslušnost bude určena dle sídla poskytovatele</w:t>
      </w:r>
      <w:r>
        <w:t>.</w:t>
      </w:r>
    </w:p>
    <w:p w:rsidR="00BA241C" w:rsidRDefault="00BA241C" w:rsidP="00BA241C">
      <w:pPr>
        <w:pStyle w:val="slovantext"/>
      </w:pPr>
      <w:r w:rsidRPr="00CB3AE8">
        <w:t>Klienti v postavení spotřebitele mohou, dle zákona č. 634/1992 Sb., o ochraně spotřebitele, v platném znění, řešit spory vzniklé v souvislosti s poskytnutými službami i mimosoudně, a to u České obchodní inspekce (www.coi.cz) na adrese Ústřední inspektorát - oddělení ADR, Štěpánská 15, 120 00 Praha 2.</w:t>
      </w:r>
    </w:p>
    <w:p w:rsidR="00BA241C" w:rsidRDefault="00BA241C" w:rsidP="00BA241C">
      <w:pPr>
        <w:pStyle w:val="slovantext"/>
        <w:numPr>
          <w:ilvl w:val="0"/>
          <w:numId w:val="0"/>
        </w:numPr>
        <w:pBdr>
          <w:top w:val="single" w:sz="4" w:space="1" w:color="auto"/>
        </w:pBdr>
      </w:pPr>
    </w:p>
    <w:p w:rsidR="00BA241C" w:rsidRDefault="00BA241C" w:rsidP="00BA241C">
      <w:pPr>
        <w:pStyle w:val="slovantext"/>
        <w:numPr>
          <w:ilvl w:val="0"/>
          <w:numId w:val="0"/>
        </w:numPr>
        <w:pBdr>
          <w:top w:val="single" w:sz="4" w:space="1" w:color="auto"/>
        </w:pBdr>
      </w:pPr>
    </w:p>
    <w:p w:rsidR="00BA241C" w:rsidRDefault="00BA241C" w:rsidP="00BA241C">
      <w:pPr>
        <w:pStyle w:val="slovantext"/>
        <w:numPr>
          <w:ilvl w:val="0"/>
          <w:numId w:val="0"/>
        </w:numPr>
        <w:pBdr>
          <w:top w:val="single" w:sz="4" w:space="1" w:color="auto"/>
        </w:pBdr>
      </w:pPr>
      <w:r>
        <w:t>S výše uvedenými VOP souhlasím.</w:t>
      </w:r>
    </w:p>
    <w:p w:rsidR="00BA241C" w:rsidRDefault="00BA241C" w:rsidP="00BA241C">
      <w:pPr>
        <w:pStyle w:val="slovantext"/>
        <w:numPr>
          <w:ilvl w:val="0"/>
          <w:numId w:val="0"/>
        </w:numPr>
        <w:spacing w:before="240"/>
      </w:pPr>
      <w:r>
        <w:t>V</w:t>
      </w:r>
      <w:r w:rsidR="001865CE">
        <w:t> Praze</w:t>
      </w:r>
      <w:r>
        <w:t>, dne</w:t>
      </w:r>
      <w:r w:rsidR="001865CE">
        <w:t xml:space="preserve"> 20. 7. 2017</w:t>
      </w:r>
    </w:p>
    <w:p w:rsidR="00BA241C" w:rsidRDefault="00BA241C" w:rsidP="00BA241C">
      <w:pPr>
        <w:pStyle w:val="slovantext"/>
        <w:numPr>
          <w:ilvl w:val="0"/>
          <w:numId w:val="0"/>
        </w:numPr>
        <w:tabs>
          <w:tab w:val="center" w:pos="7088"/>
        </w:tabs>
      </w:pPr>
      <w:r>
        <w:tab/>
      </w:r>
      <w:r>
        <w:tab/>
        <w:t>……………………………………………………………………………..</w:t>
      </w:r>
    </w:p>
    <w:p w:rsidR="00BA241C" w:rsidRPr="008F00D7" w:rsidRDefault="00BA241C" w:rsidP="00BA241C">
      <w:pPr>
        <w:pStyle w:val="slovantext"/>
        <w:numPr>
          <w:ilvl w:val="0"/>
          <w:numId w:val="0"/>
        </w:numPr>
        <w:tabs>
          <w:tab w:val="center" w:pos="7088"/>
        </w:tabs>
        <w:rPr>
          <w:i/>
          <w:iCs/>
        </w:rPr>
      </w:pPr>
      <w:r>
        <w:tab/>
      </w:r>
      <w:r>
        <w:tab/>
      </w:r>
      <w:r>
        <w:rPr>
          <w:i/>
          <w:iCs/>
        </w:rPr>
        <w:t xml:space="preserve">firma a </w:t>
      </w:r>
      <w:r w:rsidRPr="008F00D7">
        <w:rPr>
          <w:i/>
          <w:iCs/>
        </w:rPr>
        <w:t>podpis klienta</w:t>
      </w:r>
    </w:p>
    <w:p w:rsidR="00BE66ED" w:rsidRDefault="00BA241C" w:rsidP="00647315">
      <w:pPr>
        <w:pStyle w:val="F2-zkladn"/>
      </w:pPr>
      <w:r>
        <w:rPr>
          <w:noProof/>
        </w:rPr>
        <mc:AlternateContent>
          <mc:Choice Requires="wps">
            <w:drawing>
              <wp:anchor distT="0" distB="0" distL="114300" distR="114300" simplePos="0" relativeHeight="251661312" behindDoc="0" locked="0" layoutInCell="1" allowOverlap="1" wp14:anchorId="0DB88B4E" wp14:editId="7BC4E548">
                <wp:simplePos x="0" y="0"/>
                <wp:positionH relativeFrom="column">
                  <wp:posOffset>-195580</wp:posOffset>
                </wp:positionH>
                <wp:positionV relativeFrom="paragraph">
                  <wp:posOffset>1014095</wp:posOffset>
                </wp:positionV>
                <wp:extent cx="1104900" cy="266700"/>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11049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63D8" w:rsidRPr="00BA241C" w:rsidRDefault="00BA241C">
                            <w:pPr>
                              <w:rPr>
                                <w:rFonts w:ascii="Ariel" w:hAnsi="Ariel"/>
                                <w:b/>
                                <w:sz w:val="16"/>
                                <w:szCs w:val="16"/>
                              </w:rPr>
                            </w:pPr>
                            <w:r w:rsidRPr="00BA241C">
                              <w:rPr>
                                <w:rFonts w:ascii="Ariel" w:hAnsi="Ariel"/>
                                <w:b/>
                                <w:sz w:val="16"/>
                                <w:szCs w:val="16"/>
                              </w:rPr>
                              <w:t>VOP TPA CZ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5" o:spid="_x0000_s1037" type="#_x0000_t202" style="position:absolute;left:0;text-align:left;margin-left:-15.4pt;margin-top:79.85pt;width:87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" fillcolor="white [3201]" stroked="f" strokeweight=".5pt">
                <v:textbox>
                  <w:txbxContent>
                    <w:p w:rsidR="00E063D8" w:rsidRPr="00BA241C" w:rsidRDefault="00BA241C">
                      <w:pPr>
                        <w:rPr>
                          <w:rFonts w:ascii="Ariel" w:hAnsi="Ariel"/>
                          <w:b/>
                          <w:sz w:val="16"/>
                          <w:szCs w:val="16"/>
                        </w:rPr>
                      </w:pPr>
                      <w:r w:rsidRPr="00BA241C">
                        <w:rPr>
                          <w:rFonts w:ascii="Ariel" w:hAnsi="Ariel"/>
                          <w:b/>
                          <w:sz w:val="16"/>
                          <w:szCs w:val="16"/>
                        </w:rPr>
                        <w:t>VOP TPA CZ 2016</w:t>
                      </w:r>
                    </w:p>
                  </w:txbxContent>
                </v:textbox>
              </v:shape>
            </w:pict>
          </mc:Fallback>
        </mc:AlternateContent>
      </w:r>
    </w:p>
    <w:sectPr w:rsidR="00BE66ED" w:rsidSect="00494FD9">
      <w:pgSz w:w="11906" w:h="16838" w:code="9"/>
      <w:pgMar w:top="1560" w:right="707" w:bottom="1276" w:left="851" w:header="567"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087" w:rsidRDefault="00060087">
      <w:r>
        <w:separator/>
      </w:r>
    </w:p>
  </w:endnote>
  <w:endnote w:type="continuationSeparator" w:id="0">
    <w:p w:rsidR="00060087" w:rsidRDefault="0006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6F" w:rsidRDefault="00CC1EA4" w:rsidP="009E546F">
    <w:pPr>
      <w:pStyle w:val="F-zpat"/>
      <w:tabs>
        <w:tab w:val="right" w:pos="9070"/>
      </w:tabs>
      <w:jc w:val="left"/>
      <w:rPr>
        <w:rStyle w:val="slostrnky"/>
      </w:rPr>
    </w:pPr>
    <w:r w:rsidRPr="008810CC">
      <w:rPr>
        <w:bCs/>
      </w:rPr>
      <w:t xml:space="preserve">TPA </w:t>
    </w:r>
    <w:r>
      <w:rPr>
        <w:bCs/>
      </w:rPr>
      <w:t xml:space="preserve">Tax </w:t>
    </w:r>
    <w:r w:rsidRPr="008810CC">
      <w:rPr>
        <w:bCs/>
      </w:rPr>
      <w:t>s.r.o.</w:t>
    </w:r>
  </w:p>
  <w:p w:rsidR="009E546F" w:rsidRPr="00CC1EA4" w:rsidRDefault="009E546F" w:rsidP="009E546F">
    <w:pPr>
      <w:pStyle w:val="F-zpat"/>
      <w:tabs>
        <w:tab w:val="right" w:pos="907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A4" w:rsidRPr="00067956" w:rsidRDefault="00CC1EA4" w:rsidP="00CC1EA4">
    <w:pPr>
      <w:pStyle w:val="F-zpat"/>
      <w:spacing w:before="480" w:after="60"/>
      <w:ind w:left="-1418" w:right="-1418"/>
      <w:rPr>
        <w:b/>
        <w:bCs/>
        <w:szCs w:val="18"/>
      </w:rPr>
    </w:pPr>
    <w:r w:rsidRPr="00067956">
      <w:rPr>
        <w:b/>
        <w:bCs/>
        <w:szCs w:val="18"/>
      </w:rPr>
      <w:t>TPA Tax s.r.o.</w:t>
    </w:r>
  </w:p>
  <w:p w:rsidR="00CC1EA4" w:rsidRPr="00067956" w:rsidRDefault="00CC1EA4" w:rsidP="00CC1EA4">
    <w:pPr>
      <w:pStyle w:val="F-zpat"/>
      <w:ind w:left="-1418" w:right="-1418"/>
      <w:rPr>
        <w:szCs w:val="18"/>
      </w:rPr>
    </w:pPr>
    <w:r w:rsidRPr="00067956">
      <w:rPr>
        <w:szCs w:val="18"/>
      </w:rPr>
      <w:t xml:space="preserve">140 00 Praha 4, Antala Staška 2027/79, Tel.: +420 222 826 311, E-mail: tax@tpa-group.cz, www.tpa-group.cz </w:t>
    </w:r>
  </w:p>
  <w:p w:rsidR="00CC1EA4" w:rsidRPr="00067956" w:rsidRDefault="00CC1EA4" w:rsidP="00CC1EA4">
    <w:pPr>
      <w:pStyle w:val="F-zpat"/>
      <w:ind w:left="-1418" w:right="-1418"/>
      <w:rPr>
        <w:szCs w:val="18"/>
      </w:rPr>
    </w:pPr>
    <w:r w:rsidRPr="00067956">
      <w:rPr>
        <w:szCs w:val="18"/>
      </w:rPr>
      <w:t>IČO: 26126851, Městský soud v Praze, spisová zn. C.72491</w:t>
    </w:r>
  </w:p>
  <w:p w:rsidR="00CC1EA4" w:rsidRPr="00067956" w:rsidRDefault="00CC1EA4" w:rsidP="00CC1EA4">
    <w:pPr>
      <w:pStyle w:val="F-zpat"/>
      <w:spacing w:before="120"/>
      <w:ind w:left="-1418" w:right="-1418"/>
      <w:rPr>
        <w:szCs w:val="18"/>
      </w:rPr>
    </w:pPr>
    <w:r w:rsidRPr="00067956">
      <w:rPr>
        <w:szCs w:val="18"/>
      </w:rPr>
      <w:t>Albánie│Bulharsko│Česká republika│Chorvatsko│Maďarsko│Polsko│Rakousko│Rumunsko│Slovensko│Slovinsko│Srbsko</w:t>
    </w:r>
  </w:p>
  <w:p w:rsidR="00DD20C2" w:rsidRPr="00067956" w:rsidRDefault="00CC1EA4" w:rsidP="00CC1EA4">
    <w:pPr>
      <w:pStyle w:val="F-zpat"/>
      <w:spacing w:before="120" w:after="120"/>
      <w:ind w:left="-1417" w:right="-1417"/>
      <w:rPr>
        <w:szCs w:val="18"/>
      </w:rPr>
    </w:pPr>
    <w:r w:rsidRPr="00067956">
      <w:rPr>
        <w:szCs w:val="18"/>
      </w:rPr>
      <w:t>Nezávislý člen Baker Tilly Europe Alliance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C2" w:rsidRPr="00BA241C" w:rsidRDefault="00DD20C2" w:rsidP="00BA24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087" w:rsidRPr="009C0623" w:rsidRDefault="00060087">
      <w:pPr>
        <w:rPr>
          <w:rStyle w:val="F-poznmkapodarouChar"/>
        </w:rPr>
      </w:pPr>
      <w:r>
        <w:separator/>
      </w:r>
    </w:p>
  </w:footnote>
  <w:footnote w:type="continuationSeparator" w:id="0">
    <w:p w:rsidR="00060087" w:rsidRDefault="00060087">
      <w:r>
        <w:continuationSeparator/>
      </w:r>
    </w:p>
  </w:footnote>
  <w:footnote w:type="continuationNotice" w:id="1">
    <w:p w:rsidR="00060087" w:rsidRDefault="00060087"/>
  </w:footnote>
  <w:footnote w:id="2">
    <w:p w:rsidR="00797957" w:rsidRDefault="00797957" w:rsidP="00797957">
      <w:pPr>
        <w:pStyle w:val="F-poznmkapodarou"/>
      </w:pPr>
      <w:r>
        <w:rPr>
          <w:rStyle w:val="Znakapoznpodarou"/>
        </w:rPr>
        <w:footnoteRef/>
      </w:r>
      <w:r>
        <w:t xml:space="preserve"> Conflict check je </w:t>
      </w:r>
      <w:r w:rsidRPr="009C0623">
        <w:t xml:space="preserve">potvrzením skutečnosti, že </w:t>
      </w:r>
      <w:r>
        <w:t xml:space="preserve">TPA Česká republika </w:t>
      </w:r>
      <w:r w:rsidRPr="009C0623">
        <w:t xml:space="preserve">nemá ve vztahu k předmětu poradenství </w:t>
      </w:r>
      <w:r>
        <w:t xml:space="preserve">ani k zúčastněným stranám </w:t>
      </w:r>
      <w:r w:rsidRPr="009C0623">
        <w:t>konflikt zájmů</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C2" w:rsidRDefault="00DF4C76" w:rsidP="00CC1EA4">
    <w:pPr>
      <w:pStyle w:val="F-zpat"/>
      <w:jc w:val="left"/>
    </w:pPr>
    <w:r>
      <w:rPr>
        <w:noProof/>
      </w:rPr>
      <w:drawing>
        <wp:anchor distT="0" distB="0" distL="114300" distR="114300" simplePos="0" relativeHeight="251658752" behindDoc="1" locked="0" layoutInCell="1" allowOverlap="1" wp14:anchorId="4DB8E986" wp14:editId="49E3A61A">
          <wp:simplePos x="0" y="0"/>
          <wp:positionH relativeFrom="margin">
            <wp:align>center</wp:align>
          </wp:positionH>
          <wp:positionV relativeFrom="page">
            <wp:posOffset>370840</wp:posOffset>
          </wp:positionV>
          <wp:extent cx="864235" cy="644525"/>
          <wp:effectExtent l="0" t="0" r="0" b="3175"/>
          <wp:wrapSquare wrapText="bothSides"/>
          <wp:docPr id="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l="4846" t="4874" r="4916" b="4733"/>
                  <a:stretch>
                    <a:fillRect/>
                  </a:stretch>
                </pic:blipFill>
                <pic:spPr bwMode="auto">
                  <a:xfrm>
                    <a:off x="0" y="0"/>
                    <a:ext cx="864235" cy="644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C2" w:rsidRPr="00CC1EA4" w:rsidRDefault="00DF4C76" w:rsidP="00CC1EA4">
    <w:pPr>
      <w:pStyle w:val="F-zpat"/>
      <w:rPr>
        <w:sz w:val="20"/>
        <w:szCs w:val="20"/>
      </w:rPr>
    </w:pPr>
    <w:r>
      <w:rPr>
        <w:noProof/>
      </w:rPr>
      <w:drawing>
        <wp:anchor distT="0" distB="0" distL="114300" distR="114300" simplePos="0" relativeHeight="251657728" behindDoc="1" locked="0" layoutInCell="1" allowOverlap="1" wp14:anchorId="3D6806EA" wp14:editId="5ADE262F">
          <wp:simplePos x="0" y="0"/>
          <wp:positionH relativeFrom="margin">
            <wp:align>center</wp:align>
          </wp:positionH>
          <wp:positionV relativeFrom="page">
            <wp:posOffset>370840</wp:posOffset>
          </wp:positionV>
          <wp:extent cx="1224280" cy="914400"/>
          <wp:effectExtent l="0" t="0" r="0" b="0"/>
          <wp:wrapSquare wrapText="bothSides"/>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l="4846" t="4874" r="4916" b="4733"/>
                  <a:stretch>
                    <a:fillRect/>
                  </a:stretch>
                </pic:blipFill>
                <pic:spPr bwMode="auto">
                  <a:xfrm>
                    <a:off x="0" y="0"/>
                    <a:ext cx="122428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C2" w:rsidRDefault="00DD20C2" w:rsidP="00585CC6">
    <w:pPr>
      <w:pStyle w:val="F-zpa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A6D266C"/>
    <w:multiLevelType w:val="multilevel"/>
    <w:tmpl w:val="63F65110"/>
    <w:lvl w:ilvl="0">
      <w:start w:val="1"/>
      <w:numFmt w:val="bullet"/>
      <w:pStyle w:val="F3-odrka"/>
      <w:lvlText w:val=""/>
      <w:lvlJc w:val="left"/>
      <w:pPr>
        <w:tabs>
          <w:tab w:val="num" w:pos="750"/>
        </w:tabs>
        <w:ind w:left="750" w:hanging="454"/>
      </w:pPr>
      <w:rPr>
        <w:rFonts w:ascii="Webdings" w:hAnsi="Webdings" w:hint="default"/>
        <w:color w:val="878787"/>
      </w:rPr>
    </w:lvl>
    <w:lvl w:ilvl="1">
      <w:start w:val="1"/>
      <w:numFmt w:val="bullet"/>
      <w:lvlText w:val=""/>
      <w:lvlJc w:val="left"/>
      <w:pPr>
        <w:tabs>
          <w:tab w:val="num" w:pos="1203"/>
        </w:tabs>
        <w:ind w:left="1203" w:hanging="453"/>
      </w:pPr>
      <w:rPr>
        <w:rFonts w:ascii="Webdings" w:hAnsi="Webdings" w:hint="default"/>
        <w:color w:val="878787"/>
      </w:rPr>
    </w:lvl>
    <w:lvl w:ilvl="2">
      <w:start w:val="1"/>
      <w:numFmt w:val="bullet"/>
      <w:lvlText w:val=""/>
      <w:lvlJc w:val="left"/>
      <w:pPr>
        <w:tabs>
          <w:tab w:val="num" w:pos="1657"/>
        </w:tabs>
        <w:ind w:left="1657" w:hanging="454"/>
      </w:pPr>
      <w:rPr>
        <w:rFonts w:ascii="Symbol" w:hAnsi="Symbol" w:hint="default"/>
        <w:color w:val="auto"/>
      </w:rPr>
    </w:lvl>
    <w:lvl w:ilvl="3">
      <w:start w:val="1"/>
      <w:numFmt w:val="decimal"/>
      <w:lvlText w:val="%1.%2.%3.%4"/>
      <w:lvlJc w:val="left"/>
      <w:pPr>
        <w:tabs>
          <w:tab w:val="num" w:pos="750"/>
        </w:tabs>
        <w:ind w:left="750" w:hanging="794"/>
      </w:pPr>
      <w:rPr>
        <w:rFonts w:hint="default"/>
      </w:rPr>
    </w:lvl>
    <w:lvl w:ilvl="4">
      <w:start w:val="1"/>
      <w:numFmt w:val="decimal"/>
      <w:lvlText w:val="%1.%2.%3.%4.%5"/>
      <w:lvlJc w:val="left"/>
      <w:pPr>
        <w:tabs>
          <w:tab w:val="num" w:pos="964"/>
        </w:tabs>
        <w:ind w:left="964" w:hanging="1008"/>
      </w:pPr>
      <w:rPr>
        <w:rFonts w:hint="default"/>
      </w:rPr>
    </w:lvl>
    <w:lvl w:ilvl="5">
      <w:start w:val="1"/>
      <w:numFmt w:val="decimal"/>
      <w:lvlText w:val="%1.%2.%3.%4.%5.%6"/>
      <w:lvlJc w:val="left"/>
      <w:pPr>
        <w:tabs>
          <w:tab w:val="num" w:pos="1108"/>
        </w:tabs>
        <w:ind w:left="1108" w:hanging="1152"/>
      </w:pPr>
      <w:rPr>
        <w:rFonts w:hint="default"/>
      </w:rPr>
    </w:lvl>
    <w:lvl w:ilvl="6">
      <w:start w:val="1"/>
      <w:numFmt w:val="decimal"/>
      <w:lvlText w:val="%1.%2.%3.%4.%5.%6.%7"/>
      <w:lvlJc w:val="left"/>
      <w:pPr>
        <w:tabs>
          <w:tab w:val="num" w:pos="1252"/>
        </w:tabs>
        <w:ind w:left="1252" w:hanging="1296"/>
      </w:pPr>
      <w:rPr>
        <w:rFonts w:hint="default"/>
      </w:rPr>
    </w:lvl>
    <w:lvl w:ilvl="7">
      <w:start w:val="1"/>
      <w:numFmt w:val="decimal"/>
      <w:lvlText w:val="%1.%2.%3.%4.%5.%6.%7.%8"/>
      <w:lvlJc w:val="left"/>
      <w:pPr>
        <w:tabs>
          <w:tab w:val="num" w:pos="1396"/>
        </w:tabs>
        <w:ind w:left="1396" w:hanging="1440"/>
      </w:pPr>
      <w:rPr>
        <w:rFonts w:hint="default"/>
      </w:rPr>
    </w:lvl>
    <w:lvl w:ilvl="8">
      <w:start w:val="1"/>
      <w:numFmt w:val="decimal"/>
      <w:lvlText w:val="%1.%2.%3.%4.%5.%6.%7.%8.%9"/>
      <w:lvlJc w:val="left"/>
      <w:pPr>
        <w:tabs>
          <w:tab w:val="num" w:pos="1540"/>
        </w:tabs>
        <w:ind w:left="1540" w:hanging="1584"/>
      </w:pPr>
      <w:rPr>
        <w:rFonts w:hint="default"/>
      </w:rPr>
    </w:lvl>
  </w:abstractNum>
  <w:abstractNum w:abstractNumId="12">
    <w:nsid w:val="0F281F2E"/>
    <w:multiLevelType w:val="hybridMultilevel"/>
    <w:tmpl w:val="523080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nsid w:val="17024E5B"/>
    <w:multiLevelType w:val="hybridMultilevel"/>
    <w:tmpl w:val="B214151A"/>
    <w:lvl w:ilvl="0" w:tplc="75387A1A">
      <w:start w:val="1"/>
      <w:numFmt w:val="none"/>
      <w:pStyle w:val="F6-kol"/>
      <w:lvlText w:val="!! ÚKOL !!"/>
      <w:lvlJc w:val="left"/>
      <w:pPr>
        <w:tabs>
          <w:tab w:val="num" w:pos="0"/>
        </w:tabs>
        <w:ind w:left="0" w:firstLine="0"/>
      </w:pPr>
      <w:rPr>
        <w:rFonts w:hint="default"/>
        <w:b/>
        <w:i w:val="0"/>
        <w:color w:val="0000FF"/>
      </w:rPr>
    </w:lvl>
    <w:lvl w:ilvl="1" w:tplc="A1E8BC7A">
      <w:start w:val="1"/>
      <w:numFmt w:val="lowerLetter"/>
      <w:lvlText w:val="%2)"/>
      <w:lvlJc w:val="left"/>
      <w:pPr>
        <w:tabs>
          <w:tab w:val="num" w:pos="743"/>
        </w:tabs>
        <w:ind w:left="743" w:hanging="363"/>
      </w:pPr>
      <w:rPr>
        <w:rFonts w:hint="default"/>
        <w:b/>
        <w:i w:val="0"/>
        <w:color w:val="0000FF"/>
      </w:rPr>
    </w:lvl>
    <w:lvl w:ilvl="2" w:tplc="258E00BA" w:tentative="1">
      <w:start w:val="1"/>
      <w:numFmt w:val="lowerRoman"/>
      <w:lvlText w:val="%3."/>
      <w:lvlJc w:val="right"/>
      <w:pPr>
        <w:tabs>
          <w:tab w:val="num" w:pos="2160"/>
        </w:tabs>
        <w:ind w:left="2160" w:hanging="180"/>
      </w:pPr>
    </w:lvl>
    <w:lvl w:ilvl="3" w:tplc="60366652" w:tentative="1">
      <w:start w:val="1"/>
      <w:numFmt w:val="decimal"/>
      <w:lvlText w:val="%4."/>
      <w:lvlJc w:val="left"/>
      <w:pPr>
        <w:tabs>
          <w:tab w:val="num" w:pos="2880"/>
        </w:tabs>
        <w:ind w:left="2880" w:hanging="360"/>
      </w:pPr>
    </w:lvl>
    <w:lvl w:ilvl="4" w:tplc="D07E04AE" w:tentative="1">
      <w:start w:val="1"/>
      <w:numFmt w:val="lowerLetter"/>
      <w:lvlText w:val="%5."/>
      <w:lvlJc w:val="left"/>
      <w:pPr>
        <w:tabs>
          <w:tab w:val="num" w:pos="3600"/>
        </w:tabs>
        <w:ind w:left="3600" w:hanging="360"/>
      </w:pPr>
    </w:lvl>
    <w:lvl w:ilvl="5" w:tplc="DD269E16" w:tentative="1">
      <w:start w:val="1"/>
      <w:numFmt w:val="lowerRoman"/>
      <w:lvlText w:val="%6."/>
      <w:lvlJc w:val="right"/>
      <w:pPr>
        <w:tabs>
          <w:tab w:val="num" w:pos="4320"/>
        </w:tabs>
        <w:ind w:left="4320" w:hanging="180"/>
      </w:pPr>
    </w:lvl>
    <w:lvl w:ilvl="6" w:tplc="5950C16E" w:tentative="1">
      <w:start w:val="1"/>
      <w:numFmt w:val="decimal"/>
      <w:lvlText w:val="%7."/>
      <w:lvlJc w:val="left"/>
      <w:pPr>
        <w:tabs>
          <w:tab w:val="num" w:pos="5040"/>
        </w:tabs>
        <w:ind w:left="5040" w:hanging="360"/>
      </w:pPr>
    </w:lvl>
    <w:lvl w:ilvl="7" w:tplc="2B28033C" w:tentative="1">
      <w:start w:val="1"/>
      <w:numFmt w:val="lowerLetter"/>
      <w:lvlText w:val="%8."/>
      <w:lvlJc w:val="left"/>
      <w:pPr>
        <w:tabs>
          <w:tab w:val="num" w:pos="5760"/>
        </w:tabs>
        <w:ind w:left="5760" w:hanging="360"/>
      </w:pPr>
    </w:lvl>
    <w:lvl w:ilvl="8" w:tplc="5EC8A562" w:tentative="1">
      <w:start w:val="1"/>
      <w:numFmt w:val="lowerRoman"/>
      <w:lvlText w:val="%9."/>
      <w:lvlJc w:val="right"/>
      <w:pPr>
        <w:tabs>
          <w:tab w:val="num" w:pos="6480"/>
        </w:tabs>
        <w:ind w:left="6480" w:hanging="180"/>
      </w:pPr>
    </w:lvl>
  </w:abstractNum>
  <w:abstractNum w:abstractNumId="15">
    <w:nsid w:val="256A09F1"/>
    <w:multiLevelType w:val="multilevel"/>
    <w:tmpl w:val="DD9A0B22"/>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BAB08F3"/>
    <w:multiLevelType w:val="hybridMultilevel"/>
    <w:tmpl w:val="17D6CE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2F102D17"/>
    <w:multiLevelType w:val="singleLevel"/>
    <w:tmpl w:val="1792A74C"/>
    <w:lvl w:ilvl="0">
      <w:start w:val="1"/>
      <w:numFmt w:val="bullet"/>
      <w:pStyle w:val="F3-Odrka0"/>
      <w:lvlText w:val=""/>
      <w:lvlJc w:val="left"/>
      <w:pPr>
        <w:tabs>
          <w:tab w:val="num" w:pos="360"/>
        </w:tabs>
        <w:ind w:left="360" w:hanging="360"/>
      </w:pPr>
      <w:rPr>
        <w:rFonts w:ascii="Symbol" w:hAnsi="Symbol" w:hint="default"/>
      </w:rPr>
    </w:lvl>
  </w:abstractNum>
  <w:abstractNum w:abstractNumId="2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C70443"/>
    <w:multiLevelType w:val="hybridMultilevel"/>
    <w:tmpl w:val="6D8E7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F51BD7"/>
    <w:multiLevelType w:val="hybridMultilevel"/>
    <w:tmpl w:val="6CE629D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
    <w:nsid w:val="585469FB"/>
    <w:multiLevelType w:val="multilevel"/>
    <w:tmpl w:val="B1266DCC"/>
    <w:lvl w:ilvl="0">
      <w:start w:val="1"/>
      <w:numFmt w:val="lowerLetter"/>
      <w:pStyle w:val="Vet"/>
      <w:lvlText w:val="(%1)"/>
      <w:lvlJc w:val="left"/>
      <w:pPr>
        <w:tabs>
          <w:tab w:val="num" w:pos="717"/>
        </w:tabs>
        <w:ind w:left="717"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5">
    <w:nsid w:val="5FC015B7"/>
    <w:multiLevelType w:val="hybridMultilevel"/>
    <w:tmpl w:val="D40EC4D8"/>
    <w:lvl w:ilvl="0" w:tplc="F1EEF3C6">
      <w:start w:val="1"/>
      <w:numFmt w:val="none"/>
      <w:pStyle w:val="F7-chyba"/>
      <w:lvlText w:val="!! CHYBA !!"/>
      <w:lvlJc w:val="left"/>
      <w:pPr>
        <w:tabs>
          <w:tab w:val="num" w:pos="0"/>
        </w:tabs>
        <w:ind w:left="0" w:firstLine="0"/>
      </w:pPr>
      <w:rPr>
        <w:rFonts w:hint="default"/>
        <w:b/>
        <w:i w:val="0"/>
        <w:color w:val="FF0000"/>
      </w:rPr>
    </w:lvl>
    <w:lvl w:ilvl="1" w:tplc="9934E01C">
      <w:start w:val="1"/>
      <w:numFmt w:val="lowerLetter"/>
      <w:lvlText w:val="%2."/>
      <w:lvlJc w:val="left"/>
      <w:pPr>
        <w:tabs>
          <w:tab w:val="num" w:pos="1440"/>
        </w:tabs>
        <w:ind w:left="1440" w:hanging="360"/>
      </w:pPr>
    </w:lvl>
    <w:lvl w:ilvl="2" w:tplc="303A7E0C" w:tentative="1">
      <w:start w:val="1"/>
      <w:numFmt w:val="lowerRoman"/>
      <w:lvlText w:val="%3."/>
      <w:lvlJc w:val="right"/>
      <w:pPr>
        <w:tabs>
          <w:tab w:val="num" w:pos="2160"/>
        </w:tabs>
        <w:ind w:left="2160" w:hanging="180"/>
      </w:pPr>
    </w:lvl>
    <w:lvl w:ilvl="3" w:tplc="16AE84BA" w:tentative="1">
      <w:start w:val="1"/>
      <w:numFmt w:val="decimal"/>
      <w:lvlText w:val="%4."/>
      <w:lvlJc w:val="left"/>
      <w:pPr>
        <w:tabs>
          <w:tab w:val="num" w:pos="2880"/>
        </w:tabs>
        <w:ind w:left="2880" w:hanging="360"/>
      </w:pPr>
    </w:lvl>
    <w:lvl w:ilvl="4" w:tplc="3EB29864" w:tentative="1">
      <w:start w:val="1"/>
      <w:numFmt w:val="lowerLetter"/>
      <w:lvlText w:val="%5."/>
      <w:lvlJc w:val="left"/>
      <w:pPr>
        <w:tabs>
          <w:tab w:val="num" w:pos="3600"/>
        </w:tabs>
        <w:ind w:left="3600" w:hanging="360"/>
      </w:pPr>
    </w:lvl>
    <w:lvl w:ilvl="5" w:tplc="BDC243BA" w:tentative="1">
      <w:start w:val="1"/>
      <w:numFmt w:val="lowerRoman"/>
      <w:lvlText w:val="%6."/>
      <w:lvlJc w:val="right"/>
      <w:pPr>
        <w:tabs>
          <w:tab w:val="num" w:pos="4320"/>
        </w:tabs>
        <w:ind w:left="4320" w:hanging="180"/>
      </w:pPr>
    </w:lvl>
    <w:lvl w:ilvl="6" w:tplc="B38A326A" w:tentative="1">
      <w:start w:val="1"/>
      <w:numFmt w:val="decimal"/>
      <w:lvlText w:val="%7."/>
      <w:lvlJc w:val="left"/>
      <w:pPr>
        <w:tabs>
          <w:tab w:val="num" w:pos="5040"/>
        </w:tabs>
        <w:ind w:left="5040" w:hanging="360"/>
      </w:pPr>
    </w:lvl>
    <w:lvl w:ilvl="7" w:tplc="865AB102" w:tentative="1">
      <w:start w:val="1"/>
      <w:numFmt w:val="lowerLetter"/>
      <w:lvlText w:val="%8."/>
      <w:lvlJc w:val="left"/>
      <w:pPr>
        <w:tabs>
          <w:tab w:val="num" w:pos="5760"/>
        </w:tabs>
        <w:ind w:left="5760" w:hanging="360"/>
      </w:pPr>
    </w:lvl>
    <w:lvl w:ilvl="8" w:tplc="0F5A56E2" w:tentative="1">
      <w:start w:val="1"/>
      <w:numFmt w:val="lowerRoman"/>
      <w:lvlText w:val="%9."/>
      <w:lvlJc w:val="right"/>
      <w:pPr>
        <w:tabs>
          <w:tab w:val="num" w:pos="6480"/>
        </w:tabs>
        <w:ind w:left="6480" w:hanging="180"/>
      </w:pPr>
    </w:lvl>
  </w:abstractNum>
  <w:abstractNum w:abstractNumId="26">
    <w:nsid w:val="6AC60D3F"/>
    <w:multiLevelType w:val="hybridMultilevel"/>
    <w:tmpl w:val="2DCC5F32"/>
    <w:lvl w:ilvl="0" w:tplc="04050017">
      <w:start w:val="1"/>
      <w:numFmt w:val="lowerLetter"/>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717867B6"/>
    <w:multiLevelType w:val="hybridMultilevel"/>
    <w:tmpl w:val="2410DB86"/>
    <w:lvl w:ilvl="0" w:tplc="EF5C63DA">
      <w:start w:val="1"/>
      <w:numFmt w:val="decimal"/>
      <w:lvlText w:val="%1"/>
      <w:lvlJc w:val="left"/>
      <w:pPr>
        <w:ind w:left="1035" w:hanging="6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25"/>
  </w:num>
  <w:num w:numId="3">
    <w:abstractNumId w:val="29"/>
  </w:num>
  <w:num w:numId="4">
    <w:abstractNumId w:val="16"/>
  </w:num>
  <w:num w:numId="5">
    <w:abstractNumId w:val="17"/>
  </w:num>
  <w:num w:numId="6">
    <w:abstractNumId w:val="15"/>
  </w:num>
  <w:num w:numId="7">
    <w:abstractNumId w:val="27"/>
  </w:num>
  <w:num w:numId="8">
    <w:abstractNumId w:val="20"/>
  </w:num>
  <w:num w:numId="9">
    <w:abstractNumId w:val="8"/>
  </w:num>
  <w:num w:numId="10">
    <w:abstractNumId w:val="3"/>
  </w:num>
  <w:num w:numId="11">
    <w:abstractNumId w:val="2"/>
  </w:num>
  <w:num w:numId="12">
    <w:abstractNumId w:val="1"/>
  </w:num>
  <w:num w:numId="13">
    <w:abstractNumId w:val="0"/>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13"/>
  </w:num>
  <w:num w:numId="21">
    <w:abstractNumId w:val="24"/>
  </w:num>
  <w:num w:numId="22">
    <w:abstractNumId w:val="11"/>
  </w:num>
  <w:num w:numId="23">
    <w:abstractNumId w:val="19"/>
  </w:num>
  <w:num w:numId="24">
    <w:abstractNumId w:val="21"/>
  </w:num>
  <w:num w:numId="25">
    <w:abstractNumId w:val="26"/>
  </w:num>
  <w:num w:numId="26">
    <w:abstractNumId w:val="18"/>
  </w:num>
  <w:num w:numId="27">
    <w:abstractNumId w:val="12"/>
  </w:num>
  <w:num w:numId="28">
    <w:abstractNumId w:val="22"/>
  </w:num>
  <w:num w:numId="29">
    <w:abstractNumId w:val="11"/>
  </w:num>
  <w:num w:numId="30">
    <w:abstractNumId w:val="23"/>
  </w:num>
  <w:num w:numId="31">
    <w:abstractNumId w:val="28"/>
  </w:num>
  <w:num w:numId="3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cAvailableTexts" w:val="Available texts"/>
    <w:docVar w:name="lcCancel" w:val="Cancel"/>
    <w:docVar w:name="lcCategory" w:val="Category"/>
    <w:docVar w:name="lcDescription" w:val="Description"/>
    <w:docVar w:name="lcDlgTitle" w:val="Content Library"/>
    <w:docVar w:name="lcInsert" w:val="Insert"/>
    <w:docVar w:name="lcInsertReusableText" w:val="Insert from Content Library..."/>
    <w:docVar w:name="lcPDFEMail" w:val="Convert to PDF and E-mail"/>
    <w:docVar w:name="lcPDFSave" w:val="Save as PDF..."/>
    <w:docVar w:name="lcSave" w:val="Save"/>
    <w:docVar w:name="lcSaveReusableText" w:val="Save selection to Content Library..."/>
    <w:docVar w:name="lcSearch" w:val="Search"/>
    <w:docVar w:name="lcSearchAll" w:val="Search all texts"/>
    <w:docVar w:name="lcSearchFor" w:val="Search for:"/>
    <w:docVar w:name="lcTitle" w:val="Title"/>
    <w:docVar w:name="SwDialogEnabled" w:val="False"/>
  </w:docVars>
  <w:rsids>
    <w:rsidRoot w:val="00585CC6"/>
    <w:rsid w:val="0000009B"/>
    <w:rsid w:val="00001A0D"/>
    <w:rsid w:val="000064D6"/>
    <w:rsid w:val="00006E35"/>
    <w:rsid w:val="00011BEC"/>
    <w:rsid w:val="00013232"/>
    <w:rsid w:val="00013311"/>
    <w:rsid w:val="000237A9"/>
    <w:rsid w:val="00026B23"/>
    <w:rsid w:val="00032002"/>
    <w:rsid w:val="00032CD3"/>
    <w:rsid w:val="00033378"/>
    <w:rsid w:val="000343B3"/>
    <w:rsid w:val="00035DD6"/>
    <w:rsid w:val="000363FF"/>
    <w:rsid w:val="00040650"/>
    <w:rsid w:val="00040CE8"/>
    <w:rsid w:val="00041B2D"/>
    <w:rsid w:val="00045686"/>
    <w:rsid w:val="00046B0D"/>
    <w:rsid w:val="00047888"/>
    <w:rsid w:val="00047D97"/>
    <w:rsid w:val="00047F54"/>
    <w:rsid w:val="000502C0"/>
    <w:rsid w:val="0005404F"/>
    <w:rsid w:val="00054FEF"/>
    <w:rsid w:val="00060087"/>
    <w:rsid w:val="00062BEA"/>
    <w:rsid w:val="00067735"/>
    <w:rsid w:val="00067956"/>
    <w:rsid w:val="0007034E"/>
    <w:rsid w:val="00070C89"/>
    <w:rsid w:val="00071169"/>
    <w:rsid w:val="00073D6F"/>
    <w:rsid w:val="00076A25"/>
    <w:rsid w:val="00080750"/>
    <w:rsid w:val="00092137"/>
    <w:rsid w:val="00093E98"/>
    <w:rsid w:val="000940D0"/>
    <w:rsid w:val="000A3FFF"/>
    <w:rsid w:val="000A4CE3"/>
    <w:rsid w:val="000B0FBB"/>
    <w:rsid w:val="000B2426"/>
    <w:rsid w:val="000B5F98"/>
    <w:rsid w:val="000C0E0E"/>
    <w:rsid w:val="000C4D6D"/>
    <w:rsid w:val="000C5471"/>
    <w:rsid w:val="000C772F"/>
    <w:rsid w:val="000E42A1"/>
    <w:rsid w:val="000E4861"/>
    <w:rsid w:val="000E5D25"/>
    <w:rsid w:val="000E5EBA"/>
    <w:rsid w:val="000F0587"/>
    <w:rsid w:val="000F1AE6"/>
    <w:rsid w:val="000F2443"/>
    <w:rsid w:val="000F27E1"/>
    <w:rsid w:val="000F5BBC"/>
    <w:rsid w:val="000F75AD"/>
    <w:rsid w:val="001005BF"/>
    <w:rsid w:val="001021F5"/>
    <w:rsid w:val="00111FA5"/>
    <w:rsid w:val="00112C69"/>
    <w:rsid w:val="00112D51"/>
    <w:rsid w:val="00113408"/>
    <w:rsid w:val="0011458C"/>
    <w:rsid w:val="00114722"/>
    <w:rsid w:val="001169F2"/>
    <w:rsid w:val="00117D27"/>
    <w:rsid w:val="00121FAB"/>
    <w:rsid w:val="00130E22"/>
    <w:rsid w:val="00131E29"/>
    <w:rsid w:val="00134A55"/>
    <w:rsid w:val="0014300F"/>
    <w:rsid w:val="001443DF"/>
    <w:rsid w:val="00146BBC"/>
    <w:rsid w:val="00147071"/>
    <w:rsid w:val="0014715C"/>
    <w:rsid w:val="001522B5"/>
    <w:rsid w:val="00153D75"/>
    <w:rsid w:val="00153FD1"/>
    <w:rsid w:val="00154C56"/>
    <w:rsid w:val="0015686A"/>
    <w:rsid w:val="00160EB2"/>
    <w:rsid w:val="00161993"/>
    <w:rsid w:val="001628BC"/>
    <w:rsid w:val="001833A8"/>
    <w:rsid w:val="0018525E"/>
    <w:rsid w:val="001865CE"/>
    <w:rsid w:val="001923B5"/>
    <w:rsid w:val="00193655"/>
    <w:rsid w:val="00197E01"/>
    <w:rsid w:val="001A1B9B"/>
    <w:rsid w:val="001A3CA7"/>
    <w:rsid w:val="001A68C4"/>
    <w:rsid w:val="001A7DE3"/>
    <w:rsid w:val="001B353C"/>
    <w:rsid w:val="001B5EC8"/>
    <w:rsid w:val="001B69B7"/>
    <w:rsid w:val="001C0B8E"/>
    <w:rsid w:val="001C5A91"/>
    <w:rsid w:val="001D0D99"/>
    <w:rsid w:val="001D5163"/>
    <w:rsid w:val="001D7A7E"/>
    <w:rsid w:val="001D7CDD"/>
    <w:rsid w:val="001E2936"/>
    <w:rsid w:val="001E38A2"/>
    <w:rsid w:val="001E476B"/>
    <w:rsid w:val="001E57AB"/>
    <w:rsid w:val="001E67FF"/>
    <w:rsid w:val="001F627F"/>
    <w:rsid w:val="002006D5"/>
    <w:rsid w:val="00201CD7"/>
    <w:rsid w:val="00206A9C"/>
    <w:rsid w:val="00212DDA"/>
    <w:rsid w:val="00214DF9"/>
    <w:rsid w:val="0021765E"/>
    <w:rsid w:val="0021778F"/>
    <w:rsid w:val="00224347"/>
    <w:rsid w:val="00225670"/>
    <w:rsid w:val="00230204"/>
    <w:rsid w:val="0023028F"/>
    <w:rsid w:val="00231842"/>
    <w:rsid w:val="00232D93"/>
    <w:rsid w:val="0023608B"/>
    <w:rsid w:val="00236922"/>
    <w:rsid w:val="00236A18"/>
    <w:rsid w:val="00236C7C"/>
    <w:rsid w:val="00245331"/>
    <w:rsid w:val="00252C08"/>
    <w:rsid w:val="00254154"/>
    <w:rsid w:val="00255E9C"/>
    <w:rsid w:val="00256692"/>
    <w:rsid w:val="00257859"/>
    <w:rsid w:val="0026127A"/>
    <w:rsid w:val="00274B2A"/>
    <w:rsid w:val="00276830"/>
    <w:rsid w:val="002772EA"/>
    <w:rsid w:val="00277457"/>
    <w:rsid w:val="0028168C"/>
    <w:rsid w:val="00282531"/>
    <w:rsid w:val="00283AE5"/>
    <w:rsid w:val="00284C66"/>
    <w:rsid w:val="0029073F"/>
    <w:rsid w:val="00292C1D"/>
    <w:rsid w:val="00295CE2"/>
    <w:rsid w:val="00296E4C"/>
    <w:rsid w:val="002A0553"/>
    <w:rsid w:val="002B0AFD"/>
    <w:rsid w:val="002B0B15"/>
    <w:rsid w:val="002B2991"/>
    <w:rsid w:val="002B6FCD"/>
    <w:rsid w:val="002B72A2"/>
    <w:rsid w:val="002B7380"/>
    <w:rsid w:val="002C6682"/>
    <w:rsid w:val="002D0CC4"/>
    <w:rsid w:val="002D7CBC"/>
    <w:rsid w:val="002E17AD"/>
    <w:rsid w:val="002E497E"/>
    <w:rsid w:val="002F2941"/>
    <w:rsid w:val="00301881"/>
    <w:rsid w:val="0030356C"/>
    <w:rsid w:val="00310E2F"/>
    <w:rsid w:val="00316F36"/>
    <w:rsid w:val="003177AF"/>
    <w:rsid w:val="00320015"/>
    <w:rsid w:val="00322CF1"/>
    <w:rsid w:val="003274DC"/>
    <w:rsid w:val="00327F8D"/>
    <w:rsid w:val="003301F8"/>
    <w:rsid w:val="00331400"/>
    <w:rsid w:val="003322D8"/>
    <w:rsid w:val="00341E98"/>
    <w:rsid w:val="0035034F"/>
    <w:rsid w:val="00352F7A"/>
    <w:rsid w:val="0036129D"/>
    <w:rsid w:val="003736DA"/>
    <w:rsid w:val="0037564F"/>
    <w:rsid w:val="003900AC"/>
    <w:rsid w:val="003931A1"/>
    <w:rsid w:val="00394B7B"/>
    <w:rsid w:val="00395B87"/>
    <w:rsid w:val="00397E34"/>
    <w:rsid w:val="003A0565"/>
    <w:rsid w:val="003A2CC7"/>
    <w:rsid w:val="003A415C"/>
    <w:rsid w:val="003A68DD"/>
    <w:rsid w:val="003A7DAF"/>
    <w:rsid w:val="003C0C07"/>
    <w:rsid w:val="003C19B7"/>
    <w:rsid w:val="003C4059"/>
    <w:rsid w:val="003C681A"/>
    <w:rsid w:val="003C7DAE"/>
    <w:rsid w:val="003D2083"/>
    <w:rsid w:val="003D2B0F"/>
    <w:rsid w:val="003D626C"/>
    <w:rsid w:val="003E1363"/>
    <w:rsid w:val="003E1553"/>
    <w:rsid w:val="003E7067"/>
    <w:rsid w:val="003F1C2C"/>
    <w:rsid w:val="003F2E64"/>
    <w:rsid w:val="003F50D5"/>
    <w:rsid w:val="003F6488"/>
    <w:rsid w:val="003F69CE"/>
    <w:rsid w:val="003F69D9"/>
    <w:rsid w:val="003F6F64"/>
    <w:rsid w:val="00400B6B"/>
    <w:rsid w:val="00404DB5"/>
    <w:rsid w:val="00405D0D"/>
    <w:rsid w:val="004113D5"/>
    <w:rsid w:val="0041337E"/>
    <w:rsid w:val="004177E3"/>
    <w:rsid w:val="004202CB"/>
    <w:rsid w:val="00425D2F"/>
    <w:rsid w:val="00433AB4"/>
    <w:rsid w:val="00445D92"/>
    <w:rsid w:val="0045291A"/>
    <w:rsid w:val="00452BD8"/>
    <w:rsid w:val="00454D44"/>
    <w:rsid w:val="0046155B"/>
    <w:rsid w:val="004705A5"/>
    <w:rsid w:val="0047275D"/>
    <w:rsid w:val="00480C04"/>
    <w:rsid w:val="00487542"/>
    <w:rsid w:val="0049074E"/>
    <w:rsid w:val="004907F4"/>
    <w:rsid w:val="00493172"/>
    <w:rsid w:val="00494FD9"/>
    <w:rsid w:val="004955BB"/>
    <w:rsid w:val="004A0D30"/>
    <w:rsid w:val="004A0EA9"/>
    <w:rsid w:val="004A461C"/>
    <w:rsid w:val="004B29BE"/>
    <w:rsid w:val="004B366C"/>
    <w:rsid w:val="004B4063"/>
    <w:rsid w:val="004B5505"/>
    <w:rsid w:val="004B55E8"/>
    <w:rsid w:val="004C2FA8"/>
    <w:rsid w:val="004D1014"/>
    <w:rsid w:val="004D3633"/>
    <w:rsid w:val="004E6300"/>
    <w:rsid w:val="004F2995"/>
    <w:rsid w:val="004F688F"/>
    <w:rsid w:val="00502D84"/>
    <w:rsid w:val="00512AEC"/>
    <w:rsid w:val="0051504C"/>
    <w:rsid w:val="005172B1"/>
    <w:rsid w:val="005206E2"/>
    <w:rsid w:val="00521ADE"/>
    <w:rsid w:val="0052280A"/>
    <w:rsid w:val="00526E93"/>
    <w:rsid w:val="005314DF"/>
    <w:rsid w:val="00533385"/>
    <w:rsid w:val="005351B3"/>
    <w:rsid w:val="005437B4"/>
    <w:rsid w:val="0054471F"/>
    <w:rsid w:val="00545B68"/>
    <w:rsid w:val="00546CB9"/>
    <w:rsid w:val="00546DF7"/>
    <w:rsid w:val="0055121B"/>
    <w:rsid w:val="00557A71"/>
    <w:rsid w:val="005623DD"/>
    <w:rsid w:val="00563B23"/>
    <w:rsid w:val="0056452E"/>
    <w:rsid w:val="005646C6"/>
    <w:rsid w:val="005656FB"/>
    <w:rsid w:val="00567E05"/>
    <w:rsid w:val="00570CA6"/>
    <w:rsid w:val="00570F18"/>
    <w:rsid w:val="005720AF"/>
    <w:rsid w:val="005847DC"/>
    <w:rsid w:val="005856EF"/>
    <w:rsid w:val="00585CC6"/>
    <w:rsid w:val="00591893"/>
    <w:rsid w:val="00592351"/>
    <w:rsid w:val="00594C42"/>
    <w:rsid w:val="00596841"/>
    <w:rsid w:val="00596A0F"/>
    <w:rsid w:val="005A33F3"/>
    <w:rsid w:val="005A3C0F"/>
    <w:rsid w:val="005B2F2A"/>
    <w:rsid w:val="005B6F85"/>
    <w:rsid w:val="005C00A9"/>
    <w:rsid w:val="005C4078"/>
    <w:rsid w:val="005C7C7C"/>
    <w:rsid w:val="005D37B5"/>
    <w:rsid w:val="005D49F1"/>
    <w:rsid w:val="005E18E0"/>
    <w:rsid w:val="005E193B"/>
    <w:rsid w:val="005E1A38"/>
    <w:rsid w:val="005E2179"/>
    <w:rsid w:val="005E6624"/>
    <w:rsid w:val="006044C8"/>
    <w:rsid w:val="006108D1"/>
    <w:rsid w:val="00611055"/>
    <w:rsid w:val="00612491"/>
    <w:rsid w:val="00614F7E"/>
    <w:rsid w:val="00617053"/>
    <w:rsid w:val="00623758"/>
    <w:rsid w:val="00624DDA"/>
    <w:rsid w:val="00631992"/>
    <w:rsid w:val="00632705"/>
    <w:rsid w:val="00640475"/>
    <w:rsid w:val="006404A9"/>
    <w:rsid w:val="00641D35"/>
    <w:rsid w:val="00641F34"/>
    <w:rsid w:val="006440ED"/>
    <w:rsid w:val="00647315"/>
    <w:rsid w:val="00652AEE"/>
    <w:rsid w:val="00653433"/>
    <w:rsid w:val="00653727"/>
    <w:rsid w:val="00653C29"/>
    <w:rsid w:val="00656EB3"/>
    <w:rsid w:val="006573B5"/>
    <w:rsid w:val="00657D5A"/>
    <w:rsid w:val="00662C87"/>
    <w:rsid w:val="00675EB3"/>
    <w:rsid w:val="006801CA"/>
    <w:rsid w:val="00682746"/>
    <w:rsid w:val="00684132"/>
    <w:rsid w:val="00685B75"/>
    <w:rsid w:val="006867CC"/>
    <w:rsid w:val="00695443"/>
    <w:rsid w:val="006A1B79"/>
    <w:rsid w:val="006A25B4"/>
    <w:rsid w:val="006A4A62"/>
    <w:rsid w:val="006A7552"/>
    <w:rsid w:val="006B01B9"/>
    <w:rsid w:val="006B0439"/>
    <w:rsid w:val="006B0D10"/>
    <w:rsid w:val="006B13D4"/>
    <w:rsid w:val="006B5383"/>
    <w:rsid w:val="006B5905"/>
    <w:rsid w:val="006B6A37"/>
    <w:rsid w:val="006C08E1"/>
    <w:rsid w:val="006D108D"/>
    <w:rsid w:val="006D2134"/>
    <w:rsid w:val="006D7B5A"/>
    <w:rsid w:val="006E5555"/>
    <w:rsid w:val="006F1CCA"/>
    <w:rsid w:val="00705A61"/>
    <w:rsid w:val="00716604"/>
    <w:rsid w:val="00716B78"/>
    <w:rsid w:val="007176A7"/>
    <w:rsid w:val="00720781"/>
    <w:rsid w:val="00723632"/>
    <w:rsid w:val="00724AC5"/>
    <w:rsid w:val="00725A10"/>
    <w:rsid w:val="00725C3B"/>
    <w:rsid w:val="00727027"/>
    <w:rsid w:val="007277DF"/>
    <w:rsid w:val="0073022F"/>
    <w:rsid w:val="00734AFD"/>
    <w:rsid w:val="00735E32"/>
    <w:rsid w:val="00736BEA"/>
    <w:rsid w:val="00740095"/>
    <w:rsid w:val="00742862"/>
    <w:rsid w:val="00745DD0"/>
    <w:rsid w:val="00746F96"/>
    <w:rsid w:val="00751546"/>
    <w:rsid w:val="00755577"/>
    <w:rsid w:val="00756B91"/>
    <w:rsid w:val="00774584"/>
    <w:rsid w:val="0077633F"/>
    <w:rsid w:val="00785A6D"/>
    <w:rsid w:val="00792CC3"/>
    <w:rsid w:val="007947C6"/>
    <w:rsid w:val="00794E4C"/>
    <w:rsid w:val="00797957"/>
    <w:rsid w:val="007A0160"/>
    <w:rsid w:val="007A207C"/>
    <w:rsid w:val="007A4F20"/>
    <w:rsid w:val="007A6B19"/>
    <w:rsid w:val="007B5296"/>
    <w:rsid w:val="007B655B"/>
    <w:rsid w:val="007B7639"/>
    <w:rsid w:val="007C18F2"/>
    <w:rsid w:val="007C46D1"/>
    <w:rsid w:val="007C5731"/>
    <w:rsid w:val="007D77E3"/>
    <w:rsid w:val="007E32E3"/>
    <w:rsid w:val="007F15EE"/>
    <w:rsid w:val="007F7B5C"/>
    <w:rsid w:val="00800307"/>
    <w:rsid w:val="00800365"/>
    <w:rsid w:val="00800F27"/>
    <w:rsid w:val="008014EC"/>
    <w:rsid w:val="008111C3"/>
    <w:rsid w:val="00813471"/>
    <w:rsid w:val="00814390"/>
    <w:rsid w:val="00814849"/>
    <w:rsid w:val="00817481"/>
    <w:rsid w:val="00821F46"/>
    <w:rsid w:val="00822050"/>
    <w:rsid w:val="00822B92"/>
    <w:rsid w:val="00835916"/>
    <w:rsid w:val="00843007"/>
    <w:rsid w:val="0084695E"/>
    <w:rsid w:val="00850650"/>
    <w:rsid w:val="0085268C"/>
    <w:rsid w:val="00854ABD"/>
    <w:rsid w:val="0086486D"/>
    <w:rsid w:val="00866290"/>
    <w:rsid w:val="00866D9F"/>
    <w:rsid w:val="00872DC6"/>
    <w:rsid w:val="008730BC"/>
    <w:rsid w:val="00875471"/>
    <w:rsid w:val="0087590B"/>
    <w:rsid w:val="00876C2E"/>
    <w:rsid w:val="00882EAC"/>
    <w:rsid w:val="0088306B"/>
    <w:rsid w:val="0088798F"/>
    <w:rsid w:val="00890B69"/>
    <w:rsid w:val="0089261C"/>
    <w:rsid w:val="008A0E63"/>
    <w:rsid w:val="008B1368"/>
    <w:rsid w:val="008B31D3"/>
    <w:rsid w:val="008B333F"/>
    <w:rsid w:val="008B383F"/>
    <w:rsid w:val="008B44DA"/>
    <w:rsid w:val="008B4A06"/>
    <w:rsid w:val="008C0F42"/>
    <w:rsid w:val="008C2DA3"/>
    <w:rsid w:val="008C3B68"/>
    <w:rsid w:val="008C5253"/>
    <w:rsid w:val="008C6BFB"/>
    <w:rsid w:val="008C7321"/>
    <w:rsid w:val="008C74DA"/>
    <w:rsid w:val="008C7C59"/>
    <w:rsid w:val="008D094A"/>
    <w:rsid w:val="008D6465"/>
    <w:rsid w:val="008E58BF"/>
    <w:rsid w:val="008F3739"/>
    <w:rsid w:val="00900CE5"/>
    <w:rsid w:val="009011CC"/>
    <w:rsid w:val="00902C6A"/>
    <w:rsid w:val="00905911"/>
    <w:rsid w:val="009079B2"/>
    <w:rsid w:val="009118A0"/>
    <w:rsid w:val="009145F6"/>
    <w:rsid w:val="00917246"/>
    <w:rsid w:val="00917547"/>
    <w:rsid w:val="0091759A"/>
    <w:rsid w:val="00920F36"/>
    <w:rsid w:val="009211BE"/>
    <w:rsid w:val="0092325A"/>
    <w:rsid w:val="009262FA"/>
    <w:rsid w:val="009314DA"/>
    <w:rsid w:val="00931700"/>
    <w:rsid w:val="00935B43"/>
    <w:rsid w:val="00935BBA"/>
    <w:rsid w:val="00937BFF"/>
    <w:rsid w:val="00950C28"/>
    <w:rsid w:val="00951993"/>
    <w:rsid w:val="009621B2"/>
    <w:rsid w:val="00962C9D"/>
    <w:rsid w:val="0096654A"/>
    <w:rsid w:val="00973755"/>
    <w:rsid w:val="00980736"/>
    <w:rsid w:val="009828F1"/>
    <w:rsid w:val="00983F39"/>
    <w:rsid w:val="00984390"/>
    <w:rsid w:val="00985839"/>
    <w:rsid w:val="00987B36"/>
    <w:rsid w:val="00992D61"/>
    <w:rsid w:val="00995EE7"/>
    <w:rsid w:val="00996BF1"/>
    <w:rsid w:val="00996F4F"/>
    <w:rsid w:val="00997009"/>
    <w:rsid w:val="009A481E"/>
    <w:rsid w:val="009A757B"/>
    <w:rsid w:val="009B06F1"/>
    <w:rsid w:val="009B3397"/>
    <w:rsid w:val="009B76CB"/>
    <w:rsid w:val="009C0623"/>
    <w:rsid w:val="009C1AD6"/>
    <w:rsid w:val="009C2443"/>
    <w:rsid w:val="009C3F13"/>
    <w:rsid w:val="009C7C8F"/>
    <w:rsid w:val="009D0450"/>
    <w:rsid w:val="009D332F"/>
    <w:rsid w:val="009D580B"/>
    <w:rsid w:val="009D6294"/>
    <w:rsid w:val="009E0427"/>
    <w:rsid w:val="009E546F"/>
    <w:rsid w:val="009E6ACF"/>
    <w:rsid w:val="009F461F"/>
    <w:rsid w:val="009F72D7"/>
    <w:rsid w:val="00A012BA"/>
    <w:rsid w:val="00A01305"/>
    <w:rsid w:val="00A0259C"/>
    <w:rsid w:val="00A036CB"/>
    <w:rsid w:val="00A061CA"/>
    <w:rsid w:val="00A135B3"/>
    <w:rsid w:val="00A1434D"/>
    <w:rsid w:val="00A167B9"/>
    <w:rsid w:val="00A176A1"/>
    <w:rsid w:val="00A23526"/>
    <w:rsid w:val="00A31ADE"/>
    <w:rsid w:val="00A35D3C"/>
    <w:rsid w:val="00A37DBF"/>
    <w:rsid w:val="00A41C95"/>
    <w:rsid w:val="00A43568"/>
    <w:rsid w:val="00A442F1"/>
    <w:rsid w:val="00A470CE"/>
    <w:rsid w:val="00A50344"/>
    <w:rsid w:val="00A52E2E"/>
    <w:rsid w:val="00A57EB2"/>
    <w:rsid w:val="00A62463"/>
    <w:rsid w:val="00A63266"/>
    <w:rsid w:val="00A649D3"/>
    <w:rsid w:val="00A656FD"/>
    <w:rsid w:val="00A6645C"/>
    <w:rsid w:val="00A727FC"/>
    <w:rsid w:val="00A72E35"/>
    <w:rsid w:val="00A83E43"/>
    <w:rsid w:val="00A944C7"/>
    <w:rsid w:val="00A94FA4"/>
    <w:rsid w:val="00A96434"/>
    <w:rsid w:val="00AA2944"/>
    <w:rsid w:val="00AC31F2"/>
    <w:rsid w:val="00AC4154"/>
    <w:rsid w:val="00AE1843"/>
    <w:rsid w:val="00AE23F9"/>
    <w:rsid w:val="00AE2430"/>
    <w:rsid w:val="00AF4AE5"/>
    <w:rsid w:val="00B04103"/>
    <w:rsid w:val="00B047E9"/>
    <w:rsid w:val="00B05867"/>
    <w:rsid w:val="00B16C80"/>
    <w:rsid w:val="00B17FCD"/>
    <w:rsid w:val="00B21C56"/>
    <w:rsid w:val="00B271B2"/>
    <w:rsid w:val="00B27B2E"/>
    <w:rsid w:val="00B31D2B"/>
    <w:rsid w:val="00B31E2C"/>
    <w:rsid w:val="00B336AA"/>
    <w:rsid w:val="00B418ED"/>
    <w:rsid w:val="00B43502"/>
    <w:rsid w:val="00B45AC6"/>
    <w:rsid w:val="00B514DC"/>
    <w:rsid w:val="00B522AA"/>
    <w:rsid w:val="00B55C8F"/>
    <w:rsid w:val="00B60AED"/>
    <w:rsid w:val="00B60B0D"/>
    <w:rsid w:val="00B62AB3"/>
    <w:rsid w:val="00B63B5B"/>
    <w:rsid w:val="00B64E9D"/>
    <w:rsid w:val="00B71FAE"/>
    <w:rsid w:val="00B86C35"/>
    <w:rsid w:val="00B86DD8"/>
    <w:rsid w:val="00B91798"/>
    <w:rsid w:val="00B92703"/>
    <w:rsid w:val="00B93F60"/>
    <w:rsid w:val="00B97C18"/>
    <w:rsid w:val="00B97EC1"/>
    <w:rsid w:val="00BA1692"/>
    <w:rsid w:val="00BA2267"/>
    <w:rsid w:val="00BA241C"/>
    <w:rsid w:val="00BA2E58"/>
    <w:rsid w:val="00BA54F1"/>
    <w:rsid w:val="00BD57C8"/>
    <w:rsid w:val="00BD5B58"/>
    <w:rsid w:val="00BE66ED"/>
    <w:rsid w:val="00BF067E"/>
    <w:rsid w:val="00BF6FA9"/>
    <w:rsid w:val="00C05FD9"/>
    <w:rsid w:val="00C06C54"/>
    <w:rsid w:val="00C109F0"/>
    <w:rsid w:val="00C11925"/>
    <w:rsid w:val="00C13AC2"/>
    <w:rsid w:val="00C20BEA"/>
    <w:rsid w:val="00C2433C"/>
    <w:rsid w:val="00C24C84"/>
    <w:rsid w:val="00C24F29"/>
    <w:rsid w:val="00C25107"/>
    <w:rsid w:val="00C26014"/>
    <w:rsid w:val="00C27D23"/>
    <w:rsid w:val="00C30FC9"/>
    <w:rsid w:val="00C37677"/>
    <w:rsid w:val="00C41668"/>
    <w:rsid w:val="00C44F7A"/>
    <w:rsid w:val="00C45666"/>
    <w:rsid w:val="00C47D30"/>
    <w:rsid w:val="00C500E2"/>
    <w:rsid w:val="00C5024B"/>
    <w:rsid w:val="00C600E8"/>
    <w:rsid w:val="00C64618"/>
    <w:rsid w:val="00C7219E"/>
    <w:rsid w:val="00C7758D"/>
    <w:rsid w:val="00C77777"/>
    <w:rsid w:val="00C83387"/>
    <w:rsid w:val="00C8761B"/>
    <w:rsid w:val="00C90923"/>
    <w:rsid w:val="00C913FF"/>
    <w:rsid w:val="00C941AD"/>
    <w:rsid w:val="00CA04A9"/>
    <w:rsid w:val="00CA424D"/>
    <w:rsid w:val="00CA6175"/>
    <w:rsid w:val="00CA77AC"/>
    <w:rsid w:val="00CB089A"/>
    <w:rsid w:val="00CB162B"/>
    <w:rsid w:val="00CC18C3"/>
    <w:rsid w:val="00CC1EA4"/>
    <w:rsid w:val="00CC56BB"/>
    <w:rsid w:val="00CD2011"/>
    <w:rsid w:val="00CD28D1"/>
    <w:rsid w:val="00CD30D0"/>
    <w:rsid w:val="00CD61D4"/>
    <w:rsid w:val="00CD7A92"/>
    <w:rsid w:val="00CE124A"/>
    <w:rsid w:val="00CE45DD"/>
    <w:rsid w:val="00CE4D2A"/>
    <w:rsid w:val="00CF0155"/>
    <w:rsid w:val="00CF2EC3"/>
    <w:rsid w:val="00CF3927"/>
    <w:rsid w:val="00CF4C62"/>
    <w:rsid w:val="00CF79CE"/>
    <w:rsid w:val="00D0666B"/>
    <w:rsid w:val="00D10B90"/>
    <w:rsid w:val="00D113F1"/>
    <w:rsid w:val="00D13663"/>
    <w:rsid w:val="00D149A1"/>
    <w:rsid w:val="00D17B15"/>
    <w:rsid w:val="00D20884"/>
    <w:rsid w:val="00D26951"/>
    <w:rsid w:val="00D32759"/>
    <w:rsid w:val="00D32F71"/>
    <w:rsid w:val="00D34291"/>
    <w:rsid w:val="00D40EA0"/>
    <w:rsid w:val="00D4392D"/>
    <w:rsid w:val="00D45F62"/>
    <w:rsid w:val="00D524BC"/>
    <w:rsid w:val="00D546FB"/>
    <w:rsid w:val="00D54F05"/>
    <w:rsid w:val="00D71699"/>
    <w:rsid w:val="00D74098"/>
    <w:rsid w:val="00D74264"/>
    <w:rsid w:val="00D74DEF"/>
    <w:rsid w:val="00D81038"/>
    <w:rsid w:val="00D81C1F"/>
    <w:rsid w:val="00D85F98"/>
    <w:rsid w:val="00D869C3"/>
    <w:rsid w:val="00D905D5"/>
    <w:rsid w:val="00D91AE1"/>
    <w:rsid w:val="00DA03BC"/>
    <w:rsid w:val="00DA1BAF"/>
    <w:rsid w:val="00DA4689"/>
    <w:rsid w:val="00DA474C"/>
    <w:rsid w:val="00DB02C0"/>
    <w:rsid w:val="00DB0357"/>
    <w:rsid w:val="00DB0A28"/>
    <w:rsid w:val="00DC06A4"/>
    <w:rsid w:val="00DD20C2"/>
    <w:rsid w:val="00DE2A25"/>
    <w:rsid w:val="00DE44DB"/>
    <w:rsid w:val="00DE4881"/>
    <w:rsid w:val="00DF39FF"/>
    <w:rsid w:val="00DF4C76"/>
    <w:rsid w:val="00E00477"/>
    <w:rsid w:val="00E0320C"/>
    <w:rsid w:val="00E03DC4"/>
    <w:rsid w:val="00E05889"/>
    <w:rsid w:val="00E06183"/>
    <w:rsid w:val="00E063D8"/>
    <w:rsid w:val="00E10C0D"/>
    <w:rsid w:val="00E11F6A"/>
    <w:rsid w:val="00E12E6A"/>
    <w:rsid w:val="00E167E1"/>
    <w:rsid w:val="00E2708D"/>
    <w:rsid w:val="00E33737"/>
    <w:rsid w:val="00E33CD1"/>
    <w:rsid w:val="00E53631"/>
    <w:rsid w:val="00E57FEE"/>
    <w:rsid w:val="00E629C3"/>
    <w:rsid w:val="00E71601"/>
    <w:rsid w:val="00E71F11"/>
    <w:rsid w:val="00E73C8D"/>
    <w:rsid w:val="00E758D8"/>
    <w:rsid w:val="00E7795C"/>
    <w:rsid w:val="00E900D1"/>
    <w:rsid w:val="00E90673"/>
    <w:rsid w:val="00E924D3"/>
    <w:rsid w:val="00E926EA"/>
    <w:rsid w:val="00E9330B"/>
    <w:rsid w:val="00EA6C48"/>
    <w:rsid w:val="00EB26CD"/>
    <w:rsid w:val="00EB5A09"/>
    <w:rsid w:val="00EB62B1"/>
    <w:rsid w:val="00EC31D7"/>
    <w:rsid w:val="00EC47CD"/>
    <w:rsid w:val="00EC4A87"/>
    <w:rsid w:val="00EC6271"/>
    <w:rsid w:val="00ED086D"/>
    <w:rsid w:val="00ED2A4C"/>
    <w:rsid w:val="00EE29DC"/>
    <w:rsid w:val="00EE3BFD"/>
    <w:rsid w:val="00EE5A58"/>
    <w:rsid w:val="00EE6CC4"/>
    <w:rsid w:val="00EE77EC"/>
    <w:rsid w:val="00EF0CFD"/>
    <w:rsid w:val="00EF754F"/>
    <w:rsid w:val="00F0649C"/>
    <w:rsid w:val="00F20E61"/>
    <w:rsid w:val="00F2303B"/>
    <w:rsid w:val="00F24734"/>
    <w:rsid w:val="00F2571A"/>
    <w:rsid w:val="00F257D4"/>
    <w:rsid w:val="00F26811"/>
    <w:rsid w:val="00F26C08"/>
    <w:rsid w:val="00F336CC"/>
    <w:rsid w:val="00F34FD9"/>
    <w:rsid w:val="00F40265"/>
    <w:rsid w:val="00F45123"/>
    <w:rsid w:val="00F4578F"/>
    <w:rsid w:val="00F46149"/>
    <w:rsid w:val="00F62F45"/>
    <w:rsid w:val="00F645AC"/>
    <w:rsid w:val="00F64615"/>
    <w:rsid w:val="00F6718B"/>
    <w:rsid w:val="00F72BBB"/>
    <w:rsid w:val="00F739F2"/>
    <w:rsid w:val="00F73CCF"/>
    <w:rsid w:val="00F76B07"/>
    <w:rsid w:val="00F80AE3"/>
    <w:rsid w:val="00F94304"/>
    <w:rsid w:val="00F943F5"/>
    <w:rsid w:val="00F94501"/>
    <w:rsid w:val="00F94AF9"/>
    <w:rsid w:val="00F94F5E"/>
    <w:rsid w:val="00F957AF"/>
    <w:rsid w:val="00FA4F9B"/>
    <w:rsid w:val="00FB0D18"/>
    <w:rsid w:val="00FB2C58"/>
    <w:rsid w:val="00FB4712"/>
    <w:rsid w:val="00FB6B5D"/>
    <w:rsid w:val="00FC2426"/>
    <w:rsid w:val="00FC3827"/>
    <w:rsid w:val="00FC6196"/>
    <w:rsid w:val="00FC654F"/>
    <w:rsid w:val="00FD00C2"/>
    <w:rsid w:val="00FD6B02"/>
    <w:rsid w:val="00FE11DF"/>
    <w:rsid w:val="00FE1A64"/>
    <w:rsid w:val="00FE3A25"/>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C08E1"/>
    <w:rPr>
      <w:sz w:val="24"/>
      <w:szCs w:val="24"/>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B17FCD"/>
    <w:pPr>
      <w:numPr>
        <w:numId w:val="29"/>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semiHidden/>
    <w:rsid w:val="00794E4C"/>
    <w:rPr>
      <w:rFonts w:ascii="Courier New" w:hAnsi="Courier New" w:cs="Courier New"/>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titul">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styleId="Zvraznn">
    <w:name w:val="Emphasis"/>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CC1EA4"/>
    <w:rPr>
      <w:rFonts w:ascii="Arial" w:hAnsi="Arial" w:cs="Arial"/>
      <w:sz w:val="16"/>
    </w:rPr>
    <w:tblPr>
      <w:tblBorders>
        <w:top w:val="single" w:sz="12" w:space="0" w:color="005233"/>
        <w:bottom w:val="single" w:sz="12" w:space="0" w:color="005233"/>
      </w:tblBorders>
      <w:tblCellMar>
        <w:left w:w="68" w:type="dxa"/>
        <w:right w:w="68" w:type="dxa"/>
      </w:tblCellMar>
    </w:tblPr>
    <w:tcPr>
      <w:shd w:val="clear" w:color="auto" w:fill="auto"/>
    </w:tcPr>
    <w:tblStylePr w:type="firstRow">
      <w:rPr>
        <w:b/>
      </w:rPr>
      <w:tblPr/>
      <w:tcPr>
        <w:tcBorders>
          <w:top w:val="nil"/>
          <w:left w:val="nil"/>
          <w:bottom w:val="nil"/>
          <w:right w:val="nil"/>
          <w:insideH w:val="nil"/>
          <w:insideV w:val="nil"/>
          <w:tl2br w:val="nil"/>
          <w:tr2bl w:val="nil"/>
        </w:tcBorders>
        <w:shd w:val="clear" w:color="auto" w:fill="005233"/>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link w:val="F-poznmkapodarouChar"/>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character" w:styleId="Odkaznakoment">
    <w:name w:val="annotation reference"/>
    <w:semiHidden/>
    <w:rsid w:val="009C0623"/>
    <w:rPr>
      <w:sz w:val="16"/>
      <w:szCs w:val="16"/>
    </w:rPr>
  </w:style>
  <w:style w:type="paragraph" w:styleId="Textkomente">
    <w:name w:val="annotation text"/>
    <w:basedOn w:val="Normln"/>
    <w:semiHidden/>
    <w:rsid w:val="009C0623"/>
  </w:style>
  <w:style w:type="paragraph" w:styleId="Pedmtkomente">
    <w:name w:val="annotation subject"/>
    <w:basedOn w:val="Textkomente"/>
    <w:next w:val="Textkomente"/>
    <w:semiHidden/>
    <w:rsid w:val="009C0623"/>
    <w:rPr>
      <w:b/>
      <w:bCs/>
    </w:rPr>
  </w:style>
  <w:style w:type="paragraph" w:styleId="Textbubliny">
    <w:name w:val="Balloon Text"/>
    <w:basedOn w:val="Normln"/>
    <w:semiHidden/>
    <w:rsid w:val="009C0623"/>
    <w:rPr>
      <w:rFonts w:ascii="Tahoma" w:hAnsi="Tahoma"/>
      <w:sz w:val="16"/>
      <w:szCs w:val="16"/>
    </w:rPr>
  </w:style>
  <w:style w:type="paragraph" w:customStyle="1" w:styleId="Adresa">
    <w:name w:val="Adresa"/>
    <w:basedOn w:val="F2-zkladn"/>
    <w:rsid w:val="009C0623"/>
    <w:pPr>
      <w:tabs>
        <w:tab w:val="right" w:pos="8640"/>
      </w:tabs>
      <w:spacing w:before="120" w:after="120"/>
      <w:ind w:left="5670"/>
      <w:jc w:val="left"/>
    </w:pPr>
    <w:rPr>
      <w:rFonts w:cs="Times New Roman"/>
    </w:rPr>
  </w:style>
  <w:style w:type="paragraph" w:customStyle="1" w:styleId="F3-Odrka0">
    <w:name w:val="F3 - Odrážka"/>
    <w:basedOn w:val="F2-zkladn"/>
    <w:rsid w:val="009C0623"/>
    <w:pPr>
      <w:keepNext/>
      <w:keepLines/>
      <w:numPr>
        <w:numId w:val="23"/>
      </w:numPr>
      <w:tabs>
        <w:tab w:val="clear" w:pos="360"/>
        <w:tab w:val="left" w:pos="794"/>
      </w:tabs>
      <w:suppressAutoHyphens/>
      <w:spacing w:before="60" w:line="240" w:lineRule="atLeast"/>
      <w:ind w:left="357" w:hanging="357"/>
    </w:pPr>
    <w:rPr>
      <w:rFonts w:cs="Times New Roman"/>
    </w:rPr>
  </w:style>
  <w:style w:type="character" w:customStyle="1" w:styleId="F-poznmkapodarouChar">
    <w:name w:val="F - poznámka pod čarou Char"/>
    <w:link w:val="F-poznmkapodarou"/>
    <w:rsid w:val="009C0623"/>
    <w:rPr>
      <w:rFonts w:ascii="Arial" w:hAnsi="Arial" w:cs="Arial"/>
      <w:sz w:val="16"/>
      <w:szCs w:val="16"/>
      <w:lang w:val="cs-CZ" w:eastAsia="cs-CZ" w:bidi="ar-SA"/>
    </w:rPr>
  </w:style>
  <w:style w:type="paragraph" w:customStyle="1" w:styleId="slovantext">
    <w:name w:val="Číslovaný text"/>
    <w:basedOn w:val="F9-nadpis2"/>
    <w:rsid w:val="00EC47CD"/>
    <w:pPr>
      <w:keepNext w:val="0"/>
      <w:tabs>
        <w:tab w:val="clear" w:pos="794"/>
        <w:tab w:val="left" w:pos="680"/>
      </w:tabs>
      <w:spacing w:before="120" w:line="220" w:lineRule="exact"/>
      <w:ind w:left="680" w:hanging="680"/>
    </w:pPr>
    <w:rPr>
      <w:rFonts w:cs="Times New Roman"/>
      <w:b w:val="0"/>
    </w:rPr>
  </w:style>
  <w:style w:type="paragraph" w:customStyle="1" w:styleId="F8-nadpis30">
    <w:name w:val="F8 - nadpis3"/>
    <w:basedOn w:val="F2-zkladn"/>
    <w:next w:val="F2-zkladn"/>
    <w:rsid w:val="00BA241C"/>
    <w:pPr>
      <w:keepNext/>
      <w:keepLines/>
      <w:tabs>
        <w:tab w:val="num" w:pos="794"/>
      </w:tabs>
      <w:suppressAutoHyphens/>
      <w:spacing w:before="480" w:line="220" w:lineRule="exact"/>
      <w:ind w:left="794" w:hanging="794"/>
      <w:outlineLvl w:val="2"/>
    </w:pPr>
    <w:rPr>
      <w:rFonts w:cs="Times New Roman"/>
      <w:b/>
      <w:bCs/>
    </w:rPr>
  </w:style>
  <w:style w:type="paragraph" w:customStyle="1" w:styleId="F11-Hlavnkapitola0">
    <w:name w:val="F11 - Hlavní kapitola"/>
    <w:basedOn w:val="F2-zkladn"/>
    <w:next w:val="F2-zkladn"/>
    <w:rsid w:val="00BA241C"/>
    <w:pPr>
      <w:keepNext/>
      <w:keepLines/>
      <w:tabs>
        <w:tab w:val="num" w:pos="794"/>
      </w:tabs>
      <w:suppressAutoHyphens/>
      <w:spacing w:before="480" w:line="220" w:lineRule="exact"/>
      <w:ind w:left="794" w:hanging="794"/>
    </w:pPr>
    <w:rPr>
      <w:rFonts w:cs="Times New Roman"/>
      <w:b/>
      <w:caps/>
    </w:rPr>
  </w:style>
  <w:style w:type="character" w:customStyle="1" w:styleId="F2-zkladnChar">
    <w:name w:val="F2 - základní Char"/>
    <w:rsid w:val="00BA241C"/>
    <w:rPr>
      <w:rFonts w:ascii="Arial" w:hAnsi="Arial"/>
      <w:szCs w:val="24"/>
      <w:lang w:val="cs-CZ" w:eastAsia="cs-CZ" w:bidi="ar-SA"/>
    </w:rPr>
  </w:style>
  <w:style w:type="paragraph" w:customStyle="1" w:styleId="Vet">
    <w:name w:val="Výčet"/>
    <w:basedOn w:val="F4-slovn"/>
    <w:rsid w:val="00BA241C"/>
    <w:pPr>
      <w:numPr>
        <w:numId w:val="30"/>
      </w:numPr>
      <w:tabs>
        <w:tab w:val="clear" w:pos="717"/>
        <w:tab w:val="left" w:pos="1247"/>
      </w:tabs>
      <w:spacing w:before="60" w:after="0" w:line="220" w:lineRule="exact"/>
      <w:ind w:left="1247" w:hanging="567"/>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C08E1"/>
    <w:rPr>
      <w:sz w:val="24"/>
      <w:szCs w:val="24"/>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B17FCD"/>
    <w:pPr>
      <w:numPr>
        <w:numId w:val="29"/>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semiHidden/>
    <w:rsid w:val="00794E4C"/>
    <w:rPr>
      <w:rFonts w:ascii="Courier New" w:hAnsi="Courier New" w:cs="Courier New"/>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titul">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styleId="Zvraznn">
    <w:name w:val="Emphasis"/>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CC1EA4"/>
    <w:rPr>
      <w:rFonts w:ascii="Arial" w:hAnsi="Arial" w:cs="Arial"/>
      <w:sz w:val="16"/>
    </w:rPr>
    <w:tblPr>
      <w:tblBorders>
        <w:top w:val="single" w:sz="12" w:space="0" w:color="005233"/>
        <w:bottom w:val="single" w:sz="12" w:space="0" w:color="005233"/>
      </w:tblBorders>
      <w:tblCellMar>
        <w:left w:w="68" w:type="dxa"/>
        <w:right w:w="68" w:type="dxa"/>
      </w:tblCellMar>
    </w:tblPr>
    <w:tcPr>
      <w:shd w:val="clear" w:color="auto" w:fill="auto"/>
    </w:tcPr>
    <w:tblStylePr w:type="firstRow">
      <w:rPr>
        <w:b/>
      </w:rPr>
      <w:tblPr/>
      <w:tcPr>
        <w:tcBorders>
          <w:top w:val="nil"/>
          <w:left w:val="nil"/>
          <w:bottom w:val="nil"/>
          <w:right w:val="nil"/>
          <w:insideH w:val="nil"/>
          <w:insideV w:val="nil"/>
          <w:tl2br w:val="nil"/>
          <w:tr2bl w:val="nil"/>
        </w:tcBorders>
        <w:shd w:val="clear" w:color="auto" w:fill="005233"/>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link w:val="F-poznmkapodarouChar"/>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character" w:styleId="Odkaznakoment">
    <w:name w:val="annotation reference"/>
    <w:semiHidden/>
    <w:rsid w:val="009C0623"/>
    <w:rPr>
      <w:sz w:val="16"/>
      <w:szCs w:val="16"/>
    </w:rPr>
  </w:style>
  <w:style w:type="paragraph" w:styleId="Textkomente">
    <w:name w:val="annotation text"/>
    <w:basedOn w:val="Normln"/>
    <w:semiHidden/>
    <w:rsid w:val="009C0623"/>
  </w:style>
  <w:style w:type="paragraph" w:styleId="Pedmtkomente">
    <w:name w:val="annotation subject"/>
    <w:basedOn w:val="Textkomente"/>
    <w:next w:val="Textkomente"/>
    <w:semiHidden/>
    <w:rsid w:val="009C0623"/>
    <w:rPr>
      <w:b/>
      <w:bCs/>
    </w:rPr>
  </w:style>
  <w:style w:type="paragraph" w:styleId="Textbubliny">
    <w:name w:val="Balloon Text"/>
    <w:basedOn w:val="Normln"/>
    <w:semiHidden/>
    <w:rsid w:val="009C0623"/>
    <w:rPr>
      <w:rFonts w:ascii="Tahoma" w:hAnsi="Tahoma"/>
      <w:sz w:val="16"/>
      <w:szCs w:val="16"/>
    </w:rPr>
  </w:style>
  <w:style w:type="paragraph" w:customStyle="1" w:styleId="Adresa">
    <w:name w:val="Adresa"/>
    <w:basedOn w:val="F2-zkladn"/>
    <w:rsid w:val="009C0623"/>
    <w:pPr>
      <w:tabs>
        <w:tab w:val="right" w:pos="8640"/>
      </w:tabs>
      <w:spacing w:before="120" w:after="120"/>
      <w:ind w:left="5670"/>
      <w:jc w:val="left"/>
    </w:pPr>
    <w:rPr>
      <w:rFonts w:cs="Times New Roman"/>
    </w:rPr>
  </w:style>
  <w:style w:type="paragraph" w:customStyle="1" w:styleId="F3-Odrka0">
    <w:name w:val="F3 - Odrážka"/>
    <w:basedOn w:val="F2-zkladn"/>
    <w:rsid w:val="009C0623"/>
    <w:pPr>
      <w:keepNext/>
      <w:keepLines/>
      <w:numPr>
        <w:numId w:val="23"/>
      </w:numPr>
      <w:tabs>
        <w:tab w:val="clear" w:pos="360"/>
        <w:tab w:val="left" w:pos="794"/>
      </w:tabs>
      <w:suppressAutoHyphens/>
      <w:spacing w:before="60" w:line="240" w:lineRule="atLeast"/>
      <w:ind w:left="357" w:hanging="357"/>
    </w:pPr>
    <w:rPr>
      <w:rFonts w:cs="Times New Roman"/>
    </w:rPr>
  </w:style>
  <w:style w:type="character" w:customStyle="1" w:styleId="F-poznmkapodarouChar">
    <w:name w:val="F - poznámka pod čarou Char"/>
    <w:link w:val="F-poznmkapodarou"/>
    <w:rsid w:val="009C0623"/>
    <w:rPr>
      <w:rFonts w:ascii="Arial" w:hAnsi="Arial" w:cs="Arial"/>
      <w:sz w:val="16"/>
      <w:szCs w:val="16"/>
      <w:lang w:val="cs-CZ" w:eastAsia="cs-CZ" w:bidi="ar-SA"/>
    </w:rPr>
  </w:style>
  <w:style w:type="paragraph" w:customStyle="1" w:styleId="slovantext">
    <w:name w:val="Číslovaný text"/>
    <w:basedOn w:val="F9-nadpis2"/>
    <w:rsid w:val="00EC47CD"/>
    <w:pPr>
      <w:keepNext w:val="0"/>
      <w:tabs>
        <w:tab w:val="clear" w:pos="794"/>
        <w:tab w:val="left" w:pos="680"/>
      </w:tabs>
      <w:spacing w:before="120" w:line="220" w:lineRule="exact"/>
      <w:ind w:left="680" w:hanging="680"/>
    </w:pPr>
    <w:rPr>
      <w:rFonts w:cs="Times New Roman"/>
      <w:b w:val="0"/>
    </w:rPr>
  </w:style>
  <w:style w:type="paragraph" w:customStyle="1" w:styleId="F8-nadpis30">
    <w:name w:val="F8 - nadpis3"/>
    <w:basedOn w:val="F2-zkladn"/>
    <w:next w:val="F2-zkladn"/>
    <w:rsid w:val="00BA241C"/>
    <w:pPr>
      <w:keepNext/>
      <w:keepLines/>
      <w:tabs>
        <w:tab w:val="num" w:pos="794"/>
      </w:tabs>
      <w:suppressAutoHyphens/>
      <w:spacing w:before="480" w:line="220" w:lineRule="exact"/>
      <w:ind w:left="794" w:hanging="794"/>
      <w:outlineLvl w:val="2"/>
    </w:pPr>
    <w:rPr>
      <w:rFonts w:cs="Times New Roman"/>
      <w:b/>
      <w:bCs/>
    </w:rPr>
  </w:style>
  <w:style w:type="paragraph" w:customStyle="1" w:styleId="F11-Hlavnkapitola0">
    <w:name w:val="F11 - Hlavní kapitola"/>
    <w:basedOn w:val="F2-zkladn"/>
    <w:next w:val="F2-zkladn"/>
    <w:rsid w:val="00BA241C"/>
    <w:pPr>
      <w:keepNext/>
      <w:keepLines/>
      <w:tabs>
        <w:tab w:val="num" w:pos="794"/>
      </w:tabs>
      <w:suppressAutoHyphens/>
      <w:spacing w:before="480" w:line="220" w:lineRule="exact"/>
      <w:ind w:left="794" w:hanging="794"/>
    </w:pPr>
    <w:rPr>
      <w:rFonts w:cs="Times New Roman"/>
      <w:b/>
      <w:caps/>
    </w:rPr>
  </w:style>
  <w:style w:type="character" w:customStyle="1" w:styleId="F2-zkladnChar">
    <w:name w:val="F2 - základní Char"/>
    <w:rsid w:val="00BA241C"/>
    <w:rPr>
      <w:rFonts w:ascii="Arial" w:hAnsi="Arial"/>
      <w:szCs w:val="24"/>
      <w:lang w:val="cs-CZ" w:eastAsia="cs-CZ" w:bidi="ar-SA"/>
    </w:rPr>
  </w:style>
  <w:style w:type="paragraph" w:customStyle="1" w:styleId="Vet">
    <w:name w:val="Výčet"/>
    <w:basedOn w:val="F4-slovn"/>
    <w:rsid w:val="00BA241C"/>
    <w:pPr>
      <w:numPr>
        <w:numId w:val="30"/>
      </w:numPr>
      <w:tabs>
        <w:tab w:val="clear" w:pos="717"/>
        <w:tab w:val="left" w:pos="1247"/>
      </w:tabs>
      <w:spacing w:before="60" w:after="0" w:line="220" w:lineRule="exact"/>
      <w:ind w:left="1247" w:hanging="567"/>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30FF-E83B-414D-AEB1-01015D99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3799</Words>
  <Characters>22415</Characters>
  <Application>Microsoft Office Word</Application>
  <DocSecurity>0</DocSecurity>
  <Lines>186</Lines>
  <Paragraphs>52</Paragraphs>
  <ScaleCrop>false</ScaleCrop>
  <HeadingPairs>
    <vt:vector size="4" baseType="variant">
      <vt:variant>
        <vt:lpstr>Název</vt:lpstr>
      </vt:variant>
      <vt:variant>
        <vt:i4>1</vt:i4>
      </vt:variant>
      <vt:variant>
        <vt:lpstr>Nadpisy</vt:lpstr>
      </vt:variant>
      <vt:variant>
        <vt:i4>90</vt:i4>
      </vt:variant>
    </vt:vector>
  </HeadingPairs>
  <TitlesOfParts>
    <vt:vector size="91" baseType="lpstr">
      <vt:lpstr>Dokument</vt:lpstr>
      <vt:lpstr>Popis situace</vt:lpstr>
      <vt:lpstr>/ Nabízené služby</vt:lpstr>
      <vt:lpstr>Požadované podklady</vt:lpstr>
      <vt:lpstr>Časový harmonogram</vt:lpstr>
      <vt:lpstr>Navrhovaná odměna</vt:lpstr>
      <vt:lpstr>Další ujednání</vt:lpstr>
      <vt:lpstr>    Poskytovatel</vt:lpstr>
      <vt:lpstr>    Kontaktní osoba</vt:lpstr>
      <vt:lpstr>    Odpovědnost za škodu</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Předmět úpravy</vt:lpstr>
      <vt:lpstr>    1.1	Tyto Všeobecné obchodní podmínky (dále jen „VOP“) upravují základní rámcové </vt:lpstr>
      <vt:lpstr>Poradenství</vt:lpstr>
      <vt:lpstr>    Poradenství může zahrnovat:</vt:lpstr>
      <vt:lpstr>    Konkrétní poskytované poradenství je definováno ve smlouvě uzavřené mezi poskyto</vt:lpstr>
      <vt:lpstr>    Smlouva (a to i v případě, že je v rozporu s VOP uzavřena ústní formou či konklu</vt:lpstr>
      <vt:lpstr>Poradci </vt:lpstr>
      <vt:lpstr>    Poskytovatelé poskytují klientovi poradenství pomocí svých zaměstnanců či spolup</vt:lpstr>
      <vt:lpstr>    Smlouva, popř. poskytnutí poradenství poradcem, jehož pomocí je poradenství ze s</vt:lpstr>
      <vt:lpstr>/Práva a povinnosti klienta</vt:lpstr>
      <vt:lpstr>    Klient je povinen poskytovat poskytovatelům veškerou součinnost potřebnou pro řá</vt:lpstr>
      <vt:lpstr>    Klient je povinen neprodleně a písemně informovat poskytovatele o zahájení, průb</vt:lpstr>
      <vt:lpstr>    Aby mohli poskytovatelé zabránit vzniku škody či omezit její rozsah, je klient p</vt:lpstr>
      <vt:lpstr>    Klient se zavazuje, že nebude poradcům, se kterými v rámci poskytování poradenst</vt:lpstr>
      <vt:lpstr>    Klient je povinen poskytovatele neprodleně písemně informovat o změně svých iden</vt:lpstr>
      <vt:lpstr>Práva a povinnosti poskytovatelů</vt:lpstr>
      <vt:lpstr>    Poskytovatelé jsou povinni se v rámci poskytování poradenství řídit pokyny klien</vt:lpstr>
      <vt:lpstr>    Poskytovatel je povinen upozornit klienta na nevhodnost jeho pokynů. V případě, </vt:lpstr>
      <vt:lpstr>    Poskytovatelé jsou oprávněni považovat předané informace a podklady za obsahově </vt:lpstr>
      <vt:lpstr>    Po poskytnutí jednotlivé služby poradenství je poskytovatel povinen vrátit klien</vt:lpstr>
      <vt:lpstr>    Poskytovatelé jsou oprávněni poskytovat klientovi poradenství i prostřednictvím </vt:lpstr>
      <vt:lpstr>Místo, lhůta a způsob poskytnutí poradenství</vt:lpstr>
      <vt:lpstr>    Místo, lhůty a způsob poskytování poradenství stanoví smlouva. Poradenství je po</vt:lpstr>
      <vt:lpstr>    Poradenství poskytnuté v jiné než písemné formě má pouze orientační povahu a pos</vt:lpstr>
      <vt:lpstr>    </vt:lpstr>
      <vt:lpstr>    /</vt:lpstr>
      <vt:lpstr>/Odměna za poskytnutí poradenství a její splatnost</vt:lpstr>
      <vt:lpstr>    Za poskytnutí poradenství je klient povinen zaplatit danému poskytovateli odměnu</vt:lpstr>
      <vt:lpstr>    Poskytovatelé mají kromě odměny nárok na náhradu veškerých nákladů, které v souv</vt:lpstr>
      <vt:lpstr>    K fakturované částce bude připočtena daň z přidané hodnoty v zákonné výši. Faktu</vt:lpstr>
      <vt:lpstr>    Poskytovatelé jsou oprávněni požadovat zálohu na poskytnutí poradenství, a to až</vt:lpstr>
      <vt:lpstr>    V případě prodlení klienta s plněním jeho peněžitých závazků, je poskytovatel op</vt:lpstr>
      <vt:lpstr>    Je-li klient v prodlení s plněním svých peněžitých závazků vůči jakémukoli z pos</vt:lpstr>
      <vt:lpstr>Odpovědnost za škodu</vt:lpstr>
      <vt:lpstr>    Poskytovatelé odpovídají klientovi pouze za újmu na jmění (dále jen „škoda“), kt</vt:lpstr>
      <vt:lpstr>    Každý poskytovatel odpovídá za škodu maximálně do výše pětinásobku své odměny za</vt:lpstr>
      <vt:lpstr>    Veškeré služby poradenství poskytnuté každým z poskytovatelů jsou poskytnuty pou</vt:lpstr>
      <vt:lpstr>    Pokud v souvislosti s poradenstvím poskytnutým klientovi uplatní na poskytovatel</vt:lpstr>
      <vt:lpstr>    Za škodu, která klientovi vznikla v souvislosti s poskytnutím poradenství, odpov</vt:lpstr>
      <vt:lpstr>    /Poskytovatel není odpovědný za škodu, která klientovi vznikla v souvislosti s p</vt:lpstr>
      <vt:lpstr>    Klient nemá nárok na náhradu škody, která mu vznikla v souvislosti s poskytnutím</vt:lpstr>
      <vt:lpstr>    Každý z poskytovatelů je pro případ odpovědnosti za škodu vzniklou v souvislosti</vt:lpstr>
      <vt:lpstr>Povinnost mlčenlivosti</vt:lpstr>
      <vt:lpstr>    Poskytovatelé jsou povinni zachovávat mlčenlivost o všech skutečnostech, o který</vt:lpstr>
      <vt:lpstr>    Povinnost mlčenlivosti poskytovatelů se nevztahuje na případy zákonem uložené po</vt:lpstr>
      <vt:lpstr>    Poskytovatelé jsou zproštěni povinnosti mlčenlivosti v případě, jsou-li podle sm</vt:lpstr>
      <vt:lpstr>    Poskytovatelé jsou oprávněni uvádět klienta (obchodní firmu, specifikaci služeb </vt:lpstr>
      <vt:lpstr>Ukončení smlouvy</vt:lpstr>
      <vt:lpstr>    Je-li smlouva uzavřena na dobu neurčitou, může každá ze smluvních stran ukončit </vt:lpstr>
      <vt:lpstr>    Poskytovatel je oprávněn odstoupit od smlouvy, dojde-li k narušení důvěry mezi n</vt:lpstr>
      <vt:lpstr>Závěrečná ustanovení</vt:lpstr>
      <vt:lpstr>    Vztahy mezi poskytovateli a klientem se řídí právním řádem České republiky, zejm</vt:lpstr>
      <vt:lpstr>    Klienti v postavení spotřebitele mohou, dle zákona č. 634/1992 Sb., o ochraně sp</vt:lpstr>
      <vt:lpstr>    </vt:lpstr>
      <vt:lpstr>    </vt:lpstr>
      <vt:lpstr>    S výše uvedenými VOP souhlasím.</vt:lpstr>
      <vt:lpstr>    V Praze, dne 20. 7. 2017</vt:lpstr>
      <vt:lpstr>    ……………………………………………………………………………..</vt:lpstr>
      <vt:lpstr>    firma a podpis klienta</vt:lpstr>
    </vt:vector>
  </TitlesOfParts>
  <Company>TPA-NOTIA, s.r.o.</Company>
  <LinksUpToDate>false</LinksUpToDate>
  <CharactersWithSpaces>26162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Jana Osadská</dc:creator>
  <cp:lastModifiedBy>Jana Osadská</cp:lastModifiedBy>
  <cp:revision>1</cp:revision>
  <cp:lastPrinted>2017-07-20T09:09:00Z</cp:lastPrinted>
  <dcterms:created xsi:type="dcterms:W3CDTF">2017-08-11T06:37:00Z</dcterms:created>
  <dcterms:modified xsi:type="dcterms:W3CDTF">2017-08-11T06:41:00Z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Save to Notes</vt:lpwstr>
  </property>
  <property fmtid="{D5CDD505-2E9C-101B-9397-08002B2CF9AE}" pid="3" name="SW_SaveCloseOfficeText">
    <vt:lpwstr>Save and Close Office document</vt:lpwstr>
  </property>
  <property fmtid="{D5CDD505-2E9C-101B-9397-08002B2CF9AE}" pid="4" name="SW_SaveCloseText">
    <vt:lpwstr>Save and Close Notes document</vt:lpwstr>
  </property>
  <property fmtid="{D5CDD505-2E9C-101B-9397-08002B2CF9AE}" pid="5" name="SW_DocUNID">
    <vt:lpwstr>4DC356DFA0C4BBB2C125801E00234B67</vt:lpwstr>
  </property>
  <property fmtid="{D5CDD505-2E9C-101B-9397-08002B2CF9AE}" pid="6" name="SW_DocHWND">
    <vt:r8>397726</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for Notes and Office</vt:lpwstr>
  </property>
  <property fmtid="{D5CDD505-2E9C-101B-9397-08002B2CF9AE}" pid="10" name="SW_PromptText">
    <vt:lpwstr>Do you want to save?</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CN=HC1/O=Horwath/C=CZ</vt:lpwstr>
  </property>
  <property fmtid="{D5CDD505-2E9C-101B-9397-08002B2CF9AE}" pid="16" name="SW_DocumentDB">
    <vt:lpwstr>internal\eKnihovna.nsf</vt:lpwstr>
  </property>
  <property fmtid="{D5CDD505-2E9C-101B-9397-08002B2CF9AE}" pid="17" name="SW_ShowContentLibMenus">
    <vt:bool>false</vt:bool>
  </property>
  <property fmtid="{D5CDD505-2E9C-101B-9397-08002B2CF9AE}" pid="18" name="SW_SaveAsPrompt">
    <vt:lpwstr>Current document has not been saved and you are about to continue working on a local copy of a document. In order to keep changes in Lotus Notes database, you must first save the document. Do you want to continue?</vt:lpwstr>
  </property>
  <property fmtid="{D5CDD505-2E9C-101B-9397-08002B2CF9AE}" pid="19" name="SW_VisibleVBAMacroMenuItems">
    <vt:r8>127</vt:r8>
  </property>
  <property fmtid="{D5CDD505-2E9C-101B-9397-08002B2CF9AE}" pid="20" name="SW_EnabledVBAMacroMenuItems">
    <vt:r8>127</vt:r8>
  </property>
  <property fmtid="{D5CDD505-2E9C-101B-9397-08002B2CF9AE}" pid="21" name="SW_AddinName">
    <vt:lpwstr>SWINGINTEGRATOR.5.26.000.DOT</vt:lpwstr>
  </property>
</Properties>
</file>