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DC782" w14:textId="77777777" w:rsidR="009445E2" w:rsidRDefault="009445E2">
      <w:pPr>
        <w:spacing w:line="1" w:lineRule="exact"/>
      </w:pPr>
    </w:p>
    <w:p w14:paraId="7D6BC168" w14:textId="77777777" w:rsidR="009445E2" w:rsidRDefault="00000000">
      <w:pPr>
        <w:pStyle w:val="Zhlavnebozpat0"/>
        <w:framePr w:wrap="none" w:vAnchor="page" w:hAnchor="page" w:x="9351" w:y="807"/>
      </w:pPr>
      <w:r>
        <w:t>OMI 31/2024</w:t>
      </w:r>
    </w:p>
    <w:p w14:paraId="29E7A44D" w14:textId="77777777" w:rsidR="009445E2" w:rsidRDefault="00000000">
      <w:pPr>
        <w:pStyle w:val="Zkladntext1"/>
        <w:framePr w:w="9443" w:h="569" w:hRule="exact" w:wrap="none" w:vAnchor="page" w:hAnchor="page" w:x="1092" w:y="1527"/>
        <w:spacing w:line="266" w:lineRule="auto"/>
      </w:pPr>
      <w:r>
        <w:t>Níže uvedeného dne, měsíce a roku uzavřely osoby dle svého vlastního prohlášení svéprávné k právním jednáním</w:t>
      </w:r>
    </w:p>
    <w:p w14:paraId="3696D8A4" w14:textId="77777777" w:rsidR="009445E2" w:rsidRDefault="00000000">
      <w:pPr>
        <w:pStyle w:val="Zkladntext1"/>
        <w:framePr w:w="9443" w:h="12017" w:hRule="exact" w:wrap="none" w:vAnchor="page" w:hAnchor="page" w:x="1092" w:y="2506"/>
        <w:spacing w:line="266" w:lineRule="auto"/>
      </w:pPr>
      <w:r>
        <w:rPr>
          <w:b/>
          <w:bCs/>
        </w:rPr>
        <w:t>statutární město Pardubice</w:t>
      </w:r>
    </w:p>
    <w:p w14:paraId="5401EE08" w14:textId="77777777" w:rsidR="009445E2" w:rsidRDefault="00000000">
      <w:pPr>
        <w:pStyle w:val="Zkladntext1"/>
        <w:framePr w:w="9443" w:h="12017" w:hRule="exact" w:wrap="none" w:vAnchor="page" w:hAnchor="page" w:x="1092" w:y="2506"/>
        <w:spacing w:line="266" w:lineRule="auto"/>
      </w:pPr>
      <w:r>
        <w:t>se sídlem: Pernštýnské nám. čp. 1, Pardubice-Staré Město, PSČ 530 21</w:t>
      </w:r>
    </w:p>
    <w:p w14:paraId="69159CAB" w14:textId="77777777" w:rsidR="009445E2" w:rsidRDefault="00000000">
      <w:pPr>
        <w:pStyle w:val="Zkladntext1"/>
        <w:framePr w:w="9443" w:h="12017" w:hRule="exact" w:wrap="none" w:vAnchor="page" w:hAnchor="page" w:x="1092" w:y="2506"/>
        <w:spacing w:line="266" w:lineRule="auto"/>
      </w:pPr>
      <w:r>
        <w:t>IČ: 00274046, DIČ: CZ 00274046</w:t>
      </w:r>
    </w:p>
    <w:p w14:paraId="7D283E4F" w14:textId="77777777" w:rsidR="009445E2" w:rsidRDefault="00000000">
      <w:pPr>
        <w:pStyle w:val="Zkladntext1"/>
        <w:framePr w:w="9443" w:h="12017" w:hRule="exact" w:wrap="none" w:vAnchor="page" w:hAnchor="page" w:x="1092" w:y="2506"/>
        <w:spacing w:line="266" w:lineRule="auto"/>
      </w:pPr>
      <w:r>
        <w:t>bankovní spojení: Komerční banka, a.s. Pardubice</w:t>
      </w:r>
    </w:p>
    <w:p w14:paraId="0BEB5603" w14:textId="77777777" w:rsidR="009445E2" w:rsidRDefault="00000000">
      <w:pPr>
        <w:pStyle w:val="Zkladntext1"/>
        <w:framePr w:w="9443" w:h="12017" w:hRule="exact" w:wrap="none" w:vAnchor="page" w:hAnchor="page" w:x="1092" w:y="2506"/>
        <w:spacing w:line="266" w:lineRule="auto"/>
      </w:pPr>
      <w:r>
        <w:t>číslo účtu:</w:t>
      </w:r>
    </w:p>
    <w:p w14:paraId="5E4F6790" w14:textId="77777777" w:rsidR="009445E2" w:rsidRDefault="00000000">
      <w:pPr>
        <w:pStyle w:val="Zkladntext1"/>
        <w:framePr w:w="9443" w:h="12017" w:hRule="exact" w:wrap="none" w:vAnchor="page" w:hAnchor="page" w:x="1092" w:y="2506"/>
        <w:spacing w:line="266" w:lineRule="auto"/>
      </w:pPr>
      <w:r>
        <w:t xml:space="preserve">jednající: jednající: Ing. Miroslavem </w:t>
      </w:r>
      <w:proofErr w:type="spellStart"/>
      <w:r>
        <w:t>Macelou</w:t>
      </w:r>
      <w:proofErr w:type="spellEnd"/>
      <w:r>
        <w:t>, vedoucím oddělení pozemků a převodu nemovitostí odboru majetku a investic Magistrátu města Pardubic</w:t>
      </w:r>
    </w:p>
    <w:p w14:paraId="2744DB2D" w14:textId="77777777" w:rsidR="009445E2" w:rsidRDefault="00000000">
      <w:pPr>
        <w:pStyle w:val="Zkladntext1"/>
        <w:framePr w:w="9443" w:h="12017" w:hRule="exact" w:wrap="none" w:vAnchor="page" w:hAnchor="page" w:x="1092" w:y="2506"/>
        <w:spacing w:after="240" w:line="266" w:lineRule="auto"/>
      </w:pPr>
      <w:r>
        <w:rPr>
          <w:b/>
          <w:bCs/>
        </w:rPr>
        <w:t>(dále jen „budoucí povinný")</w:t>
      </w:r>
    </w:p>
    <w:p w14:paraId="17991B5A" w14:textId="77777777" w:rsidR="009445E2" w:rsidRDefault="00000000">
      <w:pPr>
        <w:pStyle w:val="Zkladntext1"/>
        <w:framePr w:w="9443" w:h="12017" w:hRule="exact" w:wrap="none" w:vAnchor="page" w:hAnchor="page" w:x="1092" w:y="2506"/>
        <w:spacing w:after="240" w:line="264" w:lineRule="auto"/>
      </w:pPr>
      <w:r>
        <w:t>a</w:t>
      </w:r>
    </w:p>
    <w:p w14:paraId="67BB028A" w14:textId="77777777" w:rsidR="009445E2" w:rsidRDefault="00000000">
      <w:pPr>
        <w:pStyle w:val="Zkladntext1"/>
        <w:framePr w:w="9443" w:h="12017" w:hRule="exact" w:wrap="none" w:vAnchor="page" w:hAnchor="page" w:x="1092" w:y="2506"/>
        <w:spacing w:line="264" w:lineRule="auto"/>
      </w:pPr>
      <w:r>
        <w:rPr>
          <w:b/>
          <w:bCs/>
        </w:rPr>
        <w:t>EDERA Group a.s.</w:t>
      </w:r>
    </w:p>
    <w:p w14:paraId="0C5D66D7" w14:textId="77777777" w:rsidR="009445E2" w:rsidRDefault="00000000">
      <w:pPr>
        <w:pStyle w:val="Zkladntext1"/>
        <w:framePr w:w="9443" w:h="12017" w:hRule="exact" w:wrap="none" w:vAnchor="page" w:hAnchor="page" w:x="1092" w:y="2506"/>
        <w:spacing w:line="264" w:lineRule="auto"/>
      </w:pPr>
      <w:r>
        <w:t>se sídlem: Arnošta z Pardubic 2789, Pardubice 530 02</w:t>
      </w:r>
    </w:p>
    <w:p w14:paraId="763EFF7F" w14:textId="77777777" w:rsidR="009445E2" w:rsidRDefault="00000000">
      <w:pPr>
        <w:pStyle w:val="Zkladntext1"/>
        <w:framePr w:w="9443" w:h="12017" w:hRule="exact" w:wrap="none" w:vAnchor="page" w:hAnchor="page" w:x="1092" w:y="2506"/>
        <w:spacing w:line="264" w:lineRule="auto"/>
      </w:pPr>
      <w:r>
        <w:t>IČ: 274 61 254</w:t>
      </w:r>
    </w:p>
    <w:p w14:paraId="69DCB095" w14:textId="77777777" w:rsidR="009445E2" w:rsidRDefault="00000000">
      <w:pPr>
        <w:pStyle w:val="Zkladntext1"/>
        <w:framePr w:w="9443" w:h="12017" w:hRule="exact" w:wrap="none" w:vAnchor="page" w:hAnchor="page" w:x="1092" w:y="2506"/>
        <w:tabs>
          <w:tab w:val="left" w:pos="2689"/>
        </w:tabs>
        <w:spacing w:line="264" w:lineRule="auto"/>
      </w:pPr>
      <w:r>
        <w:t>jednající:</w:t>
      </w:r>
      <w:r>
        <w:tab/>
        <w:t>na základě plné moci ze dne 1.1.2024</w:t>
      </w:r>
    </w:p>
    <w:p w14:paraId="526F314C" w14:textId="77777777" w:rsidR="009445E2" w:rsidRDefault="00000000">
      <w:pPr>
        <w:pStyle w:val="Zkladntext1"/>
        <w:framePr w:w="9443" w:h="12017" w:hRule="exact" w:wrap="none" w:vAnchor="page" w:hAnchor="page" w:x="1092" w:y="2506"/>
        <w:spacing w:line="264" w:lineRule="auto"/>
      </w:pPr>
      <w:r>
        <w:t>zapsaná v obchodním rejstříku vedeném Krajským soudem v Hradci Králové oddíl B, vložka 2924</w:t>
      </w:r>
    </w:p>
    <w:p w14:paraId="0EC32367" w14:textId="77777777" w:rsidR="009445E2" w:rsidRDefault="00000000">
      <w:pPr>
        <w:pStyle w:val="Zkladntext1"/>
        <w:framePr w:w="9443" w:h="12017" w:hRule="exact" w:wrap="none" w:vAnchor="page" w:hAnchor="page" w:x="1092" w:y="2506"/>
        <w:spacing w:after="240" w:line="264" w:lineRule="auto"/>
      </w:pPr>
      <w:r>
        <w:rPr>
          <w:b/>
          <w:bCs/>
        </w:rPr>
        <w:t>(dále jen „budoucí oprávněný")</w:t>
      </w:r>
    </w:p>
    <w:p w14:paraId="6F31E462" w14:textId="77777777" w:rsidR="009445E2" w:rsidRDefault="00000000">
      <w:pPr>
        <w:pStyle w:val="Zkladntext1"/>
        <w:framePr w:w="9443" w:h="12017" w:hRule="exact" w:wrap="none" w:vAnchor="page" w:hAnchor="page" w:x="1092" w:y="2506"/>
        <w:spacing w:after="240" w:line="264" w:lineRule="auto"/>
      </w:pPr>
      <w:r>
        <w:t>tuto</w:t>
      </w:r>
    </w:p>
    <w:p w14:paraId="681365C1" w14:textId="77777777" w:rsidR="009445E2" w:rsidRDefault="00000000">
      <w:pPr>
        <w:pStyle w:val="Nadpis10"/>
        <w:framePr w:w="9443" w:h="12017" w:hRule="exact" w:wrap="none" w:vAnchor="page" w:hAnchor="page" w:x="1092" w:y="2506"/>
        <w:ind w:firstLine="0"/>
        <w:jc w:val="center"/>
      </w:pPr>
      <w:bookmarkStart w:id="0" w:name="bookmark0"/>
      <w:r>
        <w:t>smlouvu o budoucí smlouvě o zřízení věcného břemene</w:t>
      </w:r>
      <w:bookmarkEnd w:id="0"/>
    </w:p>
    <w:p w14:paraId="4B339B84" w14:textId="77777777" w:rsidR="009445E2" w:rsidRDefault="00000000">
      <w:pPr>
        <w:pStyle w:val="Zkladntext1"/>
        <w:framePr w:w="9443" w:h="12017" w:hRule="exact" w:wrap="none" w:vAnchor="page" w:hAnchor="page" w:x="1092" w:y="2506"/>
        <w:spacing w:after="240" w:line="264" w:lineRule="auto"/>
        <w:ind w:firstLine="200"/>
      </w:pPr>
      <w:r>
        <w:t>dle ustanovení § 1257 a násl. a 1785 a násl. zákona č. 89/2012 Sb., občanský zákoník v platném znění</w:t>
      </w:r>
    </w:p>
    <w:p w14:paraId="15E20134" w14:textId="77777777" w:rsidR="009445E2" w:rsidRDefault="009445E2">
      <w:pPr>
        <w:pStyle w:val="Zkladntext1"/>
        <w:framePr w:w="9443" w:h="12017" w:hRule="exact" w:wrap="none" w:vAnchor="page" w:hAnchor="page" w:x="1092" w:y="2506"/>
        <w:numPr>
          <w:ilvl w:val="0"/>
          <w:numId w:val="1"/>
        </w:numPr>
        <w:spacing w:after="240" w:line="264" w:lineRule="auto"/>
        <w:jc w:val="center"/>
      </w:pPr>
    </w:p>
    <w:p w14:paraId="1A54F119" w14:textId="77777777" w:rsidR="009445E2" w:rsidRDefault="00000000">
      <w:pPr>
        <w:pStyle w:val="Zkladntext1"/>
        <w:framePr w:w="9443" w:h="12017" w:hRule="exact" w:wrap="none" w:vAnchor="page" w:hAnchor="page" w:x="1092" w:y="2506"/>
        <w:numPr>
          <w:ilvl w:val="0"/>
          <w:numId w:val="2"/>
        </w:numPr>
        <w:tabs>
          <w:tab w:val="left" w:pos="360"/>
        </w:tabs>
        <w:spacing w:after="240" w:line="264" w:lineRule="auto"/>
        <w:ind w:left="380" w:hanging="380"/>
        <w:jc w:val="both"/>
      </w:pPr>
      <w:r>
        <w:t xml:space="preserve">Budoucí povinný je na základě příslušných nabývacích titulů vlastníkem pozemků </w:t>
      </w:r>
      <w:r>
        <w:rPr>
          <w:b/>
          <w:bCs/>
        </w:rPr>
        <w:t xml:space="preserve">jako </w:t>
      </w:r>
      <w:proofErr w:type="spellStart"/>
      <w:r>
        <w:rPr>
          <w:b/>
          <w:bCs/>
        </w:rPr>
        <w:t>p.p.č</w:t>
      </w:r>
      <w:proofErr w:type="spellEnd"/>
      <w:r>
        <w:rPr>
          <w:b/>
          <w:bCs/>
        </w:rPr>
        <w:t xml:space="preserve">. 207/19, </w:t>
      </w:r>
      <w:proofErr w:type="spellStart"/>
      <w:r>
        <w:rPr>
          <w:b/>
          <w:bCs/>
        </w:rPr>
        <w:t>p.p.č</w:t>
      </w:r>
      <w:proofErr w:type="spellEnd"/>
      <w:r>
        <w:rPr>
          <w:b/>
          <w:bCs/>
        </w:rPr>
        <w:t xml:space="preserve">. 207/20, </w:t>
      </w:r>
      <w:proofErr w:type="spellStart"/>
      <w:r>
        <w:rPr>
          <w:b/>
          <w:bCs/>
        </w:rPr>
        <w:t>p.p.č</w:t>
      </w:r>
      <w:proofErr w:type="spellEnd"/>
      <w:r>
        <w:rPr>
          <w:b/>
          <w:bCs/>
        </w:rPr>
        <w:t xml:space="preserve">. 146/6, 1/1 </w:t>
      </w:r>
      <w:r>
        <w:t xml:space="preserve">vše v </w:t>
      </w:r>
      <w:proofErr w:type="spellStart"/>
      <w:r>
        <w:rPr>
          <w:b/>
          <w:bCs/>
        </w:rPr>
        <w:t>k.ú</w:t>
      </w:r>
      <w:proofErr w:type="spellEnd"/>
      <w:r>
        <w:rPr>
          <w:b/>
          <w:bCs/>
        </w:rPr>
        <w:t xml:space="preserve">. Ohrazenice, </w:t>
      </w:r>
      <w:r>
        <w:t>zapsaných na listu vlastnictví č. 10001, vedených Katastrálním úřadem pro Pardubický kraj, Katastrální pracoviště Pardubice (dále jen „povinná nemovitost").</w:t>
      </w:r>
    </w:p>
    <w:p w14:paraId="47B21151" w14:textId="77777777" w:rsidR="009445E2" w:rsidRDefault="009445E2">
      <w:pPr>
        <w:pStyle w:val="Zkladntext1"/>
        <w:framePr w:w="9443" w:h="12017" w:hRule="exact" w:wrap="none" w:vAnchor="page" w:hAnchor="page" w:x="1092" w:y="2506"/>
        <w:numPr>
          <w:ilvl w:val="0"/>
          <w:numId w:val="1"/>
        </w:numPr>
        <w:spacing w:after="240" w:line="264" w:lineRule="auto"/>
        <w:jc w:val="center"/>
      </w:pPr>
    </w:p>
    <w:p w14:paraId="154F23F9" w14:textId="77777777" w:rsidR="009445E2" w:rsidRDefault="00000000">
      <w:pPr>
        <w:pStyle w:val="Zkladntext1"/>
        <w:framePr w:w="9443" w:h="12017" w:hRule="exact" w:wrap="none" w:vAnchor="page" w:hAnchor="page" w:x="1092" w:y="2506"/>
        <w:numPr>
          <w:ilvl w:val="0"/>
          <w:numId w:val="3"/>
        </w:numPr>
        <w:tabs>
          <w:tab w:val="left" w:pos="360"/>
        </w:tabs>
        <w:spacing w:line="264" w:lineRule="auto"/>
        <w:ind w:left="380" w:hanging="380"/>
        <w:jc w:val="both"/>
      </w:pPr>
      <w:r>
        <w:t xml:space="preserve">Povinná nemovitost má být dotčena stavbou </w:t>
      </w:r>
      <w:r>
        <w:rPr>
          <w:b/>
          <w:bCs/>
        </w:rPr>
        <w:t xml:space="preserve">„uložení optického kabelu v rámci akce Metropolitní optická </w:t>
      </w:r>
      <w:proofErr w:type="gramStart"/>
      <w:r>
        <w:rPr>
          <w:b/>
          <w:bCs/>
        </w:rPr>
        <w:t>síť - Ohrazenice</w:t>
      </w:r>
      <w:proofErr w:type="gramEnd"/>
      <w:r>
        <w:rPr>
          <w:b/>
          <w:bCs/>
        </w:rPr>
        <w:t xml:space="preserve"> - Semtínská" </w:t>
      </w:r>
      <w:r>
        <w:t xml:space="preserve">v </w:t>
      </w:r>
      <w:proofErr w:type="spellStart"/>
      <w:r>
        <w:t>k.ú</w:t>
      </w:r>
      <w:proofErr w:type="spellEnd"/>
      <w:r>
        <w:t>. Ohrazenice (dále jen „stavba"), jejímž investorem a budoucím vlastníkem bude budoucí oprávněný.</w:t>
      </w:r>
    </w:p>
    <w:p w14:paraId="1823CF3E" w14:textId="77777777" w:rsidR="009445E2" w:rsidRDefault="00000000">
      <w:pPr>
        <w:pStyle w:val="Zkladntext1"/>
        <w:framePr w:w="9443" w:h="12017" w:hRule="exact" w:wrap="none" w:vAnchor="page" w:hAnchor="page" w:x="1092" w:y="2506"/>
        <w:numPr>
          <w:ilvl w:val="0"/>
          <w:numId w:val="3"/>
        </w:numPr>
        <w:tabs>
          <w:tab w:val="left" w:pos="360"/>
        </w:tabs>
        <w:spacing w:line="264" w:lineRule="auto"/>
        <w:ind w:left="380" w:hanging="380"/>
        <w:jc w:val="both"/>
      </w:pPr>
      <w:r>
        <w:t xml:space="preserve">Budoucí povinný souhlasí, aby na povinné nemovitosti byla vybudována a trvale umístěna stavba podle zpracované projektové dokumentace této stavby v předběžném </w:t>
      </w:r>
      <w:proofErr w:type="gramStart"/>
      <w:r>
        <w:t>rozsahu - uložení</w:t>
      </w:r>
      <w:proofErr w:type="gramEnd"/>
      <w:r>
        <w:t xml:space="preserve"> cca </w:t>
      </w:r>
      <w:r>
        <w:rPr>
          <w:b/>
          <w:bCs/>
        </w:rPr>
        <w:t xml:space="preserve">166 </w:t>
      </w:r>
      <w:proofErr w:type="spellStart"/>
      <w:r>
        <w:rPr>
          <w:b/>
          <w:bCs/>
        </w:rPr>
        <w:t>bm</w:t>
      </w:r>
      <w:proofErr w:type="spellEnd"/>
      <w:r>
        <w:rPr>
          <w:b/>
          <w:bCs/>
        </w:rPr>
        <w:t xml:space="preserve"> </w:t>
      </w:r>
      <w:r>
        <w:t>telekomunikačního vedení, a to za podmínky, že trasa kabelu bude upravena tak, aby nebyla v kolizi se vzrostlými stromy a jejich kořenovým systémem.</w:t>
      </w:r>
    </w:p>
    <w:p w14:paraId="30D23173" w14:textId="77777777" w:rsidR="009445E2" w:rsidRDefault="00000000">
      <w:pPr>
        <w:pStyle w:val="Zkladntext1"/>
        <w:framePr w:w="9443" w:h="12017" w:hRule="exact" w:wrap="none" w:vAnchor="page" w:hAnchor="page" w:x="1092" w:y="2506"/>
        <w:numPr>
          <w:ilvl w:val="0"/>
          <w:numId w:val="3"/>
        </w:numPr>
        <w:tabs>
          <w:tab w:val="left" w:pos="360"/>
        </w:tabs>
        <w:spacing w:line="264" w:lineRule="auto"/>
        <w:ind w:left="380" w:hanging="380"/>
        <w:jc w:val="both"/>
      </w:pPr>
      <w:r>
        <w:t>Předpokládaný rozsah a poloha umístění stavby je vyznačena v kopii situačního výkresu projektové dokumentace, která je nedílnou součástí této smlouvy jako příloha č. 1.</w:t>
      </w:r>
    </w:p>
    <w:p w14:paraId="0ABFDDE6" w14:textId="77777777" w:rsidR="009445E2" w:rsidRDefault="00000000">
      <w:pPr>
        <w:pStyle w:val="Zkladntext1"/>
        <w:framePr w:w="9443" w:h="12017" w:hRule="exact" w:wrap="none" w:vAnchor="page" w:hAnchor="page" w:x="1092" w:y="2506"/>
        <w:numPr>
          <w:ilvl w:val="0"/>
          <w:numId w:val="3"/>
        </w:numPr>
        <w:tabs>
          <w:tab w:val="left" w:pos="360"/>
        </w:tabs>
        <w:spacing w:line="264" w:lineRule="auto"/>
        <w:ind w:left="380" w:hanging="380"/>
        <w:jc w:val="both"/>
      </w:pPr>
      <w:r>
        <w:t>Skutečná poloha umístění stavby na povinné nemovitosti bude zaměřena po její realizaci. Na základě skutečné polohy umístění stavby bude vyhotoven geometrický plán za účelem stanovení rozsahu budoucího věcného břemene.</w:t>
      </w:r>
    </w:p>
    <w:p w14:paraId="7DB08137" w14:textId="77777777" w:rsidR="009445E2" w:rsidRDefault="009445E2">
      <w:pPr>
        <w:spacing w:line="1" w:lineRule="exact"/>
        <w:sectPr w:rsidR="009445E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5A11D0" w14:textId="77777777" w:rsidR="009445E2" w:rsidRDefault="009445E2">
      <w:pPr>
        <w:spacing w:line="1" w:lineRule="exact"/>
      </w:pPr>
    </w:p>
    <w:p w14:paraId="556A5C10" w14:textId="77777777" w:rsidR="009445E2" w:rsidRDefault="00000000">
      <w:pPr>
        <w:pStyle w:val="Zhlavnebozpat0"/>
        <w:framePr w:wrap="none" w:vAnchor="page" w:hAnchor="page" w:x="9325" w:y="807"/>
        <w:jc w:val="both"/>
      </w:pPr>
      <w:r>
        <w:t>OMI 31/2024</w:t>
      </w:r>
    </w:p>
    <w:p w14:paraId="6C5AA342" w14:textId="77777777" w:rsidR="009445E2" w:rsidRDefault="009445E2">
      <w:pPr>
        <w:pStyle w:val="Zkladntext1"/>
        <w:framePr w:w="9421" w:h="13705" w:hRule="exact" w:wrap="none" w:vAnchor="page" w:hAnchor="page" w:x="1103" w:y="1531"/>
        <w:numPr>
          <w:ilvl w:val="0"/>
          <w:numId w:val="1"/>
        </w:numPr>
        <w:spacing w:after="260"/>
        <w:jc w:val="center"/>
      </w:pPr>
    </w:p>
    <w:p w14:paraId="6C3605D2" w14:textId="77777777" w:rsidR="009445E2" w:rsidRDefault="00000000">
      <w:pPr>
        <w:pStyle w:val="Zkladntext1"/>
        <w:framePr w:w="9421" w:h="13705" w:hRule="exact" w:wrap="none" w:vAnchor="page" w:hAnchor="page" w:x="1103" w:y="1531"/>
        <w:numPr>
          <w:ilvl w:val="0"/>
          <w:numId w:val="4"/>
        </w:numPr>
        <w:tabs>
          <w:tab w:val="left" w:pos="352"/>
        </w:tabs>
        <w:spacing w:after="260"/>
        <w:ind w:left="340" w:hanging="340"/>
        <w:jc w:val="both"/>
      </w:pPr>
      <w:r>
        <w:t>Výše uvedená stavba bude v povinné nemovitosti zřízena a provozována na základě rozhodnutí příslušného stavebního úřadu a případně na základě rozhodnutí o povolení zvláštního užívání pro umístění inženýrských sítí vydaného příslušným správním úřadem. Tato smlouva nahrazuje souhlas vlastníka pozemku se zřízením stavby v povinné nemovitosti.</w:t>
      </w:r>
    </w:p>
    <w:p w14:paraId="6F8A4A63" w14:textId="77777777" w:rsidR="009445E2" w:rsidRDefault="009445E2">
      <w:pPr>
        <w:pStyle w:val="Zkladntext1"/>
        <w:framePr w:w="9421" w:h="13705" w:hRule="exact" w:wrap="none" w:vAnchor="page" w:hAnchor="page" w:x="1103" w:y="1531"/>
        <w:numPr>
          <w:ilvl w:val="0"/>
          <w:numId w:val="1"/>
        </w:numPr>
        <w:spacing w:after="260"/>
        <w:jc w:val="center"/>
      </w:pPr>
    </w:p>
    <w:p w14:paraId="2754B6F8" w14:textId="0E57D2D3" w:rsidR="009445E2" w:rsidRDefault="00000000">
      <w:pPr>
        <w:pStyle w:val="Zkladntext1"/>
        <w:framePr w:w="9421" w:h="13705" w:hRule="exact" w:wrap="none" w:vAnchor="page" w:hAnchor="page" w:x="1103" w:y="1531"/>
        <w:numPr>
          <w:ilvl w:val="0"/>
          <w:numId w:val="5"/>
        </w:numPr>
        <w:tabs>
          <w:tab w:val="left" w:pos="352"/>
        </w:tabs>
        <w:spacing w:after="260" w:line="264" w:lineRule="auto"/>
        <w:ind w:left="340" w:hanging="340"/>
        <w:jc w:val="both"/>
      </w:pPr>
      <w:r>
        <w:t>Budoucí oprávněný má zájem po dokončení shora specifikované stavby zřídit ve svůj</w:t>
      </w:r>
      <w:r w:rsidR="000F3F16">
        <w:t xml:space="preserve"> </w:t>
      </w:r>
      <w:r>
        <w:t xml:space="preserve">prospěch </w:t>
      </w:r>
      <w:r>
        <w:rPr>
          <w:b/>
          <w:bCs/>
        </w:rPr>
        <w:t xml:space="preserve">věcné břemeno </w:t>
      </w:r>
      <w:r>
        <w:t>zatěžující budoucí povinnou nemovitost jako věcné právo, a za tímto účelem uzavírají smluvní strany tuto smlouvu o smlouvě budoucí o zřízení věcného břemene.</w:t>
      </w:r>
    </w:p>
    <w:p w14:paraId="77FC1D6F" w14:textId="77777777" w:rsidR="009445E2" w:rsidRDefault="009445E2">
      <w:pPr>
        <w:pStyle w:val="Zkladntext1"/>
        <w:framePr w:w="9421" w:h="13705" w:hRule="exact" w:wrap="none" w:vAnchor="page" w:hAnchor="page" w:x="1103" w:y="1531"/>
        <w:numPr>
          <w:ilvl w:val="0"/>
          <w:numId w:val="1"/>
        </w:numPr>
        <w:spacing w:after="260"/>
        <w:jc w:val="center"/>
      </w:pPr>
    </w:p>
    <w:p w14:paraId="1E022742" w14:textId="77777777" w:rsidR="009445E2" w:rsidRDefault="00000000">
      <w:pPr>
        <w:pStyle w:val="Zkladntext1"/>
        <w:framePr w:w="9421" w:h="13705" w:hRule="exact" w:wrap="none" w:vAnchor="page" w:hAnchor="page" w:x="1103" w:y="1531"/>
        <w:numPr>
          <w:ilvl w:val="0"/>
          <w:numId w:val="6"/>
        </w:numPr>
        <w:tabs>
          <w:tab w:val="left" w:pos="352"/>
        </w:tabs>
        <w:spacing w:line="259" w:lineRule="auto"/>
        <w:jc w:val="both"/>
      </w:pPr>
      <w:r>
        <w:t>Tato smlouva je uzavíraná na dobu určitou a to na 6 let ode dne účinnosti této smlouvy.</w:t>
      </w:r>
    </w:p>
    <w:p w14:paraId="53A8D33C" w14:textId="77777777" w:rsidR="009445E2" w:rsidRDefault="00000000">
      <w:pPr>
        <w:pStyle w:val="Zkladntext1"/>
        <w:framePr w:w="9421" w:h="13705" w:hRule="exact" w:wrap="none" w:vAnchor="page" w:hAnchor="page" w:x="1103" w:y="1531"/>
        <w:numPr>
          <w:ilvl w:val="0"/>
          <w:numId w:val="6"/>
        </w:numPr>
        <w:tabs>
          <w:tab w:val="left" w:pos="352"/>
        </w:tabs>
        <w:spacing w:line="259" w:lineRule="auto"/>
        <w:ind w:left="340" w:hanging="340"/>
        <w:jc w:val="both"/>
      </w:pPr>
      <w:r>
        <w:t xml:space="preserve">Budoucí povinný se touto smlouvou zavazuje, že na základě výzvy budoucího oprávněného, jejíž součástí bude návrh smlouvy o zřízení věcného břemene ve smyslu ustanovení § 1257 a násl. zákona č. 89/2012 Sb., občanský zákoník v platném znění a podle ustanovení. § 104 odst. (3) zákona č. 127/2005 Sb., o elektronických komunikacích a o změně některých souvisejících zákonů v platném znění, i geometrický plán na stanovení rozsahu věcného břemene, doručené budoucímu povinnému </w:t>
      </w:r>
      <w:r>
        <w:rPr>
          <w:b/>
          <w:bCs/>
        </w:rPr>
        <w:t xml:space="preserve">do 6 měsíců od dokončení oprávněné nemovitosti, nejpozději však 90 dní před uplynutím 6 let ode dne nabytí účinnosti této smlouvy, </w:t>
      </w:r>
      <w:r>
        <w:t>uzavře s budoucím oprávněným smlouvu na zřízení věcného břemene, a to za níže uvedených podmínek.</w:t>
      </w:r>
    </w:p>
    <w:p w14:paraId="0EBC90D9" w14:textId="77777777" w:rsidR="009445E2" w:rsidRDefault="00000000">
      <w:pPr>
        <w:pStyle w:val="Zkladntext1"/>
        <w:framePr w:w="9421" w:h="13705" w:hRule="exact" w:wrap="none" w:vAnchor="page" w:hAnchor="page" w:x="1103" w:y="1531"/>
        <w:numPr>
          <w:ilvl w:val="0"/>
          <w:numId w:val="6"/>
        </w:numPr>
        <w:tabs>
          <w:tab w:val="left" w:pos="352"/>
        </w:tabs>
        <w:spacing w:after="260" w:line="259" w:lineRule="auto"/>
        <w:ind w:left="340" w:hanging="340"/>
        <w:jc w:val="both"/>
      </w:pPr>
      <w:r>
        <w:t>Budoucí oprávněný na své náklady zajistí vypracování geometrického plánu stanovujícímu rozsah věcného břemene, a to ihned po skončení stavby a budoucí povinný se zavazuje, že nejpozději do 2 měsíců od obdržení výzvy budoucího oprávněného uvedené shora uzavře s budoucím oprávněným smlouvu o zřízení věcného břemene.</w:t>
      </w:r>
    </w:p>
    <w:p w14:paraId="730D8575" w14:textId="77777777" w:rsidR="009445E2" w:rsidRDefault="009445E2">
      <w:pPr>
        <w:pStyle w:val="Zkladntext1"/>
        <w:framePr w:w="9421" w:h="13705" w:hRule="exact" w:wrap="none" w:vAnchor="page" w:hAnchor="page" w:x="1103" w:y="1531"/>
        <w:numPr>
          <w:ilvl w:val="0"/>
          <w:numId w:val="1"/>
        </w:numPr>
        <w:spacing w:after="260"/>
        <w:jc w:val="center"/>
      </w:pPr>
    </w:p>
    <w:p w14:paraId="68C5D549" w14:textId="77777777" w:rsidR="009445E2" w:rsidRDefault="00000000">
      <w:pPr>
        <w:pStyle w:val="Zkladntext1"/>
        <w:framePr w:w="9421" w:h="13705" w:hRule="exact" w:wrap="none" w:vAnchor="page" w:hAnchor="page" w:x="1103" w:y="1531"/>
        <w:numPr>
          <w:ilvl w:val="0"/>
          <w:numId w:val="7"/>
        </w:numPr>
        <w:tabs>
          <w:tab w:val="left" w:pos="352"/>
        </w:tabs>
        <w:ind w:left="340" w:hanging="340"/>
        <w:jc w:val="both"/>
      </w:pPr>
      <w:r>
        <w:t xml:space="preserve">Věcné břemeno dle této smlouvy bude zřízeno </w:t>
      </w:r>
      <w:r>
        <w:rPr>
          <w:lang w:val="en-US" w:eastAsia="en-US" w:bidi="en-US"/>
        </w:rPr>
        <w:t xml:space="preserve">in </w:t>
      </w:r>
      <w:proofErr w:type="spellStart"/>
      <w:r>
        <w:rPr>
          <w:lang w:val="en-US" w:eastAsia="en-US" w:bidi="en-US"/>
        </w:rPr>
        <w:t>personam</w:t>
      </w:r>
      <w:proofErr w:type="spellEnd"/>
      <w:r>
        <w:rPr>
          <w:lang w:val="en-US" w:eastAsia="en-US" w:bidi="en-US"/>
        </w:rPr>
        <w:t xml:space="preserve">, </w:t>
      </w:r>
      <w:r>
        <w:t>na dobu existence stavby a úplatně. Výše jednorázové náhrady vyplacená straně povinné za zřízení výše popsaných práv odpovídajících věc</w:t>
      </w:r>
      <w:r>
        <w:softHyphen/>
        <w:t>nému břemeni je vyčíslena v tabulce, která je nedílnou součástí této smlouvy jako příloha č. 2. K této částce bude připočtena daň z přidané hodnoty dle zákonné sazby platné ke dni uskutečnění platby. K poskytnutí náhrady dojde za podmínek sjednaných Vlastní smlouvou.</w:t>
      </w:r>
    </w:p>
    <w:p w14:paraId="08942E0F" w14:textId="77777777" w:rsidR="009445E2" w:rsidRDefault="00000000">
      <w:pPr>
        <w:pStyle w:val="Zkladntext1"/>
        <w:framePr w:w="9421" w:h="13705" w:hRule="exact" w:wrap="none" w:vAnchor="page" w:hAnchor="page" w:x="1103" w:y="1531"/>
        <w:numPr>
          <w:ilvl w:val="0"/>
          <w:numId w:val="7"/>
        </w:numPr>
        <w:tabs>
          <w:tab w:val="left" w:pos="352"/>
        </w:tabs>
        <w:spacing w:after="260"/>
        <w:ind w:left="340" w:hanging="340"/>
        <w:jc w:val="both"/>
      </w:pPr>
      <w:r>
        <w:t>Podpisem této smlouvy se budoucí povinný zavazuje umožnit vstup pracovníkům budoucího oprávně</w:t>
      </w:r>
      <w:r>
        <w:softHyphen/>
        <w:t>ného, projekční a dodavatelské stavební organizace na povinnou nemovitost v nezbytném rozsahu za účelem provádění geodetických, inženýrských, stavebních prací a dalších činností s tím spojených.</w:t>
      </w:r>
    </w:p>
    <w:p w14:paraId="37B7B570" w14:textId="77777777" w:rsidR="009445E2" w:rsidRDefault="009445E2">
      <w:pPr>
        <w:pStyle w:val="Zkladntext1"/>
        <w:framePr w:w="9421" w:h="13705" w:hRule="exact" w:wrap="none" w:vAnchor="page" w:hAnchor="page" w:x="1103" w:y="1531"/>
        <w:numPr>
          <w:ilvl w:val="0"/>
          <w:numId w:val="1"/>
        </w:numPr>
        <w:spacing w:after="260"/>
        <w:jc w:val="center"/>
      </w:pPr>
    </w:p>
    <w:p w14:paraId="1DB8682D" w14:textId="77777777" w:rsidR="009445E2" w:rsidRDefault="00000000">
      <w:pPr>
        <w:pStyle w:val="Zkladntext1"/>
        <w:framePr w:w="9421" w:h="13705" w:hRule="exact" w:wrap="none" w:vAnchor="page" w:hAnchor="page" w:x="1103" w:y="1531"/>
        <w:numPr>
          <w:ilvl w:val="0"/>
          <w:numId w:val="8"/>
        </w:numPr>
        <w:tabs>
          <w:tab w:val="left" w:pos="352"/>
        </w:tabs>
        <w:ind w:left="340" w:hanging="340"/>
        <w:jc w:val="both"/>
      </w:pPr>
      <w:r>
        <w:t>Nevyzve-li budoucí oprávněný budoucího povinného k uzavření smlouvy včas, povinnost uzavřít smlouvu na zřízení věcného břemene zaniká.</w:t>
      </w:r>
    </w:p>
    <w:p w14:paraId="46813BB2" w14:textId="77777777" w:rsidR="009445E2" w:rsidRDefault="00000000">
      <w:pPr>
        <w:pStyle w:val="Zkladntext1"/>
        <w:framePr w:w="9421" w:h="13705" w:hRule="exact" w:wrap="none" w:vAnchor="page" w:hAnchor="page" w:x="1103" w:y="1531"/>
        <w:numPr>
          <w:ilvl w:val="0"/>
          <w:numId w:val="8"/>
        </w:numPr>
        <w:tabs>
          <w:tab w:val="left" w:pos="352"/>
        </w:tabs>
        <w:ind w:left="340" w:hanging="340"/>
        <w:jc w:val="both"/>
      </w:pPr>
      <w:r>
        <w:t>Závazek pro budoucího povinného z této smlouvy zanikne i v případě, že předmětnou stavbou nedojde k trvalému dotčení povinné nemovitosti, nebo v případě, že se okolnosti zřízení věcného břemene změní do té míry, že nebude možné splnění závazku na budoucím povinném požadovat.</w:t>
      </w:r>
    </w:p>
    <w:p w14:paraId="66DC0217" w14:textId="77777777" w:rsidR="009445E2" w:rsidRDefault="00000000">
      <w:pPr>
        <w:pStyle w:val="Zkladntext1"/>
        <w:framePr w:w="9421" w:h="13705" w:hRule="exact" w:wrap="none" w:vAnchor="page" w:hAnchor="page" w:x="1103" w:y="1531"/>
        <w:numPr>
          <w:ilvl w:val="0"/>
          <w:numId w:val="8"/>
        </w:numPr>
        <w:tabs>
          <w:tab w:val="left" w:pos="352"/>
        </w:tabs>
        <w:ind w:left="340" w:hanging="340"/>
        <w:jc w:val="both"/>
      </w:pPr>
      <w:r>
        <w:t>Závazek pro budoucího povinného z této smlouvy také zanikne v případě, že nedojde k vydání příslušných povolení a stavba nebude realizována.</w:t>
      </w:r>
    </w:p>
    <w:p w14:paraId="214911D0" w14:textId="77777777" w:rsidR="009445E2" w:rsidRDefault="00000000">
      <w:pPr>
        <w:pStyle w:val="Zkladntext1"/>
        <w:framePr w:w="9421" w:h="13705" w:hRule="exact" w:wrap="none" w:vAnchor="page" w:hAnchor="page" w:x="1103" w:y="1531"/>
        <w:numPr>
          <w:ilvl w:val="0"/>
          <w:numId w:val="8"/>
        </w:numPr>
        <w:tabs>
          <w:tab w:val="left" w:pos="352"/>
        </w:tabs>
        <w:ind w:left="340" w:hanging="340"/>
        <w:jc w:val="both"/>
      </w:pPr>
      <w:r>
        <w:t>’ Budoucí oprávněný prohlašuje, že se seznámil se všemi souhlasnými prohlášeními a zavazuje se dodržovat podmínky v nich obsažené.</w:t>
      </w:r>
    </w:p>
    <w:p w14:paraId="0B3D09CB" w14:textId="77777777" w:rsidR="009445E2" w:rsidRDefault="009445E2">
      <w:pPr>
        <w:spacing w:line="1" w:lineRule="exact"/>
        <w:sectPr w:rsidR="009445E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FAD712F" w14:textId="77777777" w:rsidR="009445E2" w:rsidRDefault="009445E2">
      <w:pPr>
        <w:spacing w:line="1" w:lineRule="exact"/>
      </w:pPr>
    </w:p>
    <w:p w14:paraId="7BDBFA01" w14:textId="77777777" w:rsidR="009445E2" w:rsidRDefault="00000000">
      <w:pPr>
        <w:pStyle w:val="Zhlavnebozpat0"/>
        <w:framePr w:wrap="none" w:vAnchor="page" w:hAnchor="page" w:x="9367" w:y="800"/>
      </w:pPr>
      <w:r>
        <w:t>OMI 31/2024</w:t>
      </w:r>
    </w:p>
    <w:p w14:paraId="4112E1B6" w14:textId="77777777" w:rsidR="009445E2" w:rsidRDefault="009445E2">
      <w:pPr>
        <w:pStyle w:val="Zkladntext1"/>
        <w:framePr w:w="9389" w:h="5926" w:hRule="exact" w:wrap="none" w:vAnchor="page" w:hAnchor="page" w:x="1119" w:y="1513"/>
        <w:numPr>
          <w:ilvl w:val="0"/>
          <w:numId w:val="1"/>
        </w:numPr>
        <w:spacing w:line="259" w:lineRule="auto"/>
        <w:jc w:val="center"/>
      </w:pPr>
    </w:p>
    <w:p w14:paraId="0C69EBF2" w14:textId="77777777" w:rsidR="009445E2" w:rsidRDefault="00000000">
      <w:pPr>
        <w:pStyle w:val="Zkladntext1"/>
        <w:framePr w:w="9389" w:h="5926" w:hRule="exact" w:wrap="none" w:vAnchor="page" w:hAnchor="page" w:x="1119" w:y="1513"/>
        <w:numPr>
          <w:ilvl w:val="0"/>
          <w:numId w:val="9"/>
        </w:numPr>
        <w:tabs>
          <w:tab w:val="left" w:pos="338"/>
        </w:tabs>
        <w:spacing w:line="259" w:lineRule="auto"/>
        <w:ind w:left="340" w:hanging="340"/>
        <w:jc w:val="both"/>
      </w:pPr>
      <w:r>
        <w:t>Tato smlouva je vyhotovena ve čtyřech stejnopisech, z nichž každý má platnost originálu, po dvou pro každou smluvní stranu.</w:t>
      </w:r>
    </w:p>
    <w:p w14:paraId="568D5ACF" w14:textId="77777777" w:rsidR="009445E2" w:rsidRDefault="00000000">
      <w:pPr>
        <w:pStyle w:val="Zkladntext1"/>
        <w:framePr w:w="9389" w:h="5926" w:hRule="exact" w:wrap="none" w:vAnchor="page" w:hAnchor="page" w:x="1119" w:y="1513"/>
        <w:numPr>
          <w:ilvl w:val="0"/>
          <w:numId w:val="9"/>
        </w:numPr>
        <w:tabs>
          <w:tab w:val="left" w:pos="338"/>
        </w:tabs>
        <w:spacing w:line="259" w:lineRule="auto"/>
      </w:pPr>
      <w:r>
        <w:t>Tato smlouva nabývá platnosti a účinnosti dnem uzavření této smlouvy.</w:t>
      </w:r>
    </w:p>
    <w:p w14:paraId="07E1A460" w14:textId="77777777" w:rsidR="009445E2" w:rsidRDefault="00000000">
      <w:pPr>
        <w:pStyle w:val="Zkladntext1"/>
        <w:framePr w:w="9389" w:h="5926" w:hRule="exact" w:wrap="none" w:vAnchor="page" w:hAnchor="page" w:x="1119" w:y="1513"/>
        <w:numPr>
          <w:ilvl w:val="0"/>
          <w:numId w:val="9"/>
        </w:numPr>
        <w:tabs>
          <w:tab w:val="left" w:pos="338"/>
        </w:tabs>
        <w:spacing w:line="259" w:lineRule="auto"/>
        <w:ind w:left="340" w:hanging="340"/>
        <w:jc w:val="both"/>
      </w:pPr>
      <w:r>
        <w:t>Smluvní strany prohlašují, že žádná část smlouvy nenaplňuje znaky obchodního tajemství (§ 504 zákona č. 89/2012 Sb., občanský zákoník).</w:t>
      </w:r>
    </w:p>
    <w:p w14:paraId="766B9CF0" w14:textId="77777777" w:rsidR="009445E2" w:rsidRDefault="00000000">
      <w:pPr>
        <w:pStyle w:val="Zkladntext1"/>
        <w:framePr w:w="9389" w:h="5926" w:hRule="exact" w:wrap="none" w:vAnchor="page" w:hAnchor="page" w:x="1119" w:y="1513"/>
        <w:numPr>
          <w:ilvl w:val="0"/>
          <w:numId w:val="9"/>
        </w:numPr>
        <w:tabs>
          <w:tab w:val="left" w:pos="338"/>
        </w:tabs>
        <w:spacing w:line="259" w:lineRule="auto"/>
        <w:ind w:left="340" w:hanging="340"/>
        <w:jc w:val="both"/>
      </w:pPr>
      <w:r>
        <w:t>S odkazem na ustanovení § 3 odst. 2 písm. h) zákona č. 340/2015 Sb., o registru smluv v platném znění, tato smlouva nepodléhá povinnosti uveřejnění v registru smluv.</w:t>
      </w:r>
    </w:p>
    <w:p w14:paraId="19708785" w14:textId="77777777" w:rsidR="009445E2" w:rsidRDefault="00000000">
      <w:pPr>
        <w:pStyle w:val="Zkladntext1"/>
        <w:framePr w:w="9389" w:h="5926" w:hRule="exact" w:wrap="none" w:vAnchor="page" w:hAnchor="page" w:x="1119" w:y="1513"/>
        <w:numPr>
          <w:ilvl w:val="0"/>
          <w:numId w:val="9"/>
        </w:numPr>
        <w:tabs>
          <w:tab w:val="left" w:pos="338"/>
        </w:tabs>
        <w:spacing w:line="259" w:lineRule="auto"/>
        <w:ind w:left="340" w:hanging="340"/>
        <w:jc w:val="both"/>
      </w:pPr>
      <w:r>
        <w:t>Smluvní strany se dohodly, že budoucí zřízení věcného břemene nebude navrženo k zápisu poznámky do katastru nemovitostí ve smyslu ustanovení § 23 odst. 1 písm. t) zákona č. 256/2013 Sb., katastrální zákon v platném znění za použití ustanovení § 72 odst. 3 vyhlášky č. 357/2013 Sb., katastrální vyhláška v platném znění.</w:t>
      </w:r>
    </w:p>
    <w:p w14:paraId="0D0BB530" w14:textId="77777777" w:rsidR="009445E2" w:rsidRDefault="00000000">
      <w:pPr>
        <w:pStyle w:val="Zkladntext1"/>
        <w:framePr w:w="9389" w:h="5926" w:hRule="exact" w:wrap="none" w:vAnchor="page" w:hAnchor="page" w:x="1119" w:y="1513"/>
        <w:numPr>
          <w:ilvl w:val="0"/>
          <w:numId w:val="9"/>
        </w:numPr>
        <w:tabs>
          <w:tab w:val="left" w:pos="338"/>
        </w:tabs>
        <w:spacing w:line="259" w:lineRule="auto"/>
        <w:ind w:left="340" w:hanging="340"/>
        <w:jc w:val="both"/>
      </w:pPr>
      <w:r>
        <w:t>Smluvní strany prohlašují, že se důkladně seznámily s obsahem této smlouvy, a že tato nebyla ujednána v tísni za nápadně nevýhodných podmínek, na důkaz toho připojují vlastnoruční podpisy.</w:t>
      </w:r>
    </w:p>
    <w:p w14:paraId="1532AAF0" w14:textId="77777777" w:rsidR="009445E2" w:rsidRDefault="00000000">
      <w:pPr>
        <w:pStyle w:val="Zkladntext1"/>
        <w:framePr w:w="9389" w:h="5926" w:hRule="exact" w:wrap="none" w:vAnchor="page" w:hAnchor="page" w:x="1119" w:y="1513"/>
        <w:numPr>
          <w:ilvl w:val="0"/>
          <w:numId w:val="9"/>
        </w:numPr>
        <w:tabs>
          <w:tab w:val="left" w:pos="338"/>
        </w:tabs>
        <w:spacing w:line="259" w:lineRule="auto"/>
        <w:ind w:left="340" w:hanging="340"/>
        <w:jc w:val="both"/>
      </w:pPr>
      <w:r>
        <w:t xml:space="preserve">V souladu s usnesením Rady města Pardubice č. RM/3272/2008 ze dne 21.10. 2008 je odbor majetku a investic Magistrátu města Pardubice pověřen rozhodováním o uzavření smluv o zřízení věcného </w:t>
      </w:r>
      <w:proofErr w:type="gramStart"/>
      <w:r>
        <w:t>břemene - právo</w:t>
      </w:r>
      <w:proofErr w:type="gramEnd"/>
      <w:r>
        <w:t xml:space="preserve"> týkající se inženýrských sítí mimo liniových staveb velkého rozsahu za podmínek stanovených Zásadami pro nakládání s pozemky a pro umísťování reklamních zařízení na pozemcích a stavbách ve vlastnictví statutárního města Pardubice v platném znění.</w:t>
      </w:r>
    </w:p>
    <w:p w14:paraId="53D46B04" w14:textId="77777777" w:rsidR="009445E2" w:rsidRDefault="00000000">
      <w:pPr>
        <w:pStyle w:val="Zkladntext1"/>
        <w:framePr w:w="9389" w:h="5926" w:hRule="exact" w:wrap="none" w:vAnchor="page" w:hAnchor="page" w:x="1119" w:y="1513"/>
        <w:numPr>
          <w:ilvl w:val="0"/>
          <w:numId w:val="9"/>
        </w:numPr>
        <w:tabs>
          <w:tab w:val="left" w:pos="338"/>
        </w:tabs>
        <w:spacing w:line="259" w:lineRule="auto"/>
      </w:pPr>
      <w:r>
        <w:t>Nedílnou součástí této smlouvy jsou následující přílohy:</w:t>
      </w:r>
    </w:p>
    <w:p w14:paraId="171A4A47" w14:textId="77777777" w:rsidR="009445E2" w:rsidRDefault="00000000">
      <w:pPr>
        <w:pStyle w:val="Zkladntext1"/>
        <w:framePr w:w="9389" w:h="5926" w:hRule="exact" w:wrap="none" w:vAnchor="page" w:hAnchor="page" w:x="1119" w:y="1513"/>
        <w:spacing w:line="259" w:lineRule="auto"/>
        <w:ind w:firstLine="340"/>
      </w:pPr>
      <w:r>
        <w:t>Příloha 1 - kopie situačních výkresů projektové dokumentace</w:t>
      </w:r>
    </w:p>
    <w:p w14:paraId="66A046C1" w14:textId="77777777" w:rsidR="009445E2" w:rsidRDefault="00000000">
      <w:pPr>
        <w:pStyle w:val="Zkladntext1"/>
        <w:framePr w:w="9389" w:h="5926" w:hRule="exact" w:wrap="none" w:vAnchor="page" w:hAnchor="page" w:x="1119" w:y="1513"/>
        <w:spacing w:line="259" w:lineRule="auto"/>
        <w:ind w:firstLine="340"/>
      </w:pPr>
      <w:r>
        <w:t>Příloha 2 - tabulka s výpočtem úhrady</w:t>
      </w:r>
    </w:p>
    <w:p w14:paraId="2DC74676" w14:textId="77777777" w:rsidR="009445E2" w:rsidRDefault="00000000">
      <w:pPr>
        <w:pStyle w:val="Zkladntext1"/>
        <w:framePr w:wrap="none" w:vAnchor="page" w:hAnchor="page" w:x="1119" w:y="8183"/>
        <w:tabs>
          <w:tab w:val="left" w:leader="dot" w:pos="1836"/>
        </w:tabs>
        <w:spacing w:line="240" w:lineRule="auto"/>
      </w:pPr>
      <w:r>
        <w:t>V Pardubicích dne</w:t>
      </w:r>
      <w:r>
        <w:tab/>
      </w:r>
    </w:p>
    <w:p w14:paraId="50E6E95E" w14:textId="77777777" w:rsidR="009445E2" w:rsidRDefault="009445E2">
      <w:pPr>
        <w:framePr w:wrap="none" w:vAnchor="page" w:hAnchor="page" w:x="7714" w:y="8029"/>
      </w:pPr>
    </w:p>
    <w:p w14:paraId="4593A672" w14:textId="77777777" w:rsidR="009445E2" w:rsidRDefault="00000000">
      <w:pPr>
        <w:pStyle w:val="Zkladntext50"/>
        <w:framePr w:w="9389" w:h="1274" w:hRule="exact" w:wrap="none" w:vAnchor="page" w:hAnchor="page" w:x="1119" w:y="10174"/>
        <w:tabs>
          <w:tab w:val="left" w:leader="dot" w:pos="1412"/>
          <w:tab w:val="left" w:leader="dot" w:pos="3356"/>
        </w:tabs>
        <w:ind w:firstLine="220"/>
        <w:rPr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p w14:paraId="4C654173" w14:textId="77777777" w:rsidR="009445E2" w:rsidRDefault="00000000">
      <w:pPr>
        <w:pStyle w:val="Zkladntext1"/>
        <w:framePr w:w="9389" w:h="1274" w:hRule="exact" w:wrap="none" w:vAnchor="page" w:hAnchor="page" w:x="1119" w:y="10174"/>
        <w:spacing w:line="259" w:lineRule="auto"/>
      </w:pPr>
      <w:r>
        <w:t>statutární město Pardubice</w:t>
      </w:r>
    </w:p>
    <w:p w14:paraId="638CB10B" w14:textId="77777777" w:rsidR="009445E2" w:rsidRDefault="00000000">
      <w:pPr>
        <w:pStyle w:val="Zkladntext1"/>
        <w:framePr w:w="9389" w:h="1274" w:hRule="exact" w:wrap="none" w:vAnchor="page" w:hAnchor="page" w:x="1119" w:y="10174"/>
        <w:spacing w:line="259" w:lineRule="auto"/>
      </w:pPr>
      <w:r>
        <w:t>Ing. Miroslav Macela</w:t>
      </w:r>
    </w:p>
    <w:p w14:paraId="2770CBCA" w14:textId="77777777" w:rsidR="009445E2" w:rsidRDefault="00000000">
      <w:pPr>
        <w:pStyle w:val="Zkladntext1"/>
        <w:framePr w:w="9389" w:h="1274" w:hRule="exact" w:wrap="none" w:vAnchor="page" w:hAnchor="page" w:x="1119" w:y="10174"/>
        <w:spacing w:line="259" w:lineRule="auto"/>
      </w:pPr>
      <w:r>
        <w:t>vedoucí oddělení pozemků a převodu</w:t>
      </w:r>
      <w:r>
        <w:br/>
        <w:t xml:space="preserve">nemovitostí OMI </w:t>
      </w:r>
      <w:proofErr w:type="spellStart"/>
      <w:r>
        <w:t>MmP</w:t>
      </w:r>
      <w:proofErr w:type="spellEnd"/>
    </w:p>
    <w:p w14:paraId="2D46C13A" w14:textId="77777777" w:rsidR="009445E2" w:rsidRDefault="00000000">
      <w:pPr>
        <w:pStyle w:val="Zkladntext1"/>
        <w:framePr w:wrap="none" w:vAnchor="page" w:hAnchor="page" w:x="6051" w:y="8223"/>
        <w:spacing w:line="240" w:lineRule="auto"/>
      </w:pPr>
      <w:r>
        <w:t>V Pardubicích dne</w:t>
      </w:r>
    </w:p>
    <w:p w14:paraId="0E6F946E" w14:textId="77777777" w:rsidR="009445E2" w:rsidRDefault="00000000">
      <w:pPr>
        <w:pStyle w:val="Zkladntext1"/>
        <w:framePr w:wrap="none" w:vAnchor="page" w:hAnchor="page" w:x="6062" w:y="10361"/>
        <w:spacing w:line="240" w:lineRule="auto"/>
      </w:pPr>
      <w:r>
        <w:t>EDERA Group a.s.</w:t>
      </w:r>
    </w:p>
    <w:p w14:paraId="699E08F0" w14:textId="77777777" w:rsidR="009445E2" w:rsidRDefault="009445E2">
      <w:pPr>
        <w:spacing w:line="1" w:lineRule="exact"/>
        <w:sectPr w:rsidR="009445E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EC9DC3E" w14:textId="77777777" w:rsidR="009445E2" w:rsidRDefault="009445E2">
      <w:pPr>
        <w:spacing w:line="1" w:lineRule="exact"/>
      </w:pPr>
    </w:p>
    <w:p w14:paraId="5113166E" w14:textId="77777777" w:rsidR="009445E2" w:rsidRDefault="00000000">
      <w:pPr>
        <w:pStyle w:val="Zkladntext50"/>
        <w:framePr w:wrap="none" w:vAnchor="page" w:hAnchor="page" w:x="8550" w:y="1643"/>
        <w:ind w:firstLine="0"/>
        <w:jc w:val="both"/>
      </w:pPr>
      <w:r>
        <w:t>Příloha č.2</w:t>
      </w:r>
    </w:p>
    <w:p w14:paraId="645066FB" w14:textId="77777777" w:rsidR="009445E2" w:rsidRDefault="00000000">
      <w:pPr>
        <w:pStyle w:val="Nadpis20"/>
        <w:framePr w:w="7909" w:h="616" w:hRule="exact" w:wrap="none" w:vAnchor="page" w:hAnchor="page" w:x="1682" w:y="2151"/>
        <w:spacing w:line="254" w:lineRule="auto"/>
        <w:rPr>
          <w:sz w:val="26"/>
          <w:szCs w:val="26"/>
        </w:rPr>
      </w:pPr>
      <w:bookmarkStart w:id="1" w:name="bookmark2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Tabulka pro výpočet ceny VB na území města Pardubic</w:t>
      </w:r>
      <w:bookmarkEnd w:id="1"/>
    </w:p>
    <w:p w14:paraId="7B8B9009" w14:textId="77777777" w:rsidR="009445E2" w:rsidRDefault="00000000">
      <w:pPr>
        <w:pStyle w:val="Zkladntext40"/>
        <w:framePr w:w="7909" w:h="616" w:hRule="exact" w:wrap="none" w:vAnchor="page" w:hAnchor="page" w:x="1682" w:y="2151"/>
        <w:spacing w:after="0" w:line="254" w:lineRule="auto"/>
      </w:pPr>
      <w:r>
        <w:t xml:space="preserve">EDERA Group a.s. - Metropolitní </w:t>
      </w:r>
      <w:r>
        <w:rPr>
          <w:lang w:val="en-US" w:eastAsia="en-US" w:bidi="en-US"/>
        </w:rPr>
        <w:t xml:space="preserve">opt. </w:t>
      </w:r>
      <w:r>
        <w:t>síť Ohrazenice-Semtínská</w:t>
      </w:r>
    </w:p>
    <w:p w14:paraId="342195D7" w14:textId="77777777" w:rsidR="009445E2" w:rsidRDefault="00000000">
      <w:pPr>
        <w:pStyle w:val="Titulektabulky0"/>
        <w:framePr w:wrap="none" w:vAnchor="page" w:hAnchor="page" w:x="1743" w:y="2997"/>
      </w:pPr>
      <w:r>
        <w:t xml:space="preserve">Zóna č.1 </w:t>
      </w:r>
      <w:r>
        <w:rPr>
          <w:lang w:val="en-US" w:eastAsia="en-US" w:bidi="en-US"/>
        </w:rPr>
        <w:t xml:space="preserve">(MO </w:t>
      </w:r>
      <w:r>
        <w:t>I)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1"/>
        <w:gridCol w:w="1174"/>
        <w:gridCol w:w="1948"/>
        <w:gridCol w:w="1998"/>
      </w:tblGrid>
      <w:tr w:rsidR="009445E2" w14:paraId="303113E8" w14:textId="77777777">
        <w:tblPrEx>
          <w:tblCellMar>
            <w:top w:w="0" w:type="dxa"/>
            <w:bottom w:w="0" w:type="dxa"/>
          </w:tblCellMar>
        </w:tblPrEx>
        <w:trPr>
          <w:trHeight w:hRule="exact" w:val="544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</w:tcBorders>
            <w:shd w:val="clear" w:color="auto" w:fill="FCF707"/>
            <w:vAlign w:val="bottom"/>
          </w:tcPr>
          <w:p w14:paraId="077E3A97" w14:textId="77777777" w:rsidR="009445E2" w:rsidRDefault="00000000">
            <w:pPr>
              <w:pStyle w:val="Jin0"/>
              <w:framePr w:w="7880" w:h="1847" w:wrap="none" w:vAnchor="page" w:hAnchor="page" w:x="1700" w:y="3303"/>
              <w:spacing w:line="240" w:lineRule="auto"/>
            </w:pPr>
            <w:r>
              <w:rPr>
                <w:b/>
                <w:bCs/>
                <w:color w:val="303019"/>
              </w:rPr>
              <w:t>druh dotčeného pozemku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CF707"/>
            <w:vAlign w:val="bottom"/>
          </w:tcPr>
          <w:p w14:paraId="109A7266" w14:textId="77777777" w:rsidR="009445E2" w:rsidRDefault="00000000">
            <w:pPr>
              <w:pStyle w:val="Jin0"/>
              <w:framePr w:w="7880" w:h="1847" w:wrap="none" w:vAnchor="page" w:hAnchor="page" w:x="1700" w:y="3303"/>
              <w:spacing w:line="240" w:lineRule="auto"/>
              <w:jc w:val="center"/>
            </w:pPr>
            <w:r>
              <w:rPr>
                <w:b/>
                <w:bCs/>
                <w:color w:val="303019"/>
              </w:rPr>
              <w:t>cena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CF707"/>
          </w:tcPr>
          <w:p w14:paraId="102367BC" w14:textId="77777777" w:rsidR="009445E2" w:rsidRDefault="00000000">
            <w:pPr>
              <w:pStyle w:val="Jin0"/>
              <w:framePr w:w="7880" w:h="1847" w:wrap="none" w:vAnchor="page" w:hAnchor="page" w:x="1700" w:y="3303"/>
              <w:spacing w:line="240" w:lineRule="auto"/>
              <w:jc w:val="center"/>
            </w:pPr>
            <w:r>
              <w:rPr>
                <w:b/>
                <w:bCs/>
              </w:rPr>
              <w:t>délka zásahu v běžných metrech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707"/>
          </w:tcPr>
          <w:p w14:paraId="394F3F02" w14:textId="77777777" w:rsidR="009445E2" w:rsidRDefault="00000000">
            <w:pPr>
              <w:pStyle w:val="Jin0"/>
              <w:framePr w:w="7880" w:h="1847" w:wrap="none" w:vAnchor="page" w:hAnchor="page" w:x="1700" w:y="3303"/>
              <w:spacing w:line="240" w:lineRule="auto"/>
              <w:jc w:val="center"/>
            </w:pPr>
            <w:r>
              <w:rPr>
                <w:b/>
                <w:bCs/>
                <w:color w:val="303019"/>
              </w:rPr>
              <w:t>výpočet ceny za věcné břemeno</w:t>
            </w:r>
          </w:p>
        </w:tc>
      </w:tr>
      <w:tr w:rsidR="009445E2" w14:paraId="4A8931A2" w14:textId="77777777">
        <w:tblPrEx>
          <w:tblCellMar>
            <w:top w:w="0" w:type="dxa"/>
            <w:bottom w:w="0" w:type="dxa"/>
          </w:tblCellMar>
        </w:tblPrEx>
        <w:trPr>
          <w:trHeight w:hRule="exact" w:val="1303"/>
        </w:trPr>
        <w:tc>
          <w:tcPr>
            <w:tcW w:w="7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57F80" w14:textId="77777777" w:rsidR="009445E2" w:rsidRDefault="00000000">
            <w:pPr>
              <w:pStyle w:val="Jin0"/>
              <w:framePr w:w="7880" w:h="1847" w:wrap="none" w:vAnchor="page" w:hAnchor="page" w:x="1700" w:y="3303"/>
              <w:spacing w:line="240" w:lineRule="auto"/>
              <w:jc w:val="right"/>
            </w:pPr>
            <w:r>
              <w:rPr>
                <w:rFonts w:ascii="Arial" w:eastAsia="Arial" w:hAnsi="Arial" w:cs="Arial"/>
              </w:rPr>
              <w:t>-</w:t>
            </w:r>
          </w:p>
        </w:tc>
      </w:tr>
    </w:tbl>
    <w:p w14:paraId="0C41EF6B" w14:textId="77777777" w:rsidR="009445E2" w:rsidRDefault="00000000">
      <w:pPr>
        <w:pStyle w:val="Titulektabulky0"/>
        <w:framePr w:wrap="none" w:vAnchor="page" w:hAnchor="page" w:x="1743" w:y="5614"/>
      </w:pPr>
      <w:r>
        <w:t xml:space="preserve">Zóna č.1 </w:t>
      </w:r>
      <w:r>
        <w:rPr>
          <w:lang w:val="en-US" w:eastAsia="en-US" w:bidi="en-US"/>
        </w:rPr>
        <w:t xml:space="preserve">(MO </w:t>
      </w:r>
      <w:r>
        <w:t xml:space="preserve">II, </w:t>
      </w:r>
      <w:r>
        <w:rPr>
          <w:lang w:val="en-US" w:eastAsia="en-US" w:bidi="en-US"/>
        </w:rPr>
        <w:t xml:space="preserve">MO III, MO </w:t>
      </w:r>
      <w:r>
        <w:t>V)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1"/>
        <w:gridCol w:w="1174"/>
        <w:gridCol w:w="1948"/>
        <w:gridCol w:w="1998"/>
      </w:tblGrid>
      <w:tr w:rsidR="009445E2" w14:paraId="217100B8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</w:tcBorders>
            <w:shd w:val="clear" w:color="auto" w:fill="FCF707"/>
            <w:vAlign w:val="bottom"/>
          </w:tcPr>
          <w:p w14:paraId="588A8DFF" w14:textId="77777777" w:rsidR="009445E2" w:rsidRDefault="00000000">
            <w:pPr>
              <w:pStyle w:val="Jin0"/>
              <w:framePr w:w="7880" w:h="1836" w:wrap="none" w:vAnchor="page" w:hAnchor="page" w:x="1703" w:y="5920"/>
              <w:spacing w:line="240" w:lineRule="auto"/>
            </w:pPr>
            <w:r>
              <w:rPr>
                <w:b/>
                <w:bCs/>
                <w:color w:val="303019"/>
              </w:rPr>
              <w:t>druh dotčeného pozemku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CF707"/>
            <w:vAlign w:val="bottom"/>
          </w:tcPr>
          <w:p w14:paraId="56765D55" w14:textId="77777777" w:rsidR="009445E2" w:rsidRDefault="00000000">
            <w:pPr>
              <w:pStyle w:val="Jin0"/>
              <w:framePr w:w="7880" w:h="1836" w:wrap="none" w:vAnchor="page" w:hAnchor="page" w:x="1703" w:y="5920"/>
              <w:spacing w:line="240" w:lineRule="auto"/>
              <w:jc w:val="center"/>
            </w:pPr>
            <w:r>
              <w:rPr>
                <w:b/>
                <w:bCs/>
                <w:color w:val="303019"/>
              </w:rPr>
              <w:t>cena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CF707"/>
          </w:tcPr>
          <w:p w14:paraId="15E75CB9" w14:textId="77777777" w:rsidR="009445E2" w:rsidRDefault="00000000">
            <w:pPr>
              <w:pStyle w:val="Jin0"/>
              <w:framePr w:w="7880" w:h="1836" w:wrap="none" w:vAnchor="page" w:hAnchor="page" w:x="1703" w:y="5920"/>
              <w:spacing w:line="240" w:lineRule="auto"/>
              <w:jc w:val="center"/>
            </w:pPr>
            <w:r>
              <w:rPr>
                <w:b/>
                <w:bCs/>
              </w:rPr>
              <w:t>délka zásahu v běžných metrech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707"/>
          </w:tcPr>
          <w:p w14:paraId="67DCECB0" w14:textId="77777777" w:rsidR="009445E2" w:rsidRDefault="00000000">
            <w:pPr>
              <w:pStyle w:val="Jin0"/>
              <w:framePr w:w="7880" w:h="1836" w:wrap="none" w:vAnchor="page" w:hAnchor="page" w:x="1703" w:y="5920"/>
              <w:spacing w:line="240" w:lineRule="auto"/>
              <w:jc w:val="center"/>
            </w:pPr>
            <w:r>
              <w:rPr>
                <w:b/>
                <w:bCs/>
                <w:color w:val="303019"/>
              </w:rPr>
              <w:t>výpočet ceny za věcné břemeno</w:t>
            </w:r>
          </w:p>
        </w:tc>
      </w:tr>
      <w:tr w:rsidR="009445E2" w14:paraId="239AD529" w14:textId="77777777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7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55216" w14:textId="77777777" w:rsidR="009445E2" w:rsidRDefault="009445E2">
            <w:pPr>
              <w:framePr w:w="7880" w:h="1836" w:wrap="none" w:vAnchor="page" w:hAnchor="page" w:x="1703" w:y="5920"/>
              <w:rPr>
                <w:sz w:val="10"/>
                <w:szCs w:val="10"/>
              </w:rPr>
            </w:pPr>
          </w:p>
        </w:tc>
      </w:tr>
    </w:tbl>
    <w:p w14:paraId="05F03E18" w14:textId="77777777" w:rsidR="009445E2" w:rsidRDefault="00000000">
      <w:pPr>
        <w:pStyle w:val="Titulektabulky0"/>
        <w:framePr w:wrap="none" w:vAnchor="page" w:hAnchor="page" w:x="1746" w:y="8213"/>
      </w:pPr>
      <w:r>
        <w:t xml:space="preserve">Zóna č.1 </w:t>
      </w:r>
      <w:r>
        <w:rPr>
          <w:lang w:val="en-US" w:eastAsia="en-US" w:bidi="en-US"/>
        </w:rPr>
        <w:t xml:space="preserve">(MO </w:t>
      </w:r>
      <w:r>
        <w:t xml:space="preserve">IV, </w:t>
      </w:r>
      <w:r>
        <w:rPr>
          <w:lang w:val="en-US" w:eastAsia="en-US" w:bidi="en-US"/>
        </w:rPr>
        <w:t xml:space="preserve">MO </w:t>
      </w:r>
      <w:r>
        <w:t xml:space="preserve">VI, </w:t>
      </w:r>
      <w:r>
        <w:rPr>
          <w:lang w:val="en-US" w:eastAsia="en-US" w:bidi="en-US"/>
        </w:rPr>
        <w:t xml:space="preserve">MO </w:t>
      </w:r>
      <w:r>
        <w:t xml:space="preserve">VII, </w:t>
      </w:r>
      <w:r>
        <w:rPr>
          <w:lang w:val="en-US" w:eastAsia="en-US" w:bidi="en-US"/>
        </w:rPr>
        <w:t xml:space="preserve">MO </w:t>
      </w:r>
      <w:r>
        <w:t>Vlil)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5"/>
        <w:gridCol w:w="1174"/>
        <w:gridCol w:w="1951"/>
        <w:gridCol w:w="1998"/>
      </w:tblGrid>
      <w:tr w:rsidR="009445E2" w14:paraId="359F4D10" w14:textId="77777777">
        <w:tblPrEx>
          <w:tblCellMar>
            <w:top w:w="0" w:type="dxa"/>
            <w:bottom w:w="0" w:type="dxa"/>
          </w:tblCellMar>
        </w:tblPrEx>
        <w:trPr>
          <w:trHeight w:hRule="exact" w:val="544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CF707"/>
            <w:vAlign w:val="bottom"/>
          </w:tcPr>
          <w:p w14:paraId="6C8ADB09" w14:textId="77777777" w:rsidR="009445E2" w:rsidRDefault="00000000">
            <w:pPr>
              <w:pStyle w:val="Jin0"/>
              <w:framePr w:w="7888" w:h="1836" w:wrap="none" w:vAnchor="page" w:hAnchor="page" w:x="1703" w:y="8519"/>
              <w:spacing w:line="240" w:lineRule="auto"/>
            </w:pPr>
            <w:r>
              <w:rPr>
                <w:b/>
                <w:bCs/>
              </w:rPr>
              <w:t>druh dotčeného pozemku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CF707"/>
            <w:vAlign w:val="bottom"/>
          </w:tcPr>
          <w:p w14:paraId="2601CA94" w14:textId="77777777" w:rsidR="009445E2" w:rsidRDefault="00000000">
            <w:pPr>
              <w:pStyle w:val="Jin0"/>
              <w:framePr w:w="7888" w:h="1836" w:wrap="none" w:vAnchor="page" w:hAnchor="page" w:x="1703" w:y="8519"/>
              <w:spacing w:line="240" w:lineRule="auto"/>
              <w:jc w:val="center"/>
            </w:pPr>
            <w:r>
              <w:rPr>
                <w:b/>
                <w:bCs/>
                <w:color w:val="303019"/>
              </w:rPr>
              <w:t>cena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shd w:val="clear" w:color="auto" w:fill="FCF707"/>
          </w:tcPr>
          <w:p w14:paraId="2DC54F3B" w14:textId="77777777" w:rsidR="009445E2" w:rsidRDefault="00000000">
            <w:pPr>
              <w:pStyle w:val="Jin0"/>
              <w:framePr w:w="7888" w:h="1836" w:wrap="none" w:vAnchor="page" w:hAnchor="page" w:x="1703" w:y="8519"/>
              <w:spacing w:line="240" w:lineRule="auto"/>
              <w:jc w:val="center"/>
            </w:pPr>
            <w:r>
              <w:rPr>
                <w:b/>
                <w:bCs/>
              </w:rPr>
              <w:t>délka zásahu v běžných metrech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707"/>
          </w:tcPr>
          <w:p w14:paraId="057D5E82" w14:textId="77777777" w:rsidR="009445E2" w:rsidRDefault="00000000">
            <w:pPr>
              <w:pStyle w:val="Jin0"/>
              <w:framePr w:w="7888" w:h="1836" w:wrap="none" w:vAnchor="page" w:hAnchor="page" w:x="1703" w:y="8519"/>
              <w:spacing w:line="240" w:lineRule="auto"/>
              <w:jc w:val="center"/>
            </w:pPr>
            <w:r>
              <w:rPr>
                <w:b/>
                <w:bCs/>
                <w:color w:val="303019"/>
              </w:rPr>
              <w:t>výpočet ceny za věcné břemeno</w:t>
            </w:r>
          </w:p>
        </w:tc>
      </w:tr>
      <w:tr w:rsidR="009445E2" w14:paraId="57B4C15A" w14:textId="77777777">
        <w:tblPrEx>
          <w:tblCellMar>
            <w:top w:w="0" w:type="dxa"/>
            <w:bottom w:w="0" w:type="dxa"/>
          </w:tblCellMar>
        </w:tblPrEx>
        <w:trPr>
          <w:trHeight w:hRule="exact" w:val="1292"/>
        </w:trPr>
        <w:tc>
          <w:tcPr>
            <w:tcW w:w="7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C1C41" w14:textId="77777777" w:rsidR="009445E2" w:rsidRDefault="009445E2">
            <w:pPr>
              <w:framePr w:w="7888" w:h="1836" w:wrap="none" w:vAnchor="page" w:hAnchor="page" w:x="1703" w:y="8519"/>
              <w:rPr>
                <w:sz w:val="10"/>
                <w:szCs w:val="10"/>
              </w:rPr>
            </w:pPr>
          </w:p>
        </w:tc>
      </w:tr>
    </w:tbl>
    <w:p w14:paraId="4C6A8E6F" w14:textId="02E24475" w:rsidR="009445E2" w:rsidRDefault="000F3F16">
      <w:pPr>
        <w:pStyle w:val="Zkladntext40"/>
        <w:framePr w:wrap="none" w:vAnchor="page" w:hAnchor="page" w:x="1682" w:y="10816"/>
        <w:spacing w:after="0" w:line="240" w:lineRule="auto"/>
        <w:ind w:left="25"/>
        <w:rPr>
          <w:sz w:val="24"/>
          <w:szCs w:val="24"/>
        </w:rPr>
      </w:pPr>
      <w:r>
        <w:rPr>
          <w:sz w:val="24"/>
          <w:szCs w:val="24"/>
        </w:rPr>
        <w:t>Celkem</w:t>
      </w:r>
      <w:r w:rsidR="00000000">
        <w:rPr>
          <w:sz w:val="24"/>
          <w:szCs w:val="24"/>
        </w:rPr>
        <w:t xml:space="preserve"> cena za věcné břemeno </w:t>
      </w:r>
      <w:proofErr w:type="gramStart"/>
      <w:r w:rsidR="00000000">
        <w:rPr>
          <w:sz w:val="24"/>
          <w:szCs w:val="24"/>
        </w:rPr>
        <w:t>( bez</w:t>
      </w:r>
      <w:proofErr w:type="gramEnd"/>
      <w:r w:rsidR="00000000">
        <w:rPr>
          <w:sz w:val="24"/>
          <w:szCs w:val="24"/>
        </w:rPr>
        <w:t xml:space="preserve"> DPH)</w:t>
      </w:r>
    </w:p>
    <w:p w14:paraId="2EE71204" w14:textId="5A3F978E" w:rsidR="009445E2" w:rsidRDefault="00000000">
      <w:pPr>
        <w:pStyle w:val="Zkladntext40"/>
        <w:framePr w:w="1235" w:h="306" w:hRule="exact" w:wrap="none" w:vAnchor="page" w:hAnchor="page" w:x="8396" w:y="10827"/>
        <w:spacing w:after="0" w:line="240" w:lineRule="auto"/>
        <w:ind w:right="40"/>
        <w:jc w:val="right"/>
        <w:rPr>
          <w:sz w:val="24"/>
          <w:szCs w:val="24"/>
        </w:rPr>
      </w:pPr>
      <w:r>
        <w:rPr>
          <w:sz w:val="24"/>
          <w:szCs w:val="24"/>
        </w:rPr>
        <w:t>47 080 Kč</w:t>
      </w:r>
    </w:p>
    <w:p w14:paraId="71AAE730" w14:textId="77777777" w:rsidR="009445E2" w:rsidRDefault="009445E2">
      <w:pPr>
        <w:spacing w:line="1" w:lineRule="exact"/>
      </w:pPr>
    </w:p>
    <w:sectPr w:rsidR="009445E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E0B6B" w14:textId="77777777" w:rsidR="001A5BA9" w:rsidRDefault="001A5BA9">
      <w:r>
        <w:separator/>
      </w:r>
    </w:p>
  </w:endnote>
  <w:endnote w:type="continuationSeparator" w:id="0">
    <w:p w14:paraId="3987D4CA" w14:textId="77777777" w:rsidR="001A5BA9" w:rsidRDefault="001A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88866" w14:textId="77777777" w:rsidR="001A5BA9" w:rsidRDefault="001A5BA9"/>
  </w:footnote>
  <w:footnote w:type="continuationSeparator" w:id="0">
    <w:p w14:paraId="0F060CD4" w14:textId="77777777" w:rsidR="001A5BA9" w:rsidRDefault="001A5B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963AF"/>
    <w:multiLevelType w:val="multilevel"/>
    <w:tmpl w:val="D700DBE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E75520"/>
    <w:multiLevelType w:val="multilevel"/>
    <w:tmpl w:val="FFCA80D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C11B06"/>
    <w:multiLevelType w:val="multilevel"/>
    <w:tmpl w:val="F3C6A2E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FB7358"/>
    <w:multiLevelType w:val="multilevel"/>
    <w:tmpl w:val="81DC591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B72211"/>
    <w:multiLevelType w:val="multilevel"/>
    <w:tmpl w:val="1C90433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294474"/>
    <w:multiLevelType w:val="multilevel"/>
    <w:tmpl w:val="8E64102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951331"/>
    <w:multiLevelType w:val="multilevel"/>
    <w:tmpl w:val="092AD2E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AD61CD"/>
    <w:multiLevelType w:val="multilevel"/>
    <w:tmpl w:val="63BCA25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4F06CB"/>
    <w:multiLevelType w:val="multilevel"/>
    <w:tmpl w:val="B2CE133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02075289">
    <w:abstractNumId w:val="6"/>
  </w:num>
  <w:num w:numId="2" w16cid:durableId="1358653291">
    <w:abstractNumId w:val="1"/>
  </w:num>
  <w:num w:numId="3" w16cid:durableId="1917740668">
    <w:abstractNumId w:val="8"/>
  </w:num>
  <w:num w:numId="4" w16cid:durableId="1928809358">
    <w:abstractNumId w:val="5"/>
  </w:num>
  <w:num w:numId="5" w16cid:durableId="1107385228">
    <w:abstractNumId w:val="2"/>
  </w:num>
  <w:num w:numId="6" w16cid:durableId="1430740012">
    <w:abstractNumId w:val="3"/>
  </w:num>
  <w:num w:numId="7" w16cid:durableId="1975869132">
    <w:abstractNumId w:val="4"/>
  </w:num>
  <w:num w:numId="8" w16cid:durableId="655450689">
    <w:abstractNumId w:val="0"/>
  </w:num>
  <w:num w:numId="9" w16cid:durableId="4424569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5E2"/>
    <w:rsid w:val="000F3F16"/>
    <w:rsid w:val="001A5BA9"/>
    <w:rsid w:val="00582472"/>
    <w:rsid w:val="0094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AE585"/>
  <w15:docId w15:val="{3D781FD8-DE1B-46BD-B655-202A163F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BD2532"/>
      <w:u w:val="none"/>
    </w:rPr>
  </w:style>
  <w:style w:type="paragraph" w:customStyle="1" w:styleId="Zhlavnebozpat0">
    <w:name w:val="Záhlaví nebo zápatí"/>
    <w:basedOn w:val="Normln"/>
    <w:link w:val="Zhlavnebozpat"/>
    <w:rPr>
      <w:rFonts w:ascii="Calibri" w:eastAsia="Calibri" w:hAnsi="Calibri" w:cs="Calibri"/>
      <w:sz w:val="20"/>
      <w:szCs w:val="2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pacing w:line="262" w:lineRule="auto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ind w:firstLine="560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Jin0">
    <w:name w:val="Jiné"/>
    <w:basedOn w:val="Normln"/>
    <w:link w:val="Jin"/>
    <w:pPr>
      <w:spacing w:line="262" w:lineRule="auto"/>
    </w:pPr>
    <w:rPr>
      <w:rFonts w:ascii="Calibri" w:eastAsia="Calibri" w:hAnsi="Calibri" w:cs="Calibri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ind w:firstLine="110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Calibri" w:eastAsia="Calibri" w:hAnsi="Calibri" w:cs="Calibri"/>
      <w:sz w:val="30"/>
      <w:szCs w:val="30"/>
    </w:rPr>
  </w:style>
  <w:style w:type="paragraph" w:customStyle="1" w:styleId="Zkladntext40">
    <w:name w:val="Základní text (4)"/>
    <w:basedOn w:val="Normln"/>
    <w:link w:val="Zkladntext4"/>
    <w:pPr>
      <w:spacing w:after="240" w:line="247" w:lineRule="auto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color w:val="BD25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1111</Words>
  <Characters>6559</Characters>
  <Application>Microsoft Office Word</Application>
  <DocSecurity>0</DocSecurity>
  <Lines>54</Lines>
  <Paragraphs>15</Paragraphs>
  <ScaleCrop>false</ScaleCrop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Randusová Irena</cp:lastModifiedBy>
  <cp:revision>2</cp:revision>
  <dcterms:created xsi:type="dcterms:W3CDTF">2025-03-31T09:14:00Z</dcterms:created>
  <dcterms:modified xsi:type="dcterms:W3CDTF">2025-03-31T09:16:00Z</dcterms:modified>
</cp:coreProperties>
</file>