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B5B6E" w14:textId="77777777" w:rsidR="0065208A" w:rsidRDefault="0065208A" w:rsidP="00726B26">
      <w:pPr>
        <w:jc w:val="center"/>
        <w:rPr>
          <w:b/>
          <w:sz w:val="36"/>
          <w:szCs w:val="36"/>
        </w:rPr>
      </w:pPr>
    </w:p>
    <w:p w14:paraId="41FF3FEF" w14:textId="77777777" w:rsidR="0065208A" w:rsidRDefault="0065208A" w:rsidP="00726B26">
      <w:pPr>
        <w:jc w:val="center"/>
        <w:rPr>
          <w:b/>
          <w:sz w:val="36"/>
          <w:szCs w:val="36"/>
        </w:rPr>
      </w:pPr>
    </w:p>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14DD0133" w14:textId="77777777" w:rsidR="009B21E0" w:rsidRDefault="009B21E0" w:rsidP="009B21E0">
      <w:pPr>
        <w:suppressAutoHyphens/>
        <w:autoSpaceDE w:val="0"/>
        <w:spacing w:line="240" w:lineRule="auto"/>
        <w:jc w:val="left"/>
      </w:pPr>
      <w:r>
        <w:rPr>
          <w:b/>
          <w:bCs/>
        </w:rPr>
        <w:t>PHOENIX lékárenský velkoobchod, s.r.o.</w:t>
      </w:r>
    </w:p>
    <w:p w14:paraId="7D83C27D" w14:textId="77777777" w:rsidR="009B21E0" w:rsidRDefault="009B21E0" w:rsidP="009B21E0">
      <w:r>
        <w:t>IČO: 45359326</w:t>
      </w:r>
    </w:p>
    <w:p w14:paraId="42C921C2" w14:textId="77777777" w:rsidR="009B21E0" w:rsidRDefault="009B21E0" w:rsidP="009B21E0">
      <w:r>
        <w:t>DIČ: CZ45359326</w:t>
      </w:r>
    </w:p>
    <w:p w14:paraId="3920DC21" w14:textId="77777777" w:rsidR="009B21E0" w:rsidRDefault="009B21E0" w:rsidP="009B21E0">
      <w:r>
        <w:t>se sídlem: K pérovně 945/7, 102 00 Praha 10 - Hostivař</w:t>
      </w:r>
    </w:p>
    <w:p w14:paraId="3CA9B0DC" w14:textId="77777777" w:rsidR="009B21E0" w:rsidRDefault="009B21E0" w:rsidP="009B21E0">
      <w:r>
        <w:t>zastoupena: MUDr. Michaelou Steklou, prokuristkou a Ing. Martinem Pytlíkem, prokuristou</w:t>
      </w:r>
    </w:p>
    <w:p w14:paraId="54F2BDB7" w14:textId="77777777" w:rsidR="009B21E0" w:rsidRDefault="009B21E0" w:rsidP="009B21E0">
      <w:r>
        <w:t>bankovní spojení: Česká spořitelna</w:t>
      </w:r>
    </w:p>
    <w:p w14:paraId="7F64EE7E" w14:textId="77777777" w:rsidR="009B21E0" w:rsidRDefault="009B21E0" w:rsidP="009B21E0">
      <w:r>
        <w:t>číslo účtu: 1054262/0800</w:t>
      </w:r>
    </w:p>
    <w:p w14:paraId="62F78EEC" w14:textId="5DBE89EE" w:rsidR="00726B26" w:rsidRPr="00512AB9" w:rsidRDefault="009B21E0" w:rsidP="00726B26">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A9CA98F"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5829F6">
        <w:t>„</w:t>
      </w:r>
      <w:r w:rsidR="004B0D4B" w:rsidRPr="00861922">
        <w:rPr>
          <w:b/>
        </w:rPr>
        <w:t>Léčivé přípravky s</w:t>
      </w:r>
      <w:r w:rsidR="004B0D4B">
        <w:rPr>
          <w:b/>
        </w:rPr>
        <w:t> KYSELINOU URSODEOXYCHOLOVOU – výdej pro </w:t>
      </w:r>
      <w:r w:rsidR="004B0D4B" w:rsidRPr="00CB737B">
        <w:rPr>
          <w:b/>
        </w:rPr>
        <w:t>veřejnost – část č</w:t>
      </w:r>
      <w:r w:rsidR="004B0D4B" w:rsidRPr="0046291E">
        <w:rPr>
          <w:b/>
        </w:rPr>
        <w:t xml:space="preserve">. </w:t>
      </w:r>
      <w:r w:rsidR="0046291E" w:rsidRPr="0046291E">
        <w:rPr>
          <w:b/>
        </w:rPr>
        <w:t>1</w:t>
      </w:r>
      <w:r w:rsidR="006A6237">
        <w:rPr>
          <w:b/>
        </w:rPr>
        <w:t>“</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BB00070" w:rsidR="00014CFB" w:rsidRDefault="00014CFB" w:rsidP="00E4515A">
      <w:pPr>
        <w:pStyle w:val="Odstavecsmlouvy"/>
      </w:pPr>
      <w:r>
        <w:t xml:space="preserve">Prodávající </w:t>
      </w:r>
      <w:r w:rsidR="00C37DD2">
        <w:t xml:space="preserve">je povinen </w:t>
      </w:r>
      <w:r w:rsidR="003D3584">
        <w:t xml:space="preserve">s odbornou péčí profesionála </w:t>
      </w:r>
      <w:r>
        <w:t>dodávat Kupujícímu Zboží v počtech kusů a</w:t>
      </w:r>
      <w:r w:rsidR="004B0D4B">
        <w:t> </w:t>
      </w:r>
      <w:r>
        <w:t xml:space="preserve">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11B5C027" w14:textId="374D85C6" w:rsidR="009B21E0" w:rsidRDefault="009B21E0" w:rsidP="009B21E0">
      <w:pPr>
        <w:pStyle w:val="Psmenoodstavce"/>
      </w:pPr>
      <w:r>
        <w:t xml:space="preserve">e-mailem na adresu </w:t>
      </w:r>
      <w:hyperlink r:id="rId12" w:history="1">
        <w:proofErr w:type="spellStart"/>
        <w:r w:rsidR="004D566D">
          <w:rPr>
            <w:rStyle w:val="Hypertextovodkaz"/>
          </w:rPr>
          <w:t>xxx</w:t>
        </w:r>
        <w:proofErr w:type="spellEnd"/>
      </w:hyperlink>
    </w:p>
    <w:p w14:paraId="04995D2E" w14:textId="2AB11D84" w:rsidR="009B21E0" w:rsidRDefault="009B21E0" w:rsidP="009B21E0">
      <w:pPr>
        <w:pStyle w:val="Psmenoodstavce"/>
      </w:pPr>
      <w:r>
        <w:t xml:space="preserve">faxem na telefonní číslo </w:t>
      </w:r>
      <w:proofErr w:type="spellStart"/>
      <w:r w:rsidR="004D566D">
        <w:t>xxx</w:t>
      </w:r>
      <w:proofErr w:type="spellEnd"/>
    </w:p>
    <w:p w14:paraId="62F78F15" w14:textId="379B4879" w:rsidR="00014CFB" w:rsidRDefault="009B21E0" w:rsidP="009B21E0">
      <w:pPr>
        <w:pStyle w:val="Psmenoodstavce"/>
      </w:pPr>
      <w:r>
        <w:t xml:space="preserve">v internetovém systému Prodávajícího na adrese </w:t>
      </w:r>
      <w:hyperlink r:id="rId13" w:history="1">
        <w:proofErr w:type="spellStart"/>
        <w:r w:rsidR="004D566D">
          <w:rPr>
            <w:rStyle w:val="Hypertextovodkaz"/>
          </w:rPr>
          <w:t>xxx</w:t>
        </w:r>
        <w:proofErr w:type="spellEnd"/>
      </w:hyperlink>
      <w:r w:rsidR="00014CFB">
        <w:rPr>
          <w:b/>
        </w:rPr>
        <w:t>.</w:t>
      </w:r>
    </w:p>
    <w:p w14:paraId="62F78F16" w14:textId="77777777" w:rsidR="00014CFB" w:rsidRDefault="00014CFB" w:rsidP="00E4515A">
      <w:pPr>
        <w:pStyle w:val="Odstavecsmlouvy"/>
        <w:numPr>
          <w:ilvl w:val="0"/>
          <w:numId w:val="0"/>
        </w:numPr>
        <w:ind w:left="567"/>
      </w:pPr>
    </w:p>
    <w:p w14:paraId="62F78F17" w14:textId="4C425B7D"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4D566D">
        <w:t>xxx</w:t>
      </w:r>
      <w:proofErr w:type="spellEnd"/>
      <w:r w:rsidR="009B21E0" w:rsidRPr="00B617DC">
        <w:t xml:space="preserve">, </w:t>
      </w:r>
      <w:proofErr w:type="spellStart"/>
      <w:r w:rsidR="004D566D">
        <w:t>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669D0C70"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4D566D">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7ECEA945" w14:textId="77777777" w:rsidR="009B21E0" w:rsidRPr="002B77A6" w:rsidRDefault="009B21E0"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4132483C"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1"/>
      </w:r>
      <w:r>
        <w:t>;</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2"/>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5728D884"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proofErr w:type="spellStart"/>
      <w:r w:rsidR="004D566D">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550732AB" w14:textId="77777777" w:rsidR="004D566D" w:rsidRDefault="004D566D" w:rsidP="00E4515A">
      <w:pPr>
        <w:pStyle w:val="Odstavecsmlouvy"/>
        <w:numPr>
          <w:ilvl w:val="0"/>
          <w:numId w:val="0"/>
        </w:numPr>
      </w:pPr>
    </w:p>
    <w:p w14:paraId="102FA77C" w14:textId="77777777" w:rsidR="004D566D" w:rsidRDefault="004D566D"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CA67247"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9B21E0" w:rsidRPr="00B617DC">
        <w:t>a to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657B16B"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3"/>
      </w:r>
      <w:r>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34DA008"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 xml:space="preserve">minimálně </w:t>
      </w:r>
      <w:r w:rsidR="00EB52CA">
        <w:rPr>
          <w:b/>
        </w:rPr>
        <w:t>následujících 6 měsíců</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4"/>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F347297"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w:t>
      </w:r>
      <w:r w:rsidR="004B0D4B">
        <w:t xml:space="preserve"> </w:t>
      </w:r>
      <w:r w:rsidR="004B0D4B" w:rsidRPr="004B0D4B">
        <w:rPr>
          <w:b/>
        </w:rPr>
        <w:t>čtyř</w:t>
      </w:r>
      <w:r w:rsidR="004B0D4B">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466EE0D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4B0D4B">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4B0D4B">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3BE486E4" w14:textId="77777777" w:rsidR="00B85E60" w:rsidRDefault="00B85E60" w:rsidP="00E07B22">
      <w:pPr>
        <w:pStyle w:val="Odstavecsmlouvy"/>
        <w:numPr>
          <w:ilvl w:val="0"/>
          <w:numId w:val="0"/>
        </w:numPr>
        <w:ind w:left="567"/>
      </w:pPr>
    </w:p>
    <w:p w14:paraId="62F78FA5" w14:textId="77777777" w:rsidR="007E416F" w:rsidRDefault="007E416F">
      <w:pPr>
        <w:pStyle w:val="Odstavecsmlouvy"/>
      </w:pPr>
      <w:r>
        <w:lastRenderedPageBreak/>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678"/>
        <w:gridCol w:w="533"/>
        <w:gridCol w:w="4212"/>
      </w:tblGrid>
      <w:tr w:rsidR="004A45B0" w:rsidRPr="00B85E60" w14:paraId="62F78FAD" w14:textId="77777777" w:rsidTr="009B21E0">
        <w:tc>
          <w:tcPr>
            <w:tcW w:w="4678" w:type="dxa"/>
            <w:shd w:val="clear" w:color="auto" w:fill="auto"/>
          </w:tcPr>
          <w:p w14:paraId="62F78FAA" w14:textId="323CEAB3" w:rsidR="004A45B0" w:rsidRPr="00B85E60" w:rsidRDefault="004A45B0" w:rsidP="005B49AA">
            <w:pPr>
              <w:pStyle w:val="slovn"/>
              <w:numPr>
                <w:ilvl w:val="0"/>
                <w:numId w:val="0"/>
              </w:numPr>
              <w:tabs>
                <w:tab w:val="num" w:pos="567"/>
              </w:tabs>
              <w:spacing w:after="0" w:line="280" w:lineRule="atLeast"/>
              <w:jc w:val="left"/>
              <w:rPr>
                <w:sz w:val="22"/>
                <w:szCs w:val="22"/>
              </w:rPr>
            </w:pPr>
            <w:r w:rsidRPr="00B85E60">
              <w:rPr>
                <w:sz w:val="22"/>
                <w:szCs w:val="22"/>
              </w:rPr>
              <w:t>V </w:t>
            </w:r>
            <w:r w:rsidR="009B21E0" w:rsidRPr="00B85E60">
              <w:rPr>
                <w:sz w:val="22"/>
                <w:szCs w:val="22"/>
              </w:rPr>
              <w:t xml:space="preserve">Praze </w:t>
            </w:r>
            <w:r w:rsidRPr="00B85E60">
              <w:rPr>
                <w:sz w:val="22"/>
                <w:szCs w:val="22"/>
              </w:rPr>
              <w:t>dne</w:t>
            </w:r>
            <w:r w:rsidR="00313E42">
              <w:rPr>
                <w:sz w:val="22"/>
                <w:szCs w:val="22"/>
              </w:rPr>
              <w:t xml:space="preserve"> 19. 3. 2025</w:t>
            </w:r>
          </w:p>
        </w:tc>
        <w:tc>
          <w:tcPr>
            <w:tcW w:w="533" w:type="dxa"/>
            <w:shd w:val="clear" w:color="auto" w:fill="auto"/>
          </w:tcPr>
          <w:p w14:paraId="62F78FAB" w14:textId="77777777" w:rsidR="004A45B0" w:rsidRPr="00B85E60"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B85E60" w:rsidRDefault="004A45B0" w:rsidP="005B49AA">
            <w:pPr>
              <w:pStyle w:val="slovn"/>
              <w:numPr>
                <w:ilvl w:val="0"/>
                <w:numId w:val="0"/>
              </w:numPr>
              <w:tabs>
                <w:tab w:val="num" w:pos="567"/>
              </w:tabs>
              <w:spacing w:after="0" w:line="280" w:lineRule="atLeast"/>
              <w:rPr>
                <w:sz w:val="22"/>
                <w:szCs w:val="22"/>
              </w:rPr>
            </w:pPr>
            <w:r w:rsidRPr="00B85E60">
              <w:rPr>
                <w:sz w:val="22"/>
                <w:szCs w:val="22"/>
              </w:rPr>
              <w:t>V Brně dne</w:t>
            </w:r>
          </w:p>
        </w:tc>
      </w:tr>
      <w:tr w:rsidR="004A45B0" w:rsidRPr="00D722DC" w14:paraId="62F78FB6" w14:textId="77777777" w:rsidTr="009B21E0">
        <w:tc>
          <w:tcPr>
            <w:tcW w:w="4678"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533"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9B21E0">
        <w:tc>
          <w:tcPr>
            <w:tcW w:w="4678" w:type="dxa"/>
            <w:tcBorders>
              <w:top w:val="single" w:sz="4" w:space="0" w:color="auto"/>
            </w:tcBorders>
            <w:shd w:val="clear" w:color="auto" w:fill="auto"/>
          </w:tcPr>
          <w:p w14:paraId="2DE899B0" w14:textId="77777777" w:rsidR="009B21E0" w:rsidRPr="00387F82" w:rsidRDefault="009B21E0" w:rsidP="009B21E0">
            <w:pPr>
              <w:pStyle w:val="slovn"/>
              <w:numPr>
                <w:ilvl w:val="0"/>
                <w:numId w:val="0"/>
              </w:numPr>
              <w:ind w:left="601" w:hanging="425"/>
              <w:rPr>
                <w:b/>
                <w:sz w:val="22"/>
                <w:szCs w:val="22"/>
              </w:rPr>
            </w:pPr>
            <w:r w:rsidRPr="00387F82">
              <w:rPr>
                <w:b/>
                <w:sz w:val="22"/>
                <w:szCs w:val="22"/>
              </w:rPr>
              <w:t>PHOENIX lékárenský velkoobchod s.r.o.</w:t>
            </w:r>
          </w:p>
          <w:p w14:paraId="2DCF3E10" w14:textId="77777777" w:rsidR="004A45B0" w:rsidRDefault="009B21E0" w:rsidP="009B21E0">
            <w:pPr>
              <w:pStyle w:val="slovn"/>
              <w:numPr>
                <w:ilvl w:val="0"/>
                <w:numId w:val="0"/>
              </w:numPr>
              <w:tabs>
                <w:tab w:val="num" w:pos="567"/>
              </w:tabs>
              <w:spacing w:after="0" w:line="280" w:lineRule="atLeast"/>
              <w:jc w:val="center"/>
              <w:rPr>
                <w:bCs/>
                <w:sz w:val="22"/>
                <w:szCs w:val="22"/>
              </w:rPr>
            </w:pPr>
            <w:r w:rsidRPr="00387F82">
              <w:rPr>
                <w:bCs/>
                <w:sz w:val="22"/>
                <w:szCs w:val="22"/>
              </w:rPr>
              <w:t xml:space="preserve"> </w:t>
            </w:r>
            <w:r>
              <w:rPr>
                <w:bCs/>
                <w:sz w:val="22"/>
                <w:szCs w:val="22"/>
              </w:rPr>
              <w:t xml:space="preserve">   </w:t>
            </w:r>
            <w:r w:rsidR="00143F24">
              <w:rPr>
                <w:bCs/>
                <w:sz w:val="22"/>
                <w:szCs w:val="22"/>
              </w:rPr>
              <w:t>MUDr. Michaela Steklá, prokuristka</w:t>
            </w:r>
          </w:p>
          <w:p w14:paraId="62F78FB8" w14:textId="04CF58EB" w:rsidR="00143F24" w:rsidRPr="00D722DC" w:rsidRDefault="00143F24" w:rsidP="009B21E0">
            <w:pPr>
              <w:pStyle w:val="slovn"/>
              <w:numPr>
                <w:ilvl w:val="0"/>
                <w:numId w:val="0"/>
              </w:numPr>
              <w:tabs>
                <w:tab w:val="num" w:pos="567"/>
              </w:tabs>
              <w:spacing w:after="0" w:line="280" w:lineRule="atLeast"/>
              <w:jc w:val="center"/>
              <w:rPr>
                <w:sz w:val="22"/>
                <w:szCs w:val="22"/>
              </w:rPr>
            </w:pPr>
            <w:r>
              <w:rPr>
                <w:bCs/>
                <w:sz w:val="22"/>
                <w:szCs w:val="22"/>
              </w:rPr>
              <w:t>Ing. Martin Pytlík, prokurista</w:t>
            </w:r>
          </w:p>
        </w:tc>
        <w:tc>
          <w:tcPr>
            <w:tcW w:w="533"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FD07BE">
          <w:headerReference w:type="default" r:id="rId14"/>
          <w:footerReference w:type="default" r:id="rId15"/>
          <w:headerReference w:type="first" r:id="rId16"/>
          <w:footerReference w:type="first" r:id="rId17"/>
          <w:pgSz w:w="11906" w:h="16838"/>
          <w:pgMar w:top="1417" w:right="926" w:bottom="1417" w:left="900" w:header="709" w:footer="708" w:gutter="0"/>
          <w:cols w:space="708"/>
          <w:titlePg/>
          <w:docGrid w:linePitch="360"/>
        </w:sectPr>
      </w:pPr>
      <w:bookmarkStart w:id="9" w:name="_GoBack"/>
      <w:bookmarkEnd w:id="9"/>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4C9A8566"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1560"/>
        <w:gridCol w:w="1801"/>
        <w:gridCol w:w="1575"/>
        <w:gridCol w:w="1443"/>
        <w:gridCol w:w="1677"/>
      </w:tblGrid>
      <w:tr w:rsidR="5364AA66" w14:paraId="0CF51989" w14:textId="77777777" w:rsidTr="00D231EA">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8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4D566D" w14:paraId="3B999211" w14:textId="77777777" w:rsidTr="00143F24">
        <w:trPr>
          <w:trHeight w:val="300"/>
          <w:jc w:val="center"/>
        </w:trPr>
        <w:tc>
          <w:tcPr>
            <w:tcW w:w="112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AA675AD" w14:textId="6D79A93F"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0097864</w:t>
            </w:r>
          </w:p>
        </w:tc>
        <w:tc>
          <w:tcPr>
            <w:tcW w:w="1560"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757C2290" w14:textId="23762B9F"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URSOSAN</w:t>
            </w:r>
          </w:p>
        </w:tc>
        <w:tc>
          <w:tcPr>
            <w:tcW w:w="1801" w:type="dxa"/>
            <w:tcBorders>
              <w:top w:val="single" w:sz="4" w:space="0" w:color="auto"/>
              <w:left w:val="nil"/>
              <w:bottom w:val="single" w:sz="4" w:space="0" w:color="auto"/>
              <w:right w:val="single" w:sz="4" w:space="0" w:color="auto"/>
            </w:tcBorders>
            <w:shd w:val="clear" w:color="auto" w:fill="auto"/>
            <w:tcMar>
              <w:left w:w="108" w:type="dxa"/>
              <w:right w:w="108" w:type="dxa"/>
            </w:tcMar>
          </w:tcPr>
          <w:p w14:paraId="336489EF" w14:textId="0F0B36E7"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POR CPS DUR 50X250MG</w:t>
            </w:r>
          </w:p>
        </w:tc>
        <w:tc>
          <w:tcPr>
            <w:tcW w:w="15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bottom"/>
          </w:tcPr>
          <w:p w14:paraId="07F48CB4" w14:textId="18C057E3"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443" w:type="dxa"/>
            <w:tcBorders>
              <w:top w:val="single" w:sz="4" w:space="0" w:color="auto"/>
              <w:left w:val="nil"/>
              <w:bottom w:val="single" w:sz="4" w:space="0" w:color="auto"/>
              <w:right w:val="single" w:sz="4" w:space="0" w:color="auto"/>
            </w:tcBorders>
            <w:shd w:val="clear" w:color="auto" w:fill="auto"/>
            <w:tcMar>
              <w:left w:w="108" w:type="dxa"/>
              <w:right w:w="108" w:type="dxa"/>
            </w:tcMar>
            <w:vAlign w:val="bottom"/>
          </w:tcPr>
          <w:p w14:paraId="4967F1BF" w14:textId="7320EE61"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677" w:type="dxa"/>
            <w:tcBorders>
              <w:top w:val="single" w:sz="4" w:space="0" w:color="auto"/>
              <w:left w:val="nil"/>
              <w:bottom w:val="single" w:sz="4" w:space="0" w:color="auto"/>
              <w:right w:val="single" w:sz="4" w:space="0" w:color="auto"/>
            </w:tcBorders>
            <w:shd w:val="clear" w:color="auto" w:fill="auto"/>
            <w:tcMar>
              <w:left w:w="108" w:type="dxa"/>
              <w:right w:w="108" w:type="dxa"/>
            </w:tcMar>
            <w:vAlign w:val="bottom"/>
          </w:tcPr>
          <w:p w14:paraId="48C2D36D" w14:textId="52D0A5EF"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r w:rsidR="004D566D" w14:paraId="7FE6F691" w14:textId="77777777" w:rsidTr="00143F24">
        <w:trPr>
          <w:trHeight w:val="300"/>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0998280" w14:textId="6367F711"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0013808</w:t>
            </w:r>
          </w:p>
        </w:tc>
        <w:tc>
          <w:tcPr>
            <w:tcW w:w="1560" w:type="dxa"/>
            <w:tcBorders>
              <w:top w:val="nil"/>
              <w:left w:val="nil"/>
              <w:bottom w:val="single" w:sz="4" w:space="0" w:color="auto"/>
              <w:right w:val="single" w:sz="4" w:space="0" w:color="auto"/>
            </w:tcBorders>
            <w:shd w:val="clear" w:color="auto" w:fill="auto"/>
            <w:tcMar>
              <w:left w:w="108" w:type="dxa"/>
              <w:right w:w="108" w:type="dxa"/>
            </w:tcMar>
          </w:tcPr>
          <w:p w14:paraId="03E374CF" w14:textId="52604A1F"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URSOSAN</w:t>
            </w:r>
          </w:p>
        </w:tc>
        <w:tc>
          <w:tcPr>
            <w:tcW w:w="1801" w:type="dxa"/>
            <w:tcBorders>
              <w:top w:val="nil"/>
              <w:left w:val="nil"/>
              <w:bottom w:val="single" w:sz="4" w:space="0" w:color="auto"/>
              <w:right w:val="single" w:sz="4" w:space="0" w:color="auto"/>
            </w:tcBorders>
            <w:shd w:val="clear" w:color="auto" w:fill="auto"/>
            <w:tcMar>
              <w:left w:w="108" w:type="dxa"/>
              <w:right w:w="108" w:type="dxa"/>
            </w:tcMar>
          </w:tcPr>
          <w:p w14:paraId="728697AE" w14:textId="03E3AFB9"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POR CPS DUR 100X250MG</w:t>
            </w:r>
          </w:p>
        </w:tc>
        <w:tc>
          <w:tcPr>
            <w:tcW w:w="1575"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6C15A497" w14:textId="4378AEE0"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443" w:type="dxa"/>
            <w:tcBorders>
              <w:top w:val="nil"/>
              <w:left w:val="nil"/>
              <w:bottom w:val="single" w:sz="4" w:space="0" w:color="auto"/>
              <w:right w:val="single" w:sz="4" w:space="0" w:color="auto"/>
            </w:tcBorders>
            <w:shd w:val="clear" w:color="auto" w:fill="auto"/>
            <w:tcMar>
              <w:left w:w="108" w:type="dxa"/>
              <w:right w:w="108" w:type="dxa"/>
            </w:tcMar>
            <w:vAlign w:val="bottom"/>
          </w:tcPr>
          <w:p w14:paraId="332500B8" w14:textId="4F2109A0"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677" w:type="dxa"/>
            <w:tcBorders>
              <w:top w:val="nil"/>
              <w:left w:val="nil"/>
              <w:bottom w:val="single" w:sz="4" w:space="0" w:color="auto"/>
              <w:right w:val="single" w:sz="4" w:space="0" w:color="auto"/>
            </w:tcBorders>
            <w:shd w:val="clear" w:color="auto" w:fill="auto"/>
            <w:tcMar>
              <w:left w:w="108" w:type="dxa"/>
              <w:right w:w="108" w:type="dxa"/>
            </w:tcMar>
            <w:vAlign w:val="bottom"/>
          </w:tcPr>
          <w:p w14:paraId="71D0C97B" w14:textId="636FCF5D"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r w:rsidR="004D566D" w14:paraId="5C56DA30" w14:textId="77777777" w:rsidTr="00143F24">
        <w:trPr>
          <w:trHeight w:val="300"/>
          <w:jc w:val="center"/>
        </w:trPr>
        <w:tc>
          <w:tcPr>
            <w:tcW w:w="112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4200709" w14:textId="31C41801"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0226453</w:t>
            </w:r>
          </w:p>
        </w:tc>
        <w:tc>
          <w:tcPr>
            <w:tcW w:w="1560" w:type="dxa"/>
            <w:tcBorders>
              <w:top w:val="nil"/>
              <w:left w:val="nil"/>
              <w:bottom w:val="single" w:sz="4" w:space="0" w:color="auto"/>
              <w:right w:val="single" w:sz="4" w:space="0" w:color="auto"/>
            </w:tcBorders>
            <w:shd w:val="clear" w:color="auto" w:fill="auto"/>
            <w:tcMar>
              <w:left w:w="108" w:type="dxa"/>
              <w:right w:w="108" w:type="dxa"/>
            </w:tcMar>
          </w:tcPr>
          <w:p w14:paraId="6B92C541" w14:textId="1AADD4E6"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URSOSAN FORTE</w:t>
            </w:r>
          </w:p>
        </w:tc>
        <w:tc>
          <w:tcPr>
            <w:tcW w:w="1801" w:type="dxa"/>
            <w:tcBorders>
              <w:top w:val="nil"/>
              <w:left w:val="nil"/>
              <w:bottom w:val="single" w:sz="4" w:space="0" w:color="auto"/>
              <w:right w:val="single" w:sz="4" w:space="0" w:color="auto"/>
            </w:tcBorders>
            <w:shd w:val="clear" w:color="auto" w:fill="auto"/>
            <w:tcMar>
              <w:left w:w="108" w:type="dxa"/>
              <w:right w:w="108" w:type="dxa"/>
            </w:tcMar>
          </w:tcPr>
          <w:p w14:paraId="7536BDD9" w14:textId="6EAC21EC" w:rsidR="004D566D" w:rsidRPr="0046291E" w:rsidRDefault="004D566D" w:rsidP="004D566D">
            <w:pPr>
              <w:rPr>
                <w:rFonts w:ascii="Times New Roman" w:hAnsi="Times New Roman" w:cs="Times New Roman"/>
                <w:sz w:val="24"/>
                <w:szCs w:val="24"/>
              </w:rPr>
            </w:pPr>
            <w:r w:rsidRPr="0046291E">
              <w:rPr>
                <w:rFonts w:ascii="Times New Roman" w:hAnsi="Times New Roman" w:cs="Times New Roman"/>
                <w:sz w:val="24"/>
                <w:szCs w:val="24"/>
              </w:rPr>
              <w:t>500MG TBL FLM 100</w:t>
            </w:r>
          </w:p>
        </w:tc>
        <w:tc>
          <w:tcPr>
            <w:tcW w:w="1575" w:type="dxa"/>
            <w:tcBorders>
              <w:top w:val="nil"/>
              <w:left w:val="single" w:sz="4" w:space="0" w:color="auto"/>
              <w:bottom w:val="single" w:sz="4" w:space="0" w:color="auto"/>
              <w:right w:val="single" w:sz="4" w:space="0" w:color="auto"/>
            </w:tcBorders>
            <w:shd w:val="clear" w:color="auto" w:fill="auto"/>
            <w:tcMar>
              <w:left w:w="108" w:type="dxa"/>
              <w:right w:w="108" w:type="dxa"/>
            </w:tcMar>
            <w:vAlign w:val="bottom"/>
          </w:tcPr>
          <w:p w14:paraId="5070AA10" w14:textId="454F3287"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443" w:type="dxa"/>
            <w:tcBorders>
              <w:top w:val="nil"/>
              <w:left w:val="nil"/>
              <w:bottom w:val="single" w:sz="4" w:space="0" w:color="auto"/>
              <w:right w:val="single" w:sz="4" w:space="0" w:color="auto"/>
            </w:tcBorders>
            <w:shd w:val="clear" w:color="auto" w:fill="auto"/>
            <w:tcMar>
              <w:left w:w="108" w:type="dxa"/>
              <w:right w:w="108" w:type="dxa"/>
            </w:tcMar>
            <w:vAlign w:val="bottom"/>
          </w:tcPr>
          <w:p w14:paraId="3F2ED0F2" w14:textId="2C8D557B"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c>
          <w:tcPr>
            <w:tcW w:w="1677" w:type="dxa"/>
            <w:tcBorders>
              <w:top w:val="nil"/>
              <w:left w:val="nil"/>
              <w:bottom w:val="single" w:sz="4" w:space="0" w:color="auto"/>
              <w:right w:val="single" w:sz="4" w:space="0" w:color="auto"/>
            </w:tcBorders>
            <w:shd w:val="clear" w:color="auto" w:fill="auto"/>
            <w:tcMar>
              <w:left w:w="108" w:type="dxa"/>
              <w:right w:w="108" w:type="dxa"/>
            </w:tcMar>
            <w:vAlign w:val="bottom"/>
          </w:tcPr>
          <w:p w14:paraId="69ED36D5" w14:textId="7E916970" w:rsidR="004D566D" w:rsidRPr="00143F24" w:rsidRDefault="004D566D" w:rsidP="004D566D">
            <w:pPr>
              <w:jc w:val="right"/>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bl>
    <w:p w14:paraId="218E35D7" w14:textId="3375AF77" w:rsidR="5364AA66" w:rsidRDefault="5364AA66" w:rsidP="5364AA66"/>
    <w:sectPr w:rsidR="5364AA66" w:rsidSect="00657A27">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13E42">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313E42">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 w:id="1">
    <w:p w14:paraId="4109ECFB" w14:textId="671EA8C6" w:rsidR="000E4B53" w:rsidRPr="000E4B53" w:rsidRDefault="000E4B53">
      <w:pPr>
        <w:pStyle w:val="Textpoznpodarou"/>
        <w:rPr>
          <w:sz w:val="16"/>
          <w:szCs w:val="16"/>
        </w:rPr>
      </w:pPr>
      <w:r w:rsidRPr="001D76D3">
        <w:rPr>
          <w:rStyle w:val="Znakapoznpodarou"/>
          <w:sz w:val="16"/>
          <w:szCs w:val="16"/>
        </w:rPr>
        <w:footnoteRef/>
      </w:r>
      <w:r w:rsidRPr="001D76D3">
        <w:rPr>
          <w:sz w:val="16"/>
          <w:szCs w:val="16"/>
        </w:rPr>
        <w:t xml:space="preserve"> Není nutné uvádět v případě, že bude uvedeno na faktuře </w:t>
      </w:r>
      <w:r w:rsidR="00D0651B" w:rsidRPr="001D76D3">
        <w:rPr>
          <w:sz w:val="16"/>
          <w:szCs w:val="16"/>
        </w:rPr>
        <w:t>(</w:t>
      </w:r>
      <w:r w:rsidRPr="001D76D3">
        <w:rPr>
          <w:sz w:val="16"/>
          <w:szCs w:val="16"/>
        </w:rPr>
        <w:t>viz č. VI. 3</w:t>
      </w:r>
      <w:r w:rsidR="00D0651B" w:rsidRPr="001D76D3">
        <w:rPr>
          <w:sz w:val="16"/>
          <w:szCs w:val="16"/>
        </w:rPr>
        <w:t>)</w:t>
      </w:r>
    </w:p>
  </w:footnote>
  <w:footnote w:id="2">
    <w:p w14:paraId="423F1C03" w14:textId="77777777" w:rsidR="00E17D20" w:rsidRPr="000E4B53" w:rsidRDefault="00E17D20" w:rsidP="00E17D20">
      <w:pPr>
        <w:spacing w:before="60" w:line="240" w:lineRule="auto"/>
        <w:rPr>
          <w:rFonts w:asciiTheme="majorHAnsi" w:hAnsiTheme="majorHAnsi"/>
          <w:sz w:val="16"/>
          <w:szCs w:val="16"/>
        </w:rPr>
      </w:pPr>
      <w:r w:rsidRPr="000E4B53">
        <w:rPr>
          <w:rStyle w:val="Znakapoznpodarou"/>
          <w:sz w:val="16"/>
          <w:szCs w:val="16"/>
        </w:rPr>
        <w:footnoteRef/>
      </w:r>
      <w:r w:rsidRPr="000E4B53">
        <w:rPr>
          <w:sz w:val="16"/>
          <w:szCs w:val="16"/>
        </w:rPr>
        <w:t xml:space="preserve"> 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3">
    <w:p w14:paraId="1D3E4418" w14:textId="34440EC1" w:rsidR="000E4B53" w:rsidRDefault="000E4B53">
      <w:pPr>
        <w:pStyle w:val="Textpoznpodarou"/>
      </w:pPr>
      <w:r w:rsidRPr="001D76D3">
        <w:rPr>
          <w:rStyle w:val="Znakapoznpodarou"/>
        </w:rPr>
        <w:footnoteRef/>
      </w:r>
      <w:r w:rsidRPr="001D76D3">
        <w:t xml:space="preserve"> </w:t>
      </w:r>
      <w:r w:rsidRPr="001D76D3">
        <w:rPr>
          <w:sz w:val="16"/>
          <w:szCs w:val="16"/>
        </w:rPr>
        <w:t xml:space="preserve">Není nutné uvádět v případě, že bude uvedeno na Dodacím listu </w:t>
      </w:r>
      <w:r w:rsidR="00D0651B" w:rsidRPr="001D76D3">
        <w:rPr>
          <w:sz w:val="16"/>
          <w:szCs w:val="16"/>
        </w:rPr>
        <w:t>(</w:t>
      </w:r>
      <w:r w:rsidRPr="001D76D3">
        <w:rPr>
          <w:sz w:val="16"/>
          <w:szCs w:val="16"/>
        </w:rPr>
        <w:t>viz č. IV. 5</w:t>
      </w:r>
      <w:r w:rsidR="00D0651B" w:rsidRPr="001D76D3">
        <w:rPr>
          <w:sz w:val="16"/>
          <w:szCs w:val="16"/>
        </w:rPr>
        <w:t>)</w:t>
      </w:r>
    </w:p>
  </w:footnote>
  <w:footnote w:id="4">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0A4BB" w14:textId="77777777" w:rsidR="00657A27" w:rsidRDefault="00657A27" w:rsidP="00657A27">
    <w:pPr>
      <w:pStyle w:val="Zhlav"/>
      <w:jc w:val="right"/>
      <w:rPr>
        <w:bCs/>
        <w:color w:val="000000"/>
        <w:sz w:val="20"/>
        <w:szCs w:val="20"/>
        <w:shd w:val="clear" w:color="auto" w:fill="FFFFFF"/>
      </w:rPr>
    </w:pPr>
    <w:r w:rsidRPr="00F83CC9">
      <w:rPr>
        <w:bCs/>
        <w:color w:val="000000"/>
        <w:sz w:val="20"/>
        <w:szCs w:val="20"/>
        <w:shd w:val="clear" w:color="auto" w:fill="FFFFFF"/>
      </w:rPr>
      <w:t>P24V00000828</w:t>
    </w:r>
  </w:p>
  <w:p w14:paraId="7DCC6382" w14:textId="77777777" w:rsidR="00657A27" w:rsidRPr="00F83CC9" w:rsidRDefault="00657A27" w:rsidP="00657A27">
    <w:pPr>
      <w:pStyle w:val="Zhlav"/>
      <w:jc w:val="right"/>
      <w:rPr>
        <w:sz w:val="20"/>
        <w:szCs w:val="20"/>
      </w:rPr>
    </w:pPr>
    <w:r>
      <w:rPr>
        <w:bCs/>
        <w:color w:val="000000"/>
        <w:sz w:val="20"/>
        <w:szCs w:val="20"/>
        <w:shd w:val="clear" w:color="auto" w:fill="FFFFFF"/>
      </w:rPr>
      <w:t>KP/0903/2025/</w:t>
    </w:r>
    <w:proofErr w:type="spellStart"/>
    <w:r>
      <w:rPr>
        <w:bCs/>
        <w:color w:val="000000"/>
        <w:sz w:val="20"/>
        <w:szCs w:val="20"/>
        <w:shd w:val="clear" w:color="auto" w:fill="FFFFFF"/>
      </w:rPr>
      <w:t>Du</w:t>
    </w:r>
    <w:proofErr w:type="spellEnd"/>
  </w:p>
  <w:p w14:paraId="2800E600" w14:textId="77777777" w:rsidR="00657A27" w:rsidRDefault="00657A2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0D40" w14:textId="735FCA99" w:rsidR="00F83CC9" w:rsidRDefault="00F83CC9" w:rsidP="00F83CC9">
    <w:pPr>
      <w:pStyle w:val="Zhlav"/>
      <w:jc w:val="right"/>
      <w:rPr>
        <w:bCs/>
        <w:color w:val="000000"/>
        <w:sz w:val="20"/>
        <w:szCs w:val="20"/>
        <w:shd w:val="clear" w:color="auto" w:fill="FFFFFF"/>
      </w:rPr>
    </w:pPr>
    <w:r w:rsidRPr="00F83CC9">
      <w:rPr>
        <w:bCs/>
        <w:color w:val="000000"/>
        <w:sz w:val="20"/>
        <w:szCs w:val="20"/>
        <w:shd w:val="clear" w:color="auto" w:fill="FFFFFF"/>
      </w:rPr>
      <w:t>P24V00000828</w:t>
    </w:r>
  </w:p>
  <w:p w14:paraId="754E7D39" w14:textId="55E8B901" w:rsidR="00F83CC9" w:rsidRPr="00F83CC9" w:rsidRDefault="00F83CC9" w:rsidP="00F83CC9">
    <w:pPr>
      <w:pStyle w:val="Zhlav"/>
      <w:jc w:val="right"/>
      <w:rPr>
        <w:sz w:val="20"/>
        <w:szCs w:val="20"/>
      </w:rPr>
    </w:pPr>
    <w:r>
      <w:rPr>
        <w:bCs/>
        <w:color w:val="000000"/>
        <w:sz w:val="20"/>
        <w:szCs w:val="20"/>
        <w:shd w:val="clear" w:color="auto" w:fill="FFFFFF"/>
      </w:rPr>
      <w:t>KP/0903/2025/</w:t>
    </w:r>
    <w:proofErr w:type="spellStart"/>
    <w:r>
      <w:rPr>
        <w:bCs/>
        <w:color w:val="000000"/>
        <w:sz w:val="20"/>
        <w:szCs w:val="20"/>
        <w:shd w:val="clear" w:color="auto" w:fill="FFFFFF"/>
      </w:rP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3F24"/>
    <w:rsid w:val="00145499"/>
    <w:rsid w:val="0014554F"/>
    <w:rsid w:val="00145CD8"/>
    <w:rsid w:val="00150469"/>
    <w:rsid w:val="00150F89"/>
    <w:rsid w:val="0015378B"/>
    <w:rsid w:val="00154976"/>
    <w:rsid w:val="00154ACA"/>
    <w:rsid w:val="00155BC6"/>
    <w:rsid w:val="001604EA"/>
    <w:rsid w:val="001673D6"/>
    <w:rsid w:val="00183B7C"/>
    <w:rsid w:val="001846C6"/>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5789"/>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044DE"/>
    <w:rsid w:val="00312202"/>
    <w:rsid w:val="003133A6"/>
    <w:rsid w:val="00313E42"/>
    <w:rsid w:val="00315115"/>
    <w:rsid w:val="003153B5"/>
    <w:rsid w:val="00320F84"/>
    <w:rsid w:val="003241AA"/>
    <w:rsid w:val="00326042"/>
    <w:rsid w:val="0033048B"/>
    <w:rsid w:val="003371CD"/>
    <w:rsid w:val="003376AD"/>
    <w:rsid w:val="003418F1"/>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291E"/>
    <w:rsid w:val="0046392A"/>
    <w:rsid w:val="00463EC7"/>
    <w:rsid w:val="00465985"/>
    <w:rsid w:val="004672FC"/>
    <w:rsid w:val="004756DA"/>
    <w:rsid w:val="00477DDF"/>
    <w:rsid w:val="004924D3"/>
    <w:rsid w:val="00492818"/>
    <w:rsid w:val="00494744"/>
    <w:rsid w:val="004953EF"/>
    <w:rsid w:val="004A45B0"/>
    <w:rsid w:val="004A7901"/>
    <w:rsid w:val="004B05E8"/>
    <w:rsid w:val="004B0D4B"/>
    <w:rsid w:val="004B1019"/>
    <w:rsid w:val="004C2C98"/>
    <w:rsid w:val="004C679C"/>
    <w:rsid w:val="004C7552"/>
    <w:rsid w:val="004D17A9"/>
    <w:rsid w:val="004D42C2"/>
    <w:rsid w:val="004D4C0D"/>
    <w:rsid w:val="004D566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29F6"/>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208A"/>
    <w:rsid w:val="00653730"/>
    <w:rsid w:val="00654743"/>
    <w:rsid w:val="00657357"/>
    <w:rsid w:val="00657A2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A6237"/>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1050"/>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069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21E0"/>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5E60"/>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1EA"/>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5A3F"/>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91C71"/>
    <w:rsid w:val="00EA0296"/>
    <w:rsid w:val="00EA192F"/>
    <w:rsid w:val="00EA1A12"/>
    <w:rsid w:val="00EA2854"/>
    <w:rsid w:val="00EA4C8B"/>
    <w:rsid w:val="00EB2D15"/>
    <w:rsid w:val="00EB3860"/>
    <w:rsid w:val="00EB52CA"/>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26F7"/>
    <w:rsid w:val="00F43EC4"/>
    <w:rsid w:val="00F45871"/>
    <w:rsid w:val="00F45BDE"/>
    <w:rsid w:val="00F51C8E"/>
    <w:rsid w:val="00F55E3B"/>
    <w:rsid w:val="00F61FD5"/>
    <w:rsid w:val="00F6327E"/>
    <w:rsid w:val="00F7071B"/>
    <w:rsid w:val="00F70BA0"/>
    <w:rsid w:val="00F72C37"/>
    <w:rsid w:val="00F74B4F"/>
    <w:rsid w:val="00F83CC9"/>
    <w:rsid w:val="00F870CA"/>
    <w:rsid w:val="00F87AD3"/>
    <w:rsid w:val="00F91396"/>
    <w:rsid w:val="00F921A1"/>
    <w:rsid w:val="00F93A20"/>
    <w:rsid w:val="00FA41D0"/>
    <w:rsid w:val="00FA78DA"/>
    <w:rsid w:val="00FB23A7"/>
    <w:rsid w:val="00FB3C17"/>
    <w:rsid w:val="00FB4FC8"/>
    <w:rsid w:val="00FB5E19"/>
    <w:rsid w:val="00FC17C4"/>
    <w:rsid w:val="00FD07BE"/>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0D2BEC"/>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4F8527DD"/>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in.phoenix.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bjednavky.brno@phoenix.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7B5B17-2E12-44CD-A2BD-428EF327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3579</Words>
  <Characters>20706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7</cp:revision>
  <cp:lastPrinted>2023-05-20T12:37:00Z</cp:lastPrinted>
  <dcterms:created xsi:type="dcterms:W3CDTF">2024-12-23T11:49:00Z</dcterms:created>
  <dcterms:modified xsi:type="dcterms:W3CDTF">2025-03-27T13:34:00Z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