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911225</wp:posOffset>
            </wp:positionH>
            <wp:positionV relativeFrom="paragraph">
              <wp:posOffset>12700</wp:posOffset>
            </wp:positionV>
            <wp:extent cx="981710" cy="99377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81710" cy="993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929640</wp:posOffset>
            </wp:positionH>
            <wp:positionV relativeFrom="paragraph">
              <wp:posOffset>6666230</wp:posOffset>
            </wp:positionV>
            <wp:extent cx="640080" cy="56070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40080" cy="560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54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Magistrát města Pardubic</w:t>
        <w:br/>
        <w:t>Pernštýnské nám. 1</w:t>
        <w:br/>
        <w:t>Pardubice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PROTOKOL O TECHNICKÉ INFRASTRUKTUŘE</w:t>
        <w:br/>
        <w:t>URČENÉ PRO PŘEVOD DO MAJETKU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 vyhotovení: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12.06.2024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Název stavby: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2860" w:right="0" w:hanging="17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„Tlaková stanice LPG s plnírnou tl. lahví, ul. Průmyslová, Pardubice - Černá za Bory"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předávaného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Předmětem předání a převzetí je tato technická infrastruktura: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 Část komunikace - sjezdu sloužící jako příjezd k tlakové stanici LPG.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Sjezd je přímo napojen na silnici II. třídy, číslo komunikace 355 a křižuje přilehlou cyklostezku. Sjezd byl vybudován na pozemcích označených jako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p.p.č. 669/5, 669/6, 669/7, 491/21, vše v obci Pardubice a v k.ú. Pardubicky,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zapůjčených na základě smlouvy o výpůjčce.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o výpůjčce - V 0450/M04, ze dne 24.03.2020, podléhající usnesení rady ze dne 3.2.2020, č. usn. R/2867/2020 na pozemky označené jako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p.p.č. 669/5 o výměře 8 m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, p.p.č. 669/6 o výměře 20 m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, p.p.č. 669/7 o výměře 70 m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, p.p.č. 491/21 o výměře 24 m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vše v obci Pardubice a v k.ú.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Pardubicky. Úprava stávající cyklotrasy proběhla v ploše 80 m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Kolaudační souhlas s užíváním stavby sp. zn.: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SU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27128/2024/SEN, č.j.: MmP 42950/2024, byl vydán dne 25.03.2024 Magistrátem města Pardubic, Stavebním úřadem.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výše uvedené částí stavby byla předávajícím vyčíslena na částku: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komunikace 243.452, - Kč s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Záruka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poskytovaná předávajícím na předávanou technickou infrastrukturu v rozsahu uvedeném výše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končí dne 22.2.2029.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Předávající: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TOMEGAS s.r.o.,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sídlem Táborská 260, PSČ 399 01 Milevsko, IČO: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251 74 363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Přejímající: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100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653" w:right="1440" w:bottom="573" w:left="1488" w:header="225" w:footer="145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Statutární město Pardubice,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sídlem v Pardubicích, Pernštýnské nám. 1, PSČ 530 21, IČO: 00 27 40 46, zastoupené Odborem dopravy</w:t>
      </w:r>
    </w:p>
    <w:tbl>
      <w:tblPr>
        <w:tblOverlap w:val="never"/>
        <w:jc w:val="left"/>
        <w:tblLayout w:type="fixed"/>
      </w:tblPr>
      <w:tblGrid>
        <w:gridCol w:w="1368"/>
        <w:gridCol w:w="2333"/>
        <w:gridCol w:w="2198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5899" w:h="2578" w:wrap="none" w:vAnchor="text" w:hAnchor="page" w:x="1489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Firma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 a příjmení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předávající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TOMEGAS s.r.o.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Pavel Tomeček</w:t>
            </w:r>
          </w:p>
        </w:tc>
      </w:tr>
      <w:tr>
        <w:trPr>
          <w:trHeight w:val="13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přejímající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město Pardubice</w:t>
            </w:r>
          </w:p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Odbor dopravy (komunikace)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5899" w:h="2578" w:wrap="none" w:vAnchor="text" w:hAnchor="page" w:x="1489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Tomáš Urbánek</w:t>
            </w:r>
          </w:p>
        </w:tc>
      </w:tr>
    </w:tbl>
    <w:p>
      <w:pPr>
        <w:framePr w:w="5899" w:h="2578" w:wrap="none" w:vAnchor="text" w:hAnchor="page" w:x="1489" w:y="21"/>
        <w:widowControl w:val="0"/>
        <w:spacing w:line="1" w:lineRule="exact"/>
      </w:pPr>
    </w:p>
    <w:p>
      <w:pPr>
        <w:pStyle w:val="Style13"/>
        <w:keepNext w:val="0"/>
        <w:keepLines w:val="0"/>
        <w:framePr w:w="1406" w:h="259" w:wrap="none" w:vAnchor="text" w:hAnchor="page" w:x="8257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Podpis a razítko</w:t>
      </w:r>
    </w:p>
    <w:p>
      <w:pPr>
        <w:widowControl w:val="0"/>
        <w:spacing w:line="360" w:lineRule="exact"/>
      </w:pPr>
      <w:r>
        <w:drawing>
          <wp:anchor distT="167640" distB="0" distL="0" distR="0" simplePos="0" relativeHeight="62914690" behindDoc="1" locked="0" layoutInCell="1" allowOverlap="1">
            <wp:simplePos x="0" y="0"/>
            <wp:positionH relativeFrom="page">
              <wp:posOffset>4709160</wp:posOffset>
            </wp:positionH>
            <wp:positionV relativeFrom="paragraph">
              <wp:posOffset>228600</wp:posOffset>
            </wp:positionV>
            <wp:extent cx="2018030" cy="157289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18030" cy="1572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53" w:right="1311" w:bottom="573" w:left="143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30"/>
      <w:szCs w:val="30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character" w:customStyle="1" w:styleId="CharStyle11">
    <w:name w:val="Jiné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character" w:customStyle="1" w:styleId="CharStyle14">
    <w:name w:val="Titulek obrázku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80" w:line="25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160"/>
      <w:ind w:left="1430" w:hanging="8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30"/>
      <w:szCs w:val="30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spacing w:after="240"/>
      <w:jc w:val="center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  <w:spacing w:after="80" w:line="25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  <w:style w:type="paragraph" w:customStyle="1" w:styleId="Style13">
    <w:name w:val="Titulek obrázku"/>
    <w:basedOn w:val="Normal"/>
    <w:link w:val="CharStyle14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D3D3E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