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B5A" w:rsidRPr="00603D77" w:rsidRDefault="00603D77" w:rsidP="00EE3B5A">
      <w:pPr>
        <w:keepNext/>
        <w:suppressLineNumbers/>
        <w:suppressAutoHyphens/>
        <w:spacing w:before="120" w:after="120"/>
        <w:jc w:val="center"/>
        <w:rPr>
          <w:rFonts w:ascii="Arial" w:hAnsi="Arial" w:cs="Arial"/>
          <w:b/>
          <w:sz w:val="28"/>
          <w:szCs w:val="28"/>
        </w:rPr>
      </w:pPr>
      <w:r w:rsidRPr="00603D77">
        <w:rPr>
          <w:rFonts w:ascii="Arial" w:hAnsi="Arial" w:cs="Arial"/>
          <w:b/>
          <w:sz w:val="28"/>
          <w:szCs w:val="28"/>
        </w:rPr>
        <w:t>SMLOUVA O DÍLO</w:t>
      </w:r>
    </w:p>
    <w:p w:rsidR="00EE3B5A" w:rsidRPr="00EE3B5A" w:rsidRDefault="00EE3B5A" w:rsidP="00EE3B5A">
      <w:pPr>
        <w:spacing w:before="120" w:after="120"/>
        <w:jc w:val="center"/>
        <w:rPr>
          <w:rFonts w:ascii="Arial" w:hAnsi="Arial" w:cs="Arial"/>
          <w:sz w:val="22"/>
          <w:szCs w:val="22"/>
        </w:rPr>
      </w:pPr>
      <w:r w:rsidRPr="00EE3B5A">
        <w:rPr>
          <w:rFonts w:ascii="Arial" w:hAnsi="Arial" w:cs="Arial"/>
          <w:sz w:val="22"/>
          <w:szCs w:val="22"/>
        </w:rPr>
        <w:t>(dále jen „smlouva“)</w:t>
      </w:r>
    </w:p>
    <w:p w:rsidR="00EE3B5A" w:rsidRDefault="00EE3B5A" w:rsidP="00EE3B5A">
      <w:pPr>
        <w:spacing w:before="120" w:after="120"/>
        <w:rPr>
          <w:rFonts w:ascii="Arial" w:hAnsi="Arial" w:cs="Arial"/>
          <w:sz w:val="22"/>
          <w:szCs w:val="22"/>
        </w:rPr>
      </w:pPr>
    </w:p>
    <w:p w:rsidR="00EE3B5A" w:rsidRPr="00EE3B5A" w:rsidRDefault="00EE3B5A" w:rsidP="00EE3B5A">
      <w:pPr>
        <w:spacing w:before="120" w:after="120"/>
        <w:rPr>
          <w:rFonts w:ascii="Arial" w:hAnsi="Arial" w:cs="Arial"/>
          <w:sz w:val="22"/>
          <w:szCs w:val="22"/>
        </w:rPr>
      </w:pPr>
      <w:r w:rsidRPr="00EE3B5A">
        <w:rPr>
          <w:rFonts w:ascii="Arial" w:hAnsi="Arial" w:cs="Arial"/>
          <w:sz w:val="22"/>
          <w:szCs w:val="22"/>
        </w:rPr>
        <w:t>číslo</w:t>
      </w:r>
      <w:r w:rsidR="00EB3DC2">
        <w:rPr>
          <w:rFonts w:ascii="Arial" w:hAnsi="Arial" w:cs="Arial"/>
          <w:sz w:val="22"/>
          <w:szCs w:val="22"/>
        </w:rPr>
        <w:t xml:space="preserve"> smlouvy zhotovitele: </w:t>
      </w:r>
      <w:r w:rsidR="00EB3DC2">
        <w:rPr>
          <w:rFonts w:ascii="Arial" w:hAnsi="Arial" w:cs="Arial"/>
          <w:sz w:val="22"/>
          <w:szCs w:val="22"/>
        </w:rPr>
        <w:tab/>
      </w:r>
      <w:r w:rsidR="008E359E">
        <w:rPr>
          <w:rFonts w:ascii="Arial" w:hAnsi="Arial" w:cs="Arial"/>
          <w:sz w:val="22"/>
          <w:szCs w:val="22"/>
        </w:rPr>
        <w:t>3062/2025</w:t>
      </w:r>
    </w:p>
    <w:p w:rsidR="00EE3B5A" w:rsidRPr="00EE3B5A" w:rsidRDefault="00EE3B5A" w:rsidP="00EE3B5A">
      <w:pPr>
        <w:spacing w:before="120" w:after="120"/>
        <w:rPr>
          <w:rFonts w:ascii="Arial" w:hAnsi="Arial" w:cs="Arial"/>
          <w:sz w:val="22"/>
          <w:szCs w:val="22"/>
        </w:rPr>
      </w:pPr>
      <w:r w:rsidRPr="00EE3B5A">
        <w:rPr>
          <w:rFonts w:ascii="Arial" w:hAnsi="Arial" w:cs="Arial"/>
          <w:sz w:val="22"/>
          <w:szCs w:val="22"/>
        </w:rPr>
        <w:t>číslo smlouvy objednatele:    SML/00</w:t>
      </w:r>
      <w:r w:rsidR="00EB3DC2">
        <w:rPr>
          <w:rFonts w:ascii="Arial" w:hAnsi="Arial" w:cs="Arial"/>
          <w:sz w:val="22"/>
          <w:szCs w:val="22"/>
        </w:rPr>
        <w:t>68</w:t>
      </w:r>
      <w:r w:rsidRPr="00EE3B5A">
        <w:rPr>
          <w:rFonts w:ascii="Arial" w:hAnsi="Arial" w:cs="Arial"/>
          <w:sz w:val="22"/>
          <w:szCs w:val="22"/>
        </w:rPr>
        <w:t>/2</w:t>
      </w:r>
      <w:r w:rsidR="00EB3DC2">
        <w:rPr>
          <w:rFonts w:ascii="Arial" w:hAnsi="Arial" w:cs="Arial"/>
          <w:sz w:val="22"/>
          <w:szCs w:val="22"/>
        </w:rPr>
        <w:t>5</w:t>
      </w:r>
    </w:p>
    <w:p w:rsidR="00EE3B5A" w:rsidRPr="00EE3B5A" w:rsidRDefault="00EE3B5A" w:rsidP="00EE3B5A">
      <w:pPr>
        <w:spacing w:before="120" w:after="120"/>
        <w:rPr>
          <w:rFonts w:ascii="Arial" w:hAnsi="Arial" w:cs="Arial"/>
          <w:sz w:val="22"/>
          <w:szCs w:val="22"/>
        </w:rPr>
      </w:pPr>
    </w:p>
    <w:p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rsidTr="00B45C47">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rsidTr="00B45C47">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rsidTr="00B45C47">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rsidTr="00B45C47">
        <w:tc>
          <w:tcPr>
            <w:tcW w:w="2351" w:type="dxa"/>
            <w:shd w:val="clear" w:color="auto" w:fill="auto"/>
          </w:tcPr>
          <w:p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A97403" w:rsidRPr="00A90805" w:rsidTr="00B45C47">
        <w:tc>
          <w:tcPr>
            <w:tcW w:w="2351" w:type="dxa"/>
            <w:shd w:val="clear" w:color="auto" w:fill="auto"/>
          </w:tcPr>
          <w:p w:rsidR="00A97403" w:rsidRPr="00A90805" w:rsidRDefault="00A97403" w:rsidP="004D3A69">
            <w:pPr>
              <w:rPr>
                <w:rFonts w:ascii="Arial" w:hAnsi="Arial" w:cs="Arial"/>
                <w:sz w:val="22"/>
                <w:szCs w:val="22"/>
              </w:rPr>
            </w:pPr>
          </w:p>
        </w:tc>
        <w:tc>
          <w:tcPr>
            <w:tcW w:w="7224" w:type="dxa"/>
            <w:shd w:val="clear" w:color="auto" w:fill="auto"/>
          </w:tcPr>
          <w:p w:rsidR="00A97403" w:rsidRPr="00A90805" w:rsidRDefault="00A97403" w:rsidP="009B2AA6">
            <w:pPr>
              <w:keepLines/>
              <w:rPr>
                <w:rFonts w:ascii="Arial" w:hAnsi="Arial" w:cs="Arial"/>
                <w:sz w:val="22"/>
                <w:szCs w:val="22"/>
              </w:rPr>
            </w:pPr>
            <w:r w:rsidRPr="00A90805">
              <w:rPr>
                <w:rFonts w:ascii="Arial" w:hAnsi="Arial" w:cs="Arial"/>
                <w:sz w:val="22"/>
                <w:szCs w:val="22"/>
              </w:rPr>
              <w:t xml:space="preserve">k podpisu této smlouvy je oprávněn </w:t>
            </w:r>
            <w:r w:rsidR="009B2AA6">
              <w:rPr>
                <w:rFonts w:ascii="Arial" w:hAnsi="Arial" w:cs="Arial"/>
                <w:sz w:val="22"/>
                <w:szCs w:val="22"/>
              </w:rPr>
              <w:t>XXX</w:t>
            </w:r>
          </w:p>
        </w:tc>
      </w:tr>
      <w:tr w:rsidR="00FC1CE3" w:rsidRPr="00A90805" w:rsidTr="00B45C47">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E7084E" w:rsidRPr="00A90805" w:rsidRDefault="00E7084E" w:rsidP="009B2AA6">
            <w:pPr>
              <w:pStyle w:val="Hlavika"/>
              <w:rPr>
                <w:rFonts w:ascii="Arial" w:hAnsi="Arial" w:cs="Arial"/>
                <w:sz w:val="22"/>
                <w:szCs w:val="22"/>
              </w:rPr>
            </w:pPr>
          </w:p>
        </w:tc>
      </w:tr>
      <w:tr w:rsidR="00FC1CE3" w:rsidRPr="00A90805" w:rsidTr="00B45C47">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rsidTr="00B45C47">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rsidTr="00B45C47">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rsidTr="00B45C47">
        <w:tc>
          <w:tcPr>
            <w:tcW w:w="2351"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rsidTr="00B45C47">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FC1CE3" w:rsidRPr="00A90805" w:rsidRDefault="00FC1CE3" w:rsidP="004D3A69">
            <w:pPr>
              <w:rPr>
                <w:rFonts w:ascii="Arial" w:hAnsi="Arial" w:cs="Arial"/>
                <w:sz w:val="22"/>
                <w:szCs w:val="22"/>
              </w:rPr>
            </w:pPr>
          </w:p>
        </w:tc>
      </w:tr>
      <w:tr w:rsidR="00FC1CE3" w:rsidRPr="00A90805" w:rsidTr="00B45C47">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FC1CE3" w:rsidRPr="00A90805" w:rsidTr="00B45C47">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FC1CE3" w:rsidRPr="006910AD" w:rsidRDefault="009B2AA6" w:rsidP="00B45C47">
            <w:pPr>
              <w:rPr>
                <w:rFonts w:ascii="Arial" w:hAnsi="Arial" w:cs="Arial"/>
                <w:color w:val="FF0000"/>
                <w:sz w:val="22"/>
                <w:szCs w:val="22"/>
              </w:rPr>
            </w:pPr>
            <w:r>
              <w:rPr>
                <w:rFonts w:ascii="Arial" w:hAnsi="Arial" w:cs="Arial"/>
                <w:sz w:val="22"/>
                <w:szCs w:val="22"/>
              </w:rPr>
              <w:t>XXX</w:t>
            </w:r>
          </w:p>
        </w:tc>
      </w:tr>
      <w:tr w:rsidR="00FC1CE3" w:rsidRPr="00A90805" w:rsidTr="00B45C47">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C020BD" w:rsidRDefault="009B2AA6" w:rsidP="00B45C47">
            <w:r>
              <w:rPr>
                <w:rFonts w:ascii="Arial" w:hAnsi="Arial" w:cs="Arial"/>
                <w:sz w:val="22"/>
                <w:szCs w:val="22"/>
              </w:rPr>
              <w:t>XXX</w:t>
            </w:r>
          </w:p>
          <w:p w:rsidR="00B45C47" w:rsidRPr="006910AD" w:rsidRDefault="00B45C47" w:rsidP="00B45C47">
            <w:pPr>
              <w:rPr>
                <w:rFonts w:ascii="Arial" w:hAnsi="Arial" w:cs="Arial"/>
                <w:sz w:val="22"/>
                <w:szCs w:val="22"/>
                <w:u w:val="single"/>
              </w:rPr>
            </w:pPr>
          </w:p>
        </w:tc>
      </w:tr>
      <w:tr w:rsidR="00FC1CE3" w:rsidRPr="00A90805" w:rsidTr="00B45C47">
        <w:tc>
          <w:tcPr>
            <w:tcW w:w="2351" w:type="dxa"/>
            <w:shd w:val="clear" w:color="auto" w:fill="auto"/>
          </w:tcPr>
          <w:p w:rsidR="00FC1CE3" w:rsidRPr="00A90805" w:rsidRDefault="00FC1CE3" w:rsidP="004D3A69">
            <w:pPr>
              <w:rPr>
                <w:rFonts w:ascii="Arial" w:hAnsi="Arial" w:cs="Arial"/>
                <w:sz w:val="22"/>
                <w:szCs w:val="22"/>
              </w:rPr>
            </w:pPr>
          </w:p>
        </w:tc>
        <w:tc>
          <w:tcPr>
            <w:tcW w:w="7224" w:type="dxa"/>
            <w:shd w:val="clear" w:color="auto" w:fill="auto"/>
          </w:tcPr>
          <w:p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rsidTr="00B45C47">
        <w:tc>
          <w:tcPr>
            <w:tcW w:w="2351" w:type="dxa"/>
            <w:shd w:val="clear" w:color="auto" w:fill="auto"/>
          </w:tcPr>
          <w:p w:rsidR="00C020BD" w:rsidRPr="00A90805" w:rsidRDefault="00C020BD" w:rsidP="004D3A69">
            <w:pPr>
              <w:rPr>
                <w:rFonts w:ascii="Arial" w:hAnsi="Arial" w:cs="Arial"/>
                <w:sz w:val="22"/>
                <w:szCs w:val="22"/>
              </w:rPr>
            </w:pPr>
          </w:p>
        </w:tc>
        <w:tc>
          <w:tcPr>
            <w:tcW w:w="7224" w:type="dxa"/>
            <w:shd w:val="clear" w:color="auto" w:fill="auto"/>
          </w:tcPr>
          <w:p w:rsidR="00C020BD" w:rsidRPr="00A90805" w:rsidRDefault="00C020BD" w:rsidP="00C020BD">
            <w:pPr>
              <w:jc w:val="right"/>
              <w:rPr>
                <w:rFonts w:ascii="Arial" w:hAnsi="Arial" w:cs="Arial"/>
                <w:b/>
                <w:sz w:val="22"/>
                <w:szCs w:val="22"/>
              </w:rPr>
            </w:pPr>
          </w:p>
        </w:tc>
      </w:tr>
    </w:tbl>
    <w:p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rsidR="00FC1CE3" w:rsidRDefault="00FC1CE3" w:rsidP="004D3A69">
      <w:pPr>
        <w:rPr>
          <w:b/>
        </w:rPr>
      </w:pPr>
    </w:p>
    <w:tbl>
      <w:tblPr>
        <w:tblW w:w="0" w:type="auto"/>
        <w:tblLook w:val="04A0" w:firstRow="1" w:lastRow="0" w:firstColumn="1" w:lastColumn="0" w:noHBand="0" w:noVBand="1"/>
      </w:tblPr>
      <w:tblGrid>
        <w:gridCol w:w="2321"/>
        <w:gridCol w:w="7038"/>
      </w:tblGrid>
      <w:tr w:rsidR="00FC1CE3" w:rsidRPr="00B54E68" w:rsidTr="00962908">
        <w:tc>
          <w:tcPr>
            <w:tcW w:w="2352" w:type="dxa"/>
            <w:shd w:val="clear" w:color="auto" w:fill="auto"/>
          </w:tcPr>
          <w:p w:rsidR="00FC1CE3" w:rsidRPr="00B54E68" w:rsidRDefault="00FC1CE3" w:rsidP="004D3A69">
            <w:pPr>
              <w:rPr>
                <w:rFonts w:ascii="Arial" w:hAnsi="Arial" w:cs="Arial"/>
                <w:b/>
                <w:sz w:val="22"/>
                <w:szCs w:val="22"/>
              </w:rPr>
            </w:pPr>
            <w:r w:rsidRPr="00B54E68">
              <w:rPr>
                <w:rFonts w:ascii="Arial" w:hAnsi="Arial" w:cs="Arial"/>
                <w:b/>
                <w:sz w:val="22"/>
                <w:szCs w:val="22"/>
              </w:rPr>
              <w:t>Zhotovitel:</w:t>
            </w:r>
            <w:r w:rsidRPr="00B54E68">
              <w:rPr>
                <w:rFonts w:ascii="Arial" w:hAnsi="Arial" w:cs="Arial"/>
                <w:b/>
                <w:sz w:val="22"/>
                <w:szCs w:val="22"/>
              </w:rPr>
              <w:tab/>
            </w:r>
          </w:p>
        </w:tc>
        <w:tc>
          <w:tcPr>
            <w:tcW w:w="7223" w:type="dxa"/>
            <w:shd w:val="clear" w:color="auto" w:fill="auto"/>
          </w:tcPr>
          <w:p w:rsidR="00FC1CE3" w:rsidRPr="00B54E68" w:rsidRDefault="00B54E68" w:rsidP="00B54E68">
            <w:pPr>
              <w:rPr>
                <w:rFonts w:ascii="Arial" w:hAnsi="Arial" w:cs="Arial"/>
                <w:sz w:val="22"/>
                <w:szCs w:val="22"/>
              </w:rPr>
            </w:pPr>
            <w:r w:rsidRPr="00B54E68">
              <w:rPr>
                <w:rFonts w:ascii="Arial" w:hAnsi="Arial" w:cs="Arial"/>
                <w:sz w:val="22"/>
                <w:szCs w:val="22"/>
              </w:rPr>
              <w:t>Inženýrské stavby Brno, spol. s r.o.</w:t>
            </w:r>
          </w:p>
        </w:tc>
      </w:tr>
      <w:tr w:rsidR="00FC1CE3" w:rsidRPr="00B54E68" w:rsidTr="00962908">
        <w:tc>
          <w:tcPr>
            <w:tcW w:w="2352" w:type="dxa"/>
            <w:shd w:val="clear" w:color="auto" w:fill="auto"/>
          </w:tcPr>
          <w:p w:rsidR="00FC1CE3" w:rsidRPr="00B54E68" w:rsidRDefault="00FC1CE3" w:rsidP="004D3A69">
            <w:pPr>
              <w:rPr>
                <w:rFonts w:ascii="Arial" w:hAnsi="Arial" w:cs="Arial"/>
                <w:sz w:val="22"/>
                <w:szCs w:val="22"/>
              </w:rPr>
            </w:pPr>
            <w:r w:rsidRPr="00B54E68">
              <w:rPr>
                <w:rFonts w:ascii="Arial" w:hAnsi="Arial" w:cs="Arial"/>
                <w:sz w:val="22"/>
                <w:szCs w:val="22"/>
              </w:rPr>
              <w:t>Sídlo:</w:t>
            </w:r>
          </w:p>
        </w:tc>
        <w:tc>
          <w:tcPr>
            <w:tcW w:w="7223" w:type="dxa"/>
            <w:shd w:val="clear" w:color="auto" w:fill="auto"/>
          </w:tcPr>
          <w:p w:rsidR="00FC1CE3" w:rsidRPr="00B54E68" w:rsidRDefault="00B54E68" w:rsidP="00B54E68">
            <w:pPr>
              <w:rPr>
                <w:rFonts w:ascii="Arial" w:hAnsi="Arial" w:cs="Arial"/>
                <w:sz w:val="22"/>
                <w:szCs w:val="22"/>
              </w:rPr>
            </w:pPr>
            <w:r w:rsidRPr="00B54E68">
              <w:rPr>
                <w:rFonts w:ascii="Arial" w:hAnsi="Arial" w:cs="Arial"/>
                <w:sz w:val="22"/>
                <w:szCs w:val="22"/>
              </w:rPr>
              <w:t>Brno – Medlánky, Hudcova 588/70b, PSČ 62100</w:t>
            </w:r>
          </w:p>
        </w:tc>
      </w:tr>
      <w:tr w:rsidR="00FC1CE3" w:rsidRPr="00B54E68" w:rsidTr="00962908">
        <w:tc>
          <w:tcPr>
            <w:tcW w:w="2352" w:type="dxa"/>
            <w:shd w:val="clear" w:color="auto" w:fill="auto"/>
          </w:tcPr>
          <w:p w:rsidR="00FC1CE3" w:rsidRPr="00B54E68" w:rsidRDefault="00FC1CE3" w:rsidP="004D3A69">
            <w:pPr>
              <w:rPr>
                <w:rFonts w:ascii="Arial" w:hAnsi="Arial" w:cs="Arial"/>
                <w:sz w:val="22"/>
                <w:szCs w:val="22"/>
              </w:rPr>
            </w:pPr>
          </w:p>
        </w:tc>
        <w:tc>
          <w:tcPr>
            <w:tcW w:w="7223" w:type="dxa"/>
            <w:shd w:val="clear" w:color="auto" w:fill="auto"/>
          </w:tcPr>
          <w:p w:rsidR="00FC1CE3" w:rsidRPr="00B54E68" w:rsidRDefault="004D3A69" w:rsidP="00B54E68">
            <w:pPr>
              <w:rPr>
                <w:rFonts w:ascii="Arial" w:hAnsi="Arial" w:cs="Arial"/>
                <w:sz w:val="22"/>
                <w:szCs w:val="22"/>
              </w:rPr>
            </w:pPr>
            <w:r w:rsidRPr="00B54E68">
              <w:rPr>
                <w:rFonts w:ascii="Arial" w:hAnsi="Arial" w:cs="Arial"/>
                <w:sz w:val="22"/>
                <w:szCs w:val="22"/>
              </w:rPr>
              <w:t xml:space="preserve">společnost zapsaná u </w:t>
            </w:r>
            <w:r w:rsidR="00B54E68" w:rsidRPr="00B54E68">
              <w:rPr>
                <w:rFonts w:ascii="Arial" w:hAnsi="Arial" w:cs="Arial"/>
                <w:sz w:val="22"/>
                <w:szCs w:val="22"/>
              </w:rPr>
              <w:t>Krajského soudu v Brně</w:t>
            </w:r>
            <w:r w:rsidR="00FC1CE3" w:rsidRPr="00B54E68">
              <w:rPr>
                <w:rFonts w:ascii="Arial" w:hAnsi="Arial" w:cs="Arial"/>
                <w:sz w:val="22"/>
                <w:szCs w:val="22"/>
              </w:rPr>
              <w:t xml:space="preserve">, oddíl </w:t>
            </w:r>
            <w:r w:rsidR="00B54E68" w:rsidRPr="00B54E68">
              <w:rPr>
                <w:rFonts w:ascii="Arial" w:hAnsi="Arial" w:cs="Arial"/>
                <w:sz w:val="22"/>
                <w:szCs w:val="22"/>
              </w:rPr>
              <w:t>C, vložka 2209</w:t>
            </w:r>
          </w:p>
        </w:tc>
      </w:tr>
      <w:tr w:rsidR="00FC1CE3" w:rsidRPr="00B54E68" w:rsidTr="00962908">
        <w:tc>
          <w:tcPr>
            <w:tcW w:w="2352" w:type="dxa"/>
            <w:shd w:val="clear" w:color="auto" w:fill="auto"/>
          </w:tcPr>
          <w:p w:rsidR="00FC1CE3" w:rsidRPr="00B54E68" w:rsidRDefault="00FC1CE3" w:rsidP="004D3A69">
            <w:pPr>
              <w:rPr>
                <w:rFonts w:ascii="Arial" w:hAnsi="Arial" w:cs="Arial"/>
                <w:sz w:val="22"/>
                <w:szCs w:val="22"/>
              </w:rPr>
            </w:pPr>
            <w:r w:rsidRPr="00B54E68">
              <w:rPr>
                <w:rFonts w:ascii="Arial" w:hAnsi="Arial" w:cs="Arial"/>
                <w:sz w:val="22"/>
                <w:szCs w:val="22"/>
              </w:rPr>
              <w:t xml:space="preserve">Zastoupený:               </w:t>
            </w:r>
          </w:p>
        </w:tc>
        <w:tc>
          <w:tcPr>
            <w:tcW w:w="7223" w:type="dxa"/>
            <w:shd w:val="clear" w:color="auto" w:fill="auto"/>
          </w:tcPr>
          <w:p w:rsidR="00FC1CE3" w:rsidRPr="00B54E68" w:rsidRDefault="00B54E68" w:rsidP="004D3A69">
            <w:pPr>
              <w:rPr>
                <w:rFonts w:ascii="Arial" w:hAnsi="Arial" w:cs="Arial"/>
                <w:sz w:val="22"/>
                <w:szCs w:val="22"/>
              </w:rPr>
            </w:pPr>
            <w:r w:rsidRPr="00B54E68">
              <w:rPr>
                <w:rFonts w:ascii="Arial" w:hAnsi="Arial" w:cs="Arial"/>
                <w:sz w:val="22"/>
                <w:szCs w:val="22"/>
              </w:rPr>
              <w:t xml:space="preserve">Jiřím </w:t>
            </w:r>
            <w:proofErr w:type="spellStart"/>
            <w:r w:rsidRPr="00B54E68">
              <w:rPr>
                <w:rFonts w:ascii="Arial" w:hAnsi="Arial" w:cs="Arial"/>
                <w:sz w:val="22"/>
                <w:szCs w:val="22"/>
              </w:rPr>
              <w:t>Lutonským</w:t>
            </w:r>
            <w:proofErr w:type="spellEnd"/>
            <w:r w:rsidRPr="00B54E68">
              <w:rPr>
                <w:rFonts w:ascii="Arial" w:hAnsi="Arial" w:cs="Arial"/>
                <w:sz w:val="22"/>
                <w:szCs w:val="22"/>
              </w:rPr>
              <w:t>, jednatelem</w:t>
            </w:r>
          </w:p>
        </w:tc>
      </w:tr>
      <w:tr w:rsidR="00FC1CE3" w:rsidRPr="00B54E68" w:rsidTr="00962908">
        <w:tc>
          <w:tcPr>
            <w:tcW w:w="2352" w:type="dxa"/>
            <w:shd w:val="clear" w:color="auto" w:fill="auto"/>
          </w:tcPr>
          <w:p w:rsidR="00FC1CE3" w:rsidRPr="00B54E68" w:rsidRDefault="00FC1CE3" w:rsidP="004D3A69">
            <w:pPr>
              <w:rPr>
                <w:rFonts w:ascii="Arial" w:hAnsi="Arial" w:cs="Arial"/>
                <w:sz w:val="22"/>
                <w:szCs w:val="22"/>
              </w:rPr>
            </w:pPr>
          </w:p>
        </w:tc>
        <w:tc>
          <w:tcPr>
            <w:tcW w:w="7223" w:type="dxa"/>
            <w:shd w:val="clear" w:color="auto" w:fill="auto"/>
          </w:tcPr>
          <w:p w:rsidR="00FC1CE3" w:rsidRPr="00B54E68" w:rsidRDefault="00FC1CE3" w:rsidP="004D3A69">
            <w:pPr>
              <w:rPr>
                <w:rFonts w:ascii="Arial" w:hAnsi="Arial" w:cs="Arial"/>
                <w:sz w:val="22"/>
                <w:szCs w:val="22"/>
              </w:rPr>
            </w:pPr>
          </w:p>
        </w:tc>
      </w:tr>
      <w:tr w:rsidR="00FC1CE3" w:rsidRPr="00B54E68" w:rsidTr="00962908">
        <w:tc>
          <w:tcPr>
            <w:tcW w:w="2352" w:type="dxa"/>
            <w:shd w:val="clear" w:color="auto" w:fill="auto"/>
          </w:tcPr>
          <w:p w:rsidR="00FC1CE3" w:rsidRPr="00B54E68" w:rsidRDefault="00FC1CE3" w:rsidP="004D3A69">
            <w:pPr>
              <w:rPr>
                <w:rFonts w:ascii="Arial" w:hAnsi="Arial" w:cs="Arial"/>
                <w:sz w:val="22"/>
                <w:szCs w:val="22"/>
              </w:rPr>
            </w:pPr>
            <w:r w:rsidRPr="00B54E68">
              <w:rPr>
                <w:rFonts w:ascii="Arial" w:hAnsi="Arial" w:cs="Arial"/>
                <w:sz w:val="22"/>
                <w:szCs w:val="22"/>
              </w:rPr>
              <w:t>IČO:</w:t>
            </w:r>
          </w:p>
        </w:tc>
        <w:tc>
          <w:tcPr>
            <w:tcW w:w="7223" w:type="dxa"/>
            <w:shd w:val="clear" w:color="auto" w:fill="auto"/>
          </w:tcPr>
          <w:p w:rsidR="00FC1CE3" w:rsidRPr="00B54E68" w:rsidRDefault="00B54E68" w:rsidP="004D3A69">
            <w:pPr>
              <w:rPr>
                <w:rFonts w:ascii="Arial" w:hAnsi="Arial" w:cs="Arial"/>
                <w:sz w:val="22"/>
                <w:szCs w:val="22"/>
              </w:rPr>
            </w:pPr>
            <w:r w:rsidRPr="00B54E68">
              <w:rPr>
                <w:rFonts w:ascii="Arial" w:hAnsi="Arial" w:cs="Arial"/>
                <w:sz w:val="22"/>
                <w:szCs w:val="22"/>
              </w:rPr>
              <w:t>416 01 645</w:t>
            </w:r>
          </w:p>
        </w:tc>
      </w:tr>
      <w:tr w:rsidR="00FC1CE3" w:rsidRPr="00B54E68" w:rsidTr="00962908">
        <w:tc>
          <w:tcPr>
            <w:tcW w:w="2352" w:type="dxa"/>
            <w:shd w:val="clear" w:color="auto" w:fill="auto"/>
          </w:tcPr>
          <w:p w:rsidR="00FC1CE3" w:rsidRPr="00B54E68" w:rsidRDefault="00FC1CE3" w:rsidP="004D3A69">
            <w:pPr>
              <w:rPr>
                <w:rFonts w:ascii="Arial" w:hAnsi="Arial" w:cs="Arial"/>
                <w:sz w:val="22"/>
                <w:szCs w:val="22"/>
              </w:rPr>
            </w:pPr>
            <w:r w:rsidRPr="00B54E68">
              <w:rPr>
                <w:rFonts w:ascii="Arial" w:hAnsi="Arial" w:cs="Arial"/>
                <w:sz w:val="22"/>
                <w:szCs w:val="22"/>
              </w:rPr>
              <w:t>DIČ:</w:t>
            </w:r>
          </w:p>
        </w:tc>
        <w:tc>
          <w:tcPr>
            <w:tcW w:w="7223" w:type="dxa"/>
            <w:shd w:val="clear" w:color="auto" w:fill="auto"/>
          </w:tcPr>
          <w:p w:rsidR="00FC1CE3" w:rsidRPr="00B54E68" w:rsidRDefault="00FC1CE3" w:rsidP="00B54E68">
            <w:pPr>
              <w:rPr>
                <w:rFonts w:ascii="Arial" w:hAnsi="Arial" w:cs="Arial"/>
                <w:sz w:val="22"/>
                <w:szCs w:val="22"/>
              </w:rPr>
            </w:pPr>
            <w:r w:rsidRPr="00B54E68">
              <w:rPr>
                <w:rFonts w:ascii="Arial" w:hAnsi="Arial" w:cs="Arial"/>
                <w:sz w:val="22"/>
                <w:szCs w:val="22"/>
              </w:rPr>
              <w:t>CZ</w:t>
            </w:r>
            <w:r w:rsidR="00B54E68" w:rsidRPr="00B54E68">
              <w:rPr>
                <w:rFonts w:ascii="Arial" w:hAnsi="Arial" w:cs="Arial"/>
                <w:sz w:val="22"/>
                <w:szCs w:val="22"/>
              </w:rPr>
              <w:t>41601645</w:t>
            </w:r>
          </w:p>
        </w:tc>
      </w:tr>
      <w:tr w:rsidR="00FC1CE3" w:rsidRPr="00B54E68" w:rsidTr="00962908">
        <w:tc>
          <w:tcPr>
            <w:tcW w:w="2352" w:type="dxa"/>
            <w:shd w:val="clear" w:color="auto" w:fill="auto"/>
          </w:tcPr>
          <w:p w:rsidR="00FC1CE3" w:rsidRPr="00B54E68" w:rsidRDefault="00FC1CE3" w:rsidP="004D3A69">
            <w:pPr>
              <w:rPr>
                <w:rFonts w:ascii="Arial" w:hAnsi="Arial" w:cs="Arial"/>
                <w:sz w:val="22"/>
                <w:szCs w:val="22"/>
              </w:rPr>
            </w:pPr>
            <w:r w:rsidRPr="00B54E68">
              <w:rPr>
                <w:rFonts w:ascii="Arial" w:hAnsi="Arial" w:cs="Arial"/>
                <w:sz w:val="22"/>
                <w:szCs w:val="22"/>
              </w:rPr>
              <w:t>Bankovní spojení:</w:t>
            </w:r>
          </w:p>
        </w:tc>
        <w:tc>
          <w:tcPr>
            <w:tcW w:w="7223" w:type="dxa"/>
            <w:shd w:val="clear" w:color="auto" w:fill="auto"/>
          </w:tcPr>
          <w:p w:rsidR="00FC1CE3" w:rsidRPr="00B54E68" w:rsidRDefault="009B2AA6" w:rsidP="00B54E68">
            <w:pPr>
              <w:rPr>
                <w:rFonts w:ascii="Arial" w:hAnsi="Arial" w:cs="Arial"/>
                <w:sz w:val="22"/>
                <w:szCs w:val="22"/>
              </w:rPr>
            </w:pPr>
            <w:r>
              <w:rPr>
                <w:rFonts w:ascii="Arial" w:hAnsi="Arial" w:cs="Arial"/>
                <w:sz w:val="22"/>
                <w:szCs w:val="22"/>
              </w:rPr>
              <w:t>XXX</w:t>
            </w:r>
          </w:p>
        </w:tc>
      </w:tr>
      <w:tr w:rsidR="00FC1CE3" w:rsidRPr="00B54E68" w:rsidTr="00962908">
        <w:tc>
          <w:tcPr>
            <w:tcW w:w="2352" w:type="dxa"/>
            <w:shd w:val="clear" w:color="auto" w:fill="auto"/>
          </w:tcPr>
          <w:p w:rsidR="00FC1CE3" w:rsidRPr="00B54E68" w:rsidRDefault="00FC1CE3" w:rsidP="004D3A69">
            <w:pPr>
              <w:rPr>
                <w:rFonts w:ascii="Arial" w:hAnsi="Arial" w:cs="Arial"/>
                <w:sz w:val="22"/>
                <w:szCs w:val="22"/>
              </w:rPr>
            </w:pPr>
            <w:r w:rsidRPr="00B54E68">
              <w:rPr>
                <w:rFonts w:ascii="Arial" w:hAnsi="Arial" w:cs="Arial"/>
                <w:sz w:val="22"/>
                <w:szCs w:val="22"/>
              </w:rPr>
              <w:t>číslo účtu:</w:t>
            </w:r>
            <w:r w:rsidRPr="00B54E68">
              <w:rPr>
                <w:rFonts w:ascii="Arial" w:hAnsi="Arial" w:cs="Arial"/>
                <w:sz w:val="22"/>
                <w:szCs w:val="22"/>
              </w:rPr>
              <w:tab/>
            </w:r>
          </w:p>
        </w:tc>
        <w:tc>
          <w:tcPr>
            <w:tcW w:w="7223" w:type="dxa"/>
            <w:shd w:val="clear" w:color="auto" w:fill="auto"/>
          </w:tcPr>
          <w:p w:rsidR="00FC1CE3" w:rsidRPr="00B54E68" w:rsidRDefault="009B2AA6" w:rsidP="004D3A69">
            <w:pPr>
              <w:rPr>
                <w:rFonts w:ascii="Arial" w:hAnsi="Arial" w:cs="Arial"/>
                <w:sz w:val="22"/>
                <w:szCs w:val="22"/>
              </w:rPr>
            </w:pPr>
            <w:r>
              <w:rPr>
                <w:rFonts w:ascii="Arial" w:hAnsi="Arial" w:cs="Arial"/>
                <w:sz w:val="22"/>
                <w:szCs w:val="22"/>
              </w:rPr>
              <w:t>XXX</w:t>
            </w:r>
          </w:p>
        </w:tc>
      </w:tr>
      <w:tr w:rsidR="00FC1CE3" w:rsidRPr="00B54E68" w:rsidTr="00962908">
        <w:tc>
          <w:tcPr>
            <w:tcW w:w="2352" w:type="dxa"/>
            <w:shd w:val="clear" w:color="auto" w:fill="auto"/>
          </w:tcPr>
          <w:p w:rsidR="00FC1CE3" w:rsidRPr="00B54E68" w:rsidRDefault="00FC1CE3" w:rsidP="004D3A69">
            <w:pPr>
              <w:rPr>
                <w:rFonts w:ascii="Arial" w:hAnsi="Arial" w:cs="Arial"/>
                <w:sz w:val="22"/>
                <w:szCs w:val="22"/>
              </w:rPr>
            </w:pPr>
          </w:p>
        </w:tc>
        <w:tc>
          <w:tcPr>
            <w:tcW w:w="7223" w:type="dxa"/>
            <w:shd w:val="clear" w:color="auto" w:fill="auto"/>
          </w:tcPr>
          <w:p w:rsidR="00FC1CE3" w:rsidRPr="00B54E68" w:rsidRDefault="00FC1CE3" w:rsidP="004D3A69">
            <w:pPr>
              <w:rPr>
                <w:rFonts w:ascii="Arial" w:hAnsi="Arial" w:cs="Arial"/>
                <w:sz w:val="22"/>
                <w:szCs w:val="22"/>
              </w:rPr>
            </w:pPr>
          </w:p>
        </w:tc>
      </w:tr>
      <w:tr w:rsidR="00FC1CE3" w:rsidRPr="00B54E68" w:rsidTr="00962908">
        <w:tc>
          <w:tcPr>
            <w:tcW w:w="2352" w:type="dxa"/>
            <w:shd w:val="clear" w:color="auto" w:fill="auto"/>
          </w:tcPr>
          <w:p w:rsidR="00FC1CE3" w:rsidRPr="00B54E68" w:rsidRDefault="00FC1CE3" w:rsidP="004D3A69">
            <w:pPr>
              <w:rPr>
                <w:rFonts w:ascii="Arial" w:hAnsi="Arial" w:cs="Arial"/>
                <w:sz w:val="22"/>
                <w:szCs w:val="22"/>
              </w:rPr>
            </w:pPr>
          </w:p>
        </w:tc>
        <w:tc>
          <w:tcPr>
            <w:tcW w:w="7223" w:type="dxa"/>
            <w:shd w:val="clear" w:color="auto" w:fill="auto"/>
          </w:tcPr>
          <w:p w:rsidR="00FC1CE3" w:rsidRPr="00B54E68" w:rsidRDefault="00FC1CE3" w:rsidP="004D3A69">
            <w:pPr>
              <w:rPr>
                <w:rFonts w:ascii="Arial" w:hAnsi="Arial" w:cs="Arial"/>
                <w:sz w:val="22"/>
                <w:szCs w:val="22"/>
              </w:rPr>
            </w:pPr>
            <w:r w:rsidRPr="00B54E68">
              <w:rPr>
                <w:rFonts w:ascii="Arial" w:hAnsi="Arial" w:cs="Arial"/>
                <w:sz w:val="22"/>
                <w:szCs w:val="22"/>
              </w:rPr>
              <w:t>ve věcech technických jsou oprávněni jednat:</w:t>
            </w:r>
          </w:p>
        </w:tc>
      </w:tr>
      <w:tr w:rsidR="00FC1CE3" w:rsidRPr="00B54E68" w:rsidTr="00962908">
        <w:tc>
          <w:tcPr>
            <w:tcW w:w="2352" w:type="dxa"/>
            <w:shd w:val="clear" w:color="auto" w:fill="auto"/>
          </w:tcPr>
          <w:p w:rsidR="00FC1CE3" w:rsidRPr="00B54E68" w:rsidRDefault="00FC1CE3" w:rsidP="004D3A69">
            <w:pPr>
              <w:rPr>
                <w:rFonts w:ascii="Arial" w:hAnsi="Arial" w:cs="Arial"/>
                <w:sz w:val="22"/>
                <w:szCs w:val="22"/>
              </w:rPr>
            </w:pPr>
          </w:p>
        </w:tc>
        <w:tc>
          <w:tcPr>
            <w:tcW w:w="7223" w:type="dxa"/>
            <w:shd w:val="clear" w:color="auto" w:fill="auto"/>
          </w:tcPr>
          <w:p w:rsidR="00FC1CE3" w:rsidRPr="00B54E68" w:rsidRDefault="009B2AA6" w:rsidP="00B54E68">
            <w:pPr>
              <w:rPr>
                <w:rFonts w:ascii="Arial" w:hAnsi="Arial" w:cs="Arial"/>
                <w:sz w:val="22"/>
                <w:szCs w:val="22"/>
              </w:rPr>
            </w:pPr>
            <w:r>
              <w:rPr>
                <w:rFonts w:ascii="Arial" w:hAnsi="Arial" w:cs="Arial"/>
                <w:sz w:val="22"/>
                <w:szCs w:val="22"/>
              </w:rPr>
              <w:t>XXX</w:t>
            </w:r>
          </w:p>
        </w:tc>
      </w:tr>
      <w:tr w:rsidR="00FC1CE3" w:rsidRPr="00B54E68" w:rsidTr="00962908">
        <w:tc>
          <w:tcPr>
            <w:tcW w:w="2352" w:type="dxa"/>
            <w:shd w:val="clear" w:color="auto" w:fill="auto"/>
          </w:tcPr>
          <w:p w:rsidR="00FC1CE3" w:rsidRPr="00B54E68" w:rsidRDefault="00FC1CE3" w:rsidP="004D3A69">
            <w:pPr>
              <w:rPr>
                <w:rFonts w:ascii="Arial" w:hAnsi="Arial" w:cs="Arial"/>
                <w:sz w:val="22"/>
                <w:szCs w:val="22"/>
              </w:rPr>
            </w:pPr>
          </w:p>
        </w:tc>
        <w:tc>
          <w:tcPr>
            <w:tcW w:w="7223" w:type="dxa"/>
            <w:shd w:val="clear" w:color="auto" w:fill="auto"/>
          </w:tcPr>
          <w:p w:rsidR="00FC1CE3" w:rsidRPr="00B54E68" w:rsidRDefault="009B2AA6" w:rsidP="00B54E68">
            <w:pPr>
              <w:rPr>
                <w:rFonts w:ascii="Arial" w:hAnsi="Arial" w:cs="Arial"/>
                <w:sz w:val="22"/>
                <w:szCs w:val="22"/>
                <w:u w:val="single"/>
              </w:rPr>
            </w:pPr>
            <w:r>
              <w:rPr>
                <w:rFonts w:ascii="Arial" w:hAnsi="Arial" w:cs="Arial"/>
                <w:sz w:val="22"/>
                <w:szCs w:val="22"/>
              </w:rPr>
              <w:t>XXX</w:t>
            </w:r>
            <w:r w:rsidR="00B54E68" w:rsidRPr="00B54E68">
              <w:rPr>
                <w:rFonts w:ascii="Arial" w:hAnsi="Arial" w:cs="Arial"/>
                <w:sz w:val="22"/>
                <w:szCs w:val="22"/>
              </w:rPr>
              <w:t xml:space="preserve"> </w:t>
            </w:r>
          </w:p>
        </w:tc>
      </w:tr>
      <w:tr w:rsidR="00264A67" w:rsidRPr="00B54E68" w:rsidTr="00962908">
        <w:tc>
          <w:tcPr>
            <w:tcW w:w="2352" w:type="dxa"/>
            <w:shd w:val="clear" w:color="auto" w:fill="auto"/>
          </w:tcPr>
          <w:p w:rsidR="00264A67" w:rsidRPr="00B54E68" w:rsidRDefault="00264A67" w:rsidP="004D3A69">
            <w:pPr>
              <w:rPr>
                <w:rFonts w:ascii="Arial" w:hAnsi="Arial" w:cs="Arial"/>
                <w:sz w:val="22"/>
                <w:szCs w:val="22"/>
              </w:rPr>
            </w:pPr>
          </w:p>
        </w:tc>
        <w:tc>
          <w:tcPr>
            <w:tcW w:w="7223" w:type="dxa"/>
            <w:shd w:val="clear" w:color="auto" w:fill="auto"/>
          </w:tcPr>
          <w:p w:rsidR="00264A67" w:rsidRPr="00B54E68" w:rsidRDefault="00264A67" w:rsidP="00C020BD">
            <w:pPr>
              <w:jc w:val="right"/>
              <w:rPr>
                <w:rFonts w:ascii="Arial" w:hAnsi="Arial" w:cs="Arial"/>
                <w:b/>
                <w:sz w:val="22"/>
                <w:szCs w:val="22"/>
              </w:rPr>
            </w:pPr>
            <w:r w:rsidRPr="00B54E68">
              <w:rPr>
                <w:rFonts w:ascii="Arial" w:hAnsi="Arial" w:cs="Arial"/>
                <w:b/>
                <w:sz w:val="22"/>
                <w:szCs w:val="22"/>
              </w:rPr>
              <w:t>(„zhotovitel“)</w:t>
            </w:r>
          </w:p>
        </w:tc>
      </w:tr>
      <w:tr w:rsidR="00C020BD" w:rsidRPr="00B54E68" w:rsidTr="00962908">
        <w:tc>
          <w:tcPr>
            <w:tcW w:w="2352" w:type="dxa"/>
            <w:shd w:val="clear" w:color="auto" w:fill="auto"/>
          </w:tcPr>
          <w:p w:rsidR="00C020BD" w:rsidRPr="00B54E68" w:rsidRDefault="00C020BD" w:rsidP="004D3A69">
            <w:pPr>
              <w:rPr>
                <w:rFonts w:ascii="Arial" w:hAnsi="Arial" w:cs="Arial"/>
                <w:sz w:val="22"/>
                <w:szCs w:val="22"/>
              </w:rPr>
            </w:pPr>
          </w:p>
          <w:p w:rsidR="00C020BD" w:rsidRPr="00B54E68" w:rsidRDefault="00C020BD" w:rsidP="004D3A69">
            <w:pPr>
              <w:rPr>
                <w:rFonts w:ascii="Arial" w:hAnsi="Arial" w:cs="Arial"/>
                <w:sz w:val="22"/>
                <w:szCs w:val="22"/>
              </w:rPr>
            </w:pPr>
          </w:p>
        </w:tc>
        <w:tc>
          <w:tcPr>
            <w:tcW w:w="7223" w:type="dxa"/>
            <w:shd w:val="clear" w:color="auto" w:fill="auto"/>
          </w:tcPr>
          <w:p w:rsidR="00C020BD" w:rsidRPr="00B54E68" w:rsidRDefault="00C020BD" w:rsidP="00C020BD">
            <w:pPr>
              <w:jc w:val="right"/>
              <w:rPr>
                <w:rFonts w:ascii="Arial" w:hAnsi="Arial" w:cs="Arial"/>
                <w:b/>
                <w:sz w:val="22"/>
                <w:szCs w:val="22"/>
              </w:rPr>
            </w:pPr>
          </w:p>
        </w:tc>
      </w:tr>
    </w:tbl>
    <w:p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rsidR="00A6320F" w:rsidRPr="00A90805" w:rsidRDefault="00A6320F" w:rsidP="00C020BD">
      <w:pPr>
        <w:jc w:val="center"/>
        <w:rPr>
          <w:rFonts w:ascii="Arial" w:hAnsi="Arial" w:cs="Arial"/>
          <w:b/>
          <w:sz w:val="22"/>
          <w:szCs w:val="22"/>
        </w:rPr>
      </w:pPr>
    </w:p>
    <w:p w:rsidR="00A6320F" w:rsidRPr="00A90805" w:rsidRDefault="00C020BD" w:rsidP="00A6320F">
      <w:pPr>
        <w:tabs>
          <w:tab w:val="num" w:pos="284"/>
        </w:tabs>
        <w:ind w:left="284" w:hanging="284"/>
        <w:jc w:val="center"/>
        <w:rPr>
          <w:rFonts w:ascii="Arial" w:hAnsi="Arial" w:cs="Arial"/>
          <w:b/>
          <w:sz w:val="22"/>
          <w:szCs w:val="22"/>
        </w:rPr>
      </w:pPr>
      <w:r w:rsidRPr="00A90805">
        <w:rPr>
          <w:rFonts w:ascii="Arial" w:hAnsi="Arial" w:cs="Arial"/>
          <w:b/>
          <w:sz w:val="22"/>
          <w:szCs w:val="22"/>
        </w:rPr>
        <w:t>„</w:t>
      </w:r>
      <w:r w:rsidR="00F25241">
        <w:rPr>
          <w:rFonts w:ascii="Arial" w:hAnsi="Arial" w:cs="Arial"/>
          <w:b/>
          <w:sz w:val="22"/>
          <w:szCs w:val="22"/>
        </w:rPr>
        <w:t>Brno, Taussigova I – oprava vodovodu</w:t>
      </w:r>
      <w:r w:rsidR="00A6320F" w:rsidRPr="00A90805">
        <w:rPr>
          <w:rFonts w:ascii="Arial" w:hAnsi="Arial" w:cs="Arial"/>
          <w:b/>
          <w:sz w:val="22"/>
          <w:szCs w:val="22"/>
        </w:rPr>
        <w:t>“.</w:t>
      </w:r>
    </w:p>
    <w:p w:rsidR="007C2CBA" w:rsidRPr="00A90805" w:rsidRDefault="007C2CBA" w:rsidP="00A6320F">
      <w:pPr>
        <w:tabs>
          <w:tab w:val="num" w:pos="284"/>
        </w:tabs>
        <w:ind w:left="284" w:hanging="284"/>
        <w:jc w:val="center"/>
        <w:rPr>
          <w:rFonts w:ascii="Arial" w:hAnsi="Arial" w:cs="Arial"/>
          <w:b/>
          <w:sz w:val="22"/>
          <w:szCs w:val="22"/>
        </w:rPr>
      </w:pPr>
    </w:p>
    <w:p w:rsidR="00FC1CE3" w:rsidRDefault="00FC1CE3" w:rsidP="007E5709">
      <w:pPr>
        <w:rPr>
          <w:rFonts w:ascii="Arial" w:hAnsi="Arial" w:cs="Arial"/>
          <w:sz w:val="22"/>
          <w:szCs w:val="22"/>
        </w:rPr>
      </w:pPr>
      <w:r w:rsidRPr="00A90805">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Pr="00A90805">
        <w:rPr>
          <w:rFonts w:ascii="Arial" w:hAnsi="Arial" w:cs="Arial"/>
          <w:sz w:val="22"/>
          <w:szCs w:val="22"/>
        </w:rPr>
        <w:t>, a technickou mapu statutárního města Brna (dokumentace geodetického zaměření bude předána ve čtyřech vyhotoveních a na čtyřech CD ve tvaru DGN pro MICROSTATION</w:t>
      </w:r>
      <w:r w:rsidRPr="000D372E">
        <w:rPr>
          <w:rFonts w:ascii="Arial" w:hAnsi="Arial" w:cs="Arial"/>
          <w:sz w:val="22"/>
          <w:szCs w:val="22"/>
        </w:rPr>
        <w:t>). Rozsah realizované obnovy komunikačních ploch bude dokladován v digitální podobě pomocí programu EZA (dokumentace</w:t>
      </w:r>
      <w:r w:rsidRPr="00A90805">
        <w:rPr>
          <w:rFonts w:ascii="Arial" w:hAnsi="Arial" w:cs="Arial"/>
          <w:sz w:val="22"/>
          <w:szCs w:val="22"/>
        </w:rPr>
        <w:t xml:space="preserve"> bude předána ve dvou vyhotoveních a na dvou CD. Zhotovitel se zavazuje shora uvedené doklady předat objednateli při předání dokončeného díla.</w:t>
      </w:r>
    </w:p>
    <w:p w:rsidR="00051A68" w:rsidRPr="00A90805" w:rsidRDefault="00051A68" w:rsidP="007E5709">
      <w:pPr>
        <w:rPr>
          <w:rFonts w:ascii="Arial" w:hAnsi="Arial" w:cs="Arial"/>
          <w:i/>
          <w:color w:val="FF0000"/>
          <w:sz w:val="22"/>
          <w:szCs w:val="22"/>
        </w:rPr>
      </w:pPr>
    </w:p>
    <w:p w:rsidR="00FC1CE3" w:rsidRPr="00A90805" w:rsidRDefault="00FC1CE3" w:rsidP="00FC1CE3">
      <w:pPr>
        <w:ind w:left="284"/>
        <w:rPr>
          <w:rFonts w:ascii="Arial" w:hAnsi="Arial" w:cs="Arial"/>
          <w:i/>
          <w:color w:val="FF0000"/>
          <w:sz w:val="22"/>
          <w:szCs w:val="22"/>
        </w:rPr>
      </w:pPr>
    </w:p>
    <w:p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A6320F" w:rsidRPr="00A90805"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Pr="00A90805">
        <w:rPr>
          <w:rFonts w:ascii="Arial" w:hAnsi="Arial" w:cs="Arial"/>
          <w:sz w:val="22"/>
          <w:szCs w:val="22"/>
        </w:rPr>
        <w:t>projektové dokumentace pro stavební povolení a provádění stavby vypracované</w:t>
      </w:r>
      <w:r w:rsidR="000F248E" w:rsidRPr="00A90805">
        <w:rPr>
          <w:rFonts w:ascii="Arial" w:hAnsi="Arial" w:cs="Arial"/>
          <w:sz w:val="22"/>
          <w:szCs w:val="22"/>
        </w:rPr>
        <w:t xml:space="preserve"> </w:t>
      </w:r>
      <w:r w:rsidR="00C020BD" w:rsidRPr="00A90805">
        <w:rPr>
          <w:rFonts w:ascii="Arial" w:hAnsi="Arial" w:cs="Arial"/>
          <w:sz w:val="22"/>
          <w:szCs w:val="22"/>
        </w:rPr>
        <w:t xml:space="preserve">společností </w:t>
      </w:r>
      <w:r w:rsidR="001707DE">
        <w:rPr>
          <w:rFonts w:ascii="Arial" w:hAnsi="Arial" w:cs="Arial"/>
          <w:sz w:val="22"/>
          <w:szCs w:val="22"/>
        </w:rPr>
        <w:t>JV PROJEKT VH s.r.o</w:t>
      </w:r>
      <w:r w:rsidR="001707DE" w:rsidRPr="001707DE">
        <w:rPr>
          <w:rFonts w:ascii="Arial" w:hAnsi="Arial" w:cs="Arial"/>
          <w:sz w:val="22"/>
          <w:szCs w:val="22"/>
        </w:rPr>
        <w:t xml:space="preserve">. </w:t>
      </w:r>
      <w:r w:rsidR="00FC1CE3" w:rsidRPr="001707DE">
        <w:rPr>
          <w:rFonts w:ascii="Arial" w:hAnsi="Arial" w:cs="Arial"/>
          <w:color w:val="000000"/>
          <w:sz w:val="22"/>
          <w:szCs w:val="22"/>
        </w:rPr>
        <w:t>v</w:t>
      </w:r>
      <w:r w:rsidR="001707DE" w:rsidRPr="001707DE">
        <w:rPr>
          <w:rFonts w:ascii="Arial" w:hAnsi="Arial" w:cs="Arial"/>
          <w:color w:val="000000"/>
          <w:sz w:val="22"/>
          <w:szCs w:val="22"/>
        </w:rPr>
        <w:t> prosinci 2024</w:t>
      </w:r>
      <w:r w:rsidR="00C020BD" w:rsidRPr="001707DE">
        <w:rPr>
          <w:rFonts w:ascii="Arial" w:hAnsi="Arial" w:cs="Arial"/>
          <w:color w:val="000000"/>
          <w:sz w:val="22"/>
          <w:szCs w:val="22"/>
        </w:rPr>
        <w:t>,</w:t>
      </w:r>
      <w:r w:rsidR="00C020BD" w:rsidRPr="00A90805">
        <w:rPr>
          <w:rFonts w:ascii="Arial" w:hAnsi="Arial" w:cs="Arial"/>
          <w:color w:val="000000"/>
          <w:sz w:val="22"/>
          <w:szCs w:val="22"/>
        </w:rPr>
        <w:t xml:space="preserve"> v souladu s nabídkou na zhotovení díla </w:t>
      </w:r>
      <w:r w:rsidR="00C020BD" w:rsidRPr="001707DE">
        <w:rPr>
          <w:rFonts w:ascii="Arial" w:hAnsi="Arial" w:cs="Arial"/>
          <w:color w:val="000000"/>
          <w:sz w:val="22"/>
          <w:szCs w:val="22"/>
        </w:rPr>
        <w:t>ze dne</w:t>
      </w:r>
      <w:r w:rsidR="000B6F5C">
        <w:rPr>
          <w:rFonts w:ascii="Arial" w:hAnsi="Arial" w:cs="Arial"/>
          <w:color w:val="000000"/>
          <w:sz w:val="22"/>
          <w:szCs w:val="22"/>
        </w:rPr>
        <w:t xml:space="preserve"> 20. 2. 2025</w:t>
      </w:r>
      <w:r w:rsidR="004F07C5">
        <w:rPr>
          <w:rFonts w:ascii="Arial" w:hAnsi="Arial" w:cs="Arial"/>
          <w:color w:val="000000"/>
          <w:sz w:val="22"/>
          <w:szCs w:val="22"/>
        </w:rPr>
        <w:t>,</w:t>
      </w:r>
      <w:r w:rsidR="000B6F5C">
        <w:rPr>
          <w:rFonts w:ascii="Arial" w:hAnsi="Arial" w:cs="Arial"/>
          <w:color w:val="000000"/>
          <w:sz w:val="22"/>
          <w:szCs w:val="22"/>
        </w:rPr>
        <w:t xml:space="preserve"> </w:t>
      </w:r>
      <w:r w:rsidR="0054791B">
        <w:rPr>
          <w:rFonts w:ascii="Arial" w:hAnsi="Arial" w:cs="Arial"/>
          <w:color w:val="000000"/>
          <w:sz w:val="22"/>
          <w:szCs w:val="22"/>
        </w:rPr>
        <w:t xml:space="preserve">v souladu s časovým a finančním harmonogramem </w:t>
      </w:r>
      <w:r w:rsidR="00C020BD" w:rsidRPr="00A90805">
        <w:rPr>
          <w:rFonts w:ascii="Arial" w:hAnsi="Arial" w:cs="Arial"/>
          <w:color w:val="000000"/>
          <w:sz w:val="22"/>
          <w:szCs w:val="22"/>
        </w:rPr>
        <w:t>a v rozsahu a za podmínek dále ujednaných v této smlouvě.</w:t>
      </w:r>
    </w:p>
    <w:p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Místem plnění </w:t>
      </w:r>
      <w:r w:rsidR="00FC1CE3" w:rsidRPr="007E6A9F">
        <w:rPr>
          <w:rFonts w:ascii="Arial" w:hAnsi="Arial" w:cs="Arial"/>
          <w:sz w:val="22"/>
          <w:szCs w:val="22"/>
        </w:rPr>
        <w:t xml:space="preserve">je </w:t>
      </w:r>
      <w:r w:rsidR="007E6A9F" w:rsidRPr="007E6A9F">
        <w:rPr>
          <w:rFonts w:ascii="Arial" w:hAnsi="Arial" w:cs="Arial"/>
          <w:sz w:val="22"/>
          <w:szCs w:val="22"/>
        </w:rPr>
        <w:t xml:space="preserve">Brno, ulice Taussigova, </w:t>
      </w:r>
      <w:proofErr w:type="spellStart"/>
      <w:proofErr w:type="gramStart"/>
      <w:r w:rsidR="007E6A9F" w:rsidRPr="007E6A9F">
        <w:rPr>
          <w:rFonts w:ascii="Arial" w:hAnsi="Arial" w:cs="Arial"/>
          <w:sz w:val="22"/>
          <w:szCs w:val="22"/>
        </w:rPr>
        <w:t>k.ú</w:t>
      </w:r>
      <w:proofErr w:type="spellEnd"/>
      <w:r w:rsidR="007E6A9F" w:rsidRPr="007E6A9F">
        <w:rPr>
          <w:rFonts w:ascii="Arial" w:hAnsi="Arial" w:cs="Arial"/>
          <w:sz w:val="22"/>
          <w:szCs w:val="22"/>
        </w:rPr>
        <w:t>.</w:t>
      </w:r>
      <w:proofErr w:type="gramEnd"/>
      <w:r w:rsidR="007E6A9F" w:rsidRPr="007E6A9F">
        <w:rPr>
          <w:rFonts w:ascii="Arial" w:hAnsi="Arial" w:cs="Arial"/>
          <w:sz w:val="22"/>
          <w:szCs w:val="22"/>
        </w:rPr>
        <w:t xml:space="preserve"> Židenice</w:t>
      </w:r>
      <w:r w:rsidR="001F4468" w:rsidRPr="007E6A9F">
        <w:rPr>
          <w:rFonts w:ascii="Arial" w:hAnsi="Arial" w:cs="Arial"/>
          <w:sz w:val="22"/>
          <w:szCs w:val="22"/>
        </w:rPr>
        <w:t xml:space="preserve">, </w:t>
      </w:r>
      <w:proofErr w:type="spellStart"/>
      <w:proofErr w:type="gramStart"/>
      <w:r w:rsidR="007E6A9F" w:rsidRPr="007E6A9F">
        <w:rPr>
          <w:rFonts w:ascii="Arial" w:hAnsi="Arial" w:cs="Arial"/>
          <w:sz w:val="22"/>
          <w:szCs w:val="22"/>
        </w:rPr>
        <w:t>p.č</w:t>
      </w:r>
      <w:proofErr w:type="spellEnd"/>
      <w:r w:rsidR="007E6A9F" w:rsidRPr="007E6A9F">
        <w:rPr>
          <w:rFonts w:ascii="Arial" w:hAnsi="Arial" w:cs="Arial"/>
          <w:sz w:val="22"/>
          <w:szCs w:val="22"/>
        </w:rPr>
        <w:t>.</w:t>
      </w:r>
      <w:proofErr w:type="gramEnd"/>
      <w:r w:rsidR="007E6A9F" w:rsidRPr="007E6A9F">
        <w:rPr>
          <w:rFonts w:ascii="Arial" w:hAnsi="Arial" w:cs="Arial"/>
          <w:sz w:val="22"/>
          <w:szCs w:val="22"/>
        </w:rPr>
        <w:t xml:space="preserve"> 6147.</w:t>
      </w:r>
    </w:p>
    <w:p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rsidR="009F26DE" w:rsidRPr="009F26DE" w:rsidRDefault="009F26DE" w:rsidP="009F26DE">
      <w:pPr>
        <w:pStyle w:val="Nadpis2"/>
        <w:rPr>
          <w:rFonts w:ascii="Arial" w:hAnsi="Arial" w:cs="Arial"/>
          <w:sz w:val="22"/>
          <w:szCs w:val="22"/>
        </w:rPr>
      </w:pPr>
      <w:r w:rsidRPr="009F26DE">
        <w:rPr>
          <w:rFonts w:ascii="Arial" w:hAnsi="Arial" w:cs="Arial"/>
          <w:sz w:val="22"/>
          <w:szCs w:val="22"/>
        </w:rPr>
        <w:t xml:space="preserve">Zhotovitel se zavazuje realizovat </w:t>
      </w:r>
      <w:r>
        <w:rPr>
          <w:rFonts w:ascii="Arial" w:hAnsi="Arial" w:cs="Arial"/>
          <w:sz w:val="22"/>
          <w:szCs w:val="22"/>
        </w:rPr>
        <w:t>dílo</w:t>
      </w:r>
      <w:r w:rsidRPr="009F26DE">
        <w:rPr>
          <w:rFonts w:ascii="Arial" w:hAnsi="Arial" w:cs="Arial"/>
          <w:sz w:val="22"/>
          <w:szCs w:val="22"/>
        </w:rPr>
        <w:t xml:space="preserve"> </w:t>
      </w:r>
      <w:r w:rsidR="009D2FDA" w:rsidRPr="00306E3F">
        <w:rPr>
          <w:rFonts w:ascii="Arial" w:hAnsi="Arial" w:cs="Arial"/>
          <w:sz w:val="22"/>
          <w:szCs w:val="22"/>
        </w:rPr>
        <w:t>147 dní od</w:t>
      </w:r>
      <w:r w:rsidR="0030282C" w:rsidRPr="00306E3F">
        <w:rPr>
          <w:rFonts w:ascii="Arial" w:hAnsi="Arial" w:cs="Arial"/>
          <w:sz w:val="22"/>
          <w:szCs w:val="22"/>
        </w:rPr>
        <w:t>e dne</w:t>
      </w:r>
      <w:r w:rsidR="009D2FDA" w:rsidRPr="00306E3F">
        <w:rPr>
          <w:rFonts w:ascii="Arial" w:hAnsi="Arial" w:cs="Arial"/>
          <w:sz w:val="22"/>
          <w:szCs w:val="22"/>
        </w:rPr>
        <w:t xml:space="preserve"> předání staveniště</w:t>
      </w:r>
      <w:r w:rsidR="00FA6C90">
        <w:rPr>
          <w:rFonts w:ascii="Arial" w:hAnsi="Arial" w:cs="Arial"/>
          <w:sz w:val="22"/>
          <w:szCs w:val="22"/>
        </w:rPr>
        <w:t xml:space="preserve">. </w:t>
      </w:r>
      <w:r w:rsidRPr="009F26DE">
        <w:rPr>
          <w:rFonts w:ascii="Arial" w:hAnsi="Arial" w:cs="Arial"/>
          <w:sz w:val="22"/>
          <w:szCs w:val="22"/>
        </w:rPr>
        <w:t xml:space="preserve">Současně zhotovitel projedná s technickým zástupcem objednatele postup prací.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0B6F5C">
        <w:rPr>
          <w:rFonts w:ascii="Arial" w:hAnsi="Arial" w:cs="Arial"/>
          <w:b/>
          <w:sz w:val="22"/>
          <w:szCs w:val="22"/>
        </w:rPr>
        <w:t>2 196 438,61</w:t>
      </w:r>
      <w:r w:rsidRPr="00A90805">
        <w:rPr>
          <w:rFonts w:ascii="Arial" w:hAnsi="Arial" w:cs="Arial"/>
          <w:b/>
          <w:sz w:val="22"/>
          <w:szCs w:val="22"/>
        </w:rPr>
        <w:t xml:space="preserve"> </w:t>
      </w:r>
      <w:r w:rsidRPr="00CC4B75">
        <w:rPr>
          <w:rFonts w:ascii="Arial" w:hAnsi="Arial" w:cs="Arial"/>
          <w:b/>
          <w:sz w:val="22"/>
          <w:szCs w:val="22"/>
        </w:rPr>
        <w:t>Kč</w:t>
      </w:r>
      <w:r w:rsidR="00BE16AD" w:rsidRPr="00A90805">
        <w:rPr>
          <w:rFonts w:ascii="Arial" w:hAnsi="Arial" w:cs="Arial"/>
          <w:sz w:val="22"/>
          <w:szCs w:val="22"/>
        </w:rPr>
        <w:t>.</w:t>
      </w:r>
    </w:p>
    <w:p w:rsidR="00A6320F" w:rsidRPr="00A90805" w:rsidRDefault="00A6320F" w:rsidP="00A6320F">
      <w:pPr>
        <w:ind w:left="426" w:hanging="360"/>
        <w:rPr>
          <w:rFonts w:ascii="Arial" w:hAnsi="Arial" w:cs="Arial"/>
          <w:sz w:val="22"/>
          <w:szCs w:val="22"/>
        </w:rPr>
      </w:pPr>
    </w:p>
    <w:p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rsidR="0016082A" w:rsidRPr="00A90805"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rsidR="0016082A" w:rsidRPr="00A90805" w:rsidRDefault="0016082A" w:rsidP="0016082A">
      <w:pPr>
        <w:pStyle w:val="Nadpis2"/>
        <w:rPr>
          <w:rFonts w:ascii="Arial" w:hAnsi="Arial" w:cs="Arial"/>
          <w:sz w:val="22"/>
          <w:szCs w:val="22"/>
        </w:rPr>
      </w:pPr>
      <w:r w:rsidRPr="00A90805">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w:t>
      </w:r>
      <w:r w:rsidRPr="00A90805">
        <w:rPr>
          <w:rFonts w:ascii="Arial" w:hAnsi="Arial" w:cs="Arial"/>
          <w:sz w:val="22"/>
          <w:szCs w:val="22"/>
        </w:rPr>
        <w:lastRenderedPageBreak/>
        <w:t>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rsidR="00573911" w:rsidRPr="00A90805" w:rsidRDefault="00A6320F" w:rsidP="00385A8E">
      <w:pPr>
        <w:pStyle w:val="Nadpis2"/>
        <w:rPr>
          <w:rFonts w:ascii="Arial" w:hAnsi="Arial" w:cs="Arial"/>
          <w:sz w:val="22"/>
          <w:szCs w:val="22"/>
        </w:rPr>
      </w:pPr>
      <w:r w:rsidRPr="00A90805">
        <w:rPr>
          <w:rFonts w:ascii="Arial" w:hAnsi="Arial" w:cs="Arial"/>
          <w:sz w:val="22"/>
          <w:szCs w:val="22"/>
        </w:rPr>
        <w:lastRenderedPageBreak/>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rsidR="00A6320F" w:rsidRPr="00A90805"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rsidR="00B2590B" w:rsidRPr="00A90805" w:rsidRDefault="00B2590B" w:rsidP="00B2590B">
      <w:pPr>
        <w:rPr>
          <w:rFonts w:ascii="Arial" w:hAnsi="Arial" w:cs="Arial"/>
          <w:sz w:val="22"/>
          <w:szCs w:val="22"/>
        </w:rPr>
      </w:pPr>
    </w:p>
    <w:p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rsidR="003D2C45" w:rsidRDefault="000D398E" w:rsidP="003D2C45">
      <w:pPr>
        <w:pStyle w:val="Nadpis2"/>
        <w:numPr>
          <w:ilvl w:val="0"/>
          <w:numId w:val="4"/>
        </w:numPr>
        <w:rPr>
          <w:rFonts w:ascii="Arial" w:hAnsi="Arial" w:cs="Arial"/>
          <w:sz w:val="22"/>
          <w:szCs w:val="22"/>
        </w:rPr>
      </w:pPr>
      <w:r w:rsidRPr="00A90805">
        <w:rPr>
          <w:rFonts w:ascii="Arial" w:hAnsi="Arial" w:cs="Arial"/>
          <w:sz w:val="22"/>
          <w:szCs w:val="22"/>
        </w:rPr>
        <w:t>kontrolní a zkušební plán (KZP) a technologický předpis pro zemní práce, pokládku potrubí a další stavební</w:t>
      </w:r>
      <w:r w:rsidR="005E3AC5" w:rsidRPr="00A90805">
        <w:rPr>
          <w:rFonts w:ascii="Arial" w:hAnsi="Arial" w:cs="Arial"/>
          <w:sz w:val="22"/>
          <w:szCs w:val="22"/>
        </w:rPr>
        <w:t xml:space="preserve"> práce spojené s realizací díla,</w:t>
      </w:r>
    </w:p>
    <w:p w:rsidR="003D2C45" w:rsidRPr="003D2C45" w:rsidRDefault="00DB2980" w:rsidP="003D2C45">
      <w:pPr>
        <w:pStyle w:val="Nadpis2"/>
        <w:numPr>
          <w:ilvl w:val="0"/>
          <w:numId w:val="4"/>
        </w:numPr>
        <w:rPr>
          <w:rFonts w:ascii="Arial" w:hAnsi="Arial" w:cs="Arial"/>
          <w:sz w:val="22"/>
          <w:szCs w:val="22"/>
        </w:rPr>
      </w:pPr>
      <w:r w:rsidRPr="003D2C45">
        <w:rPr>
          <w:rFonts w:ascii="Arial" w:hAnsi="Arial" w:cs="Arial"/>
          <w:sz w:val="22"/>
          <w:szCs w:val="22"/>
        </w:rPr>
        <w:t>časový a finanční harmonogram plnění v členění na jednotlivé stavební objekty a provozní soubory a v podrob</w:t>
      </w:r>
      <w:r w:rsidR="00EE4DD1" w:rsidRPr="003D2C45">
        <w:rPr>
          <w:rFonts w:ascii="Arial" w:hAnsi="Arial" w:cs="Arial"/>
          <w:sz w:val="22"/>
          <w:szCs w:val="22"/>
        </w:rPr>
        <w:t>nosti dle požadavku objednatele,</w:t>
      </w:r>
      <w:r w:rsidRPr="003D2C45">
        <w:rPr>
          <w:rFonts w:ascii="Arial" w:hAnsi="Arial" w:cs="Arial"/>
          <w:sz w:val="22"/>
          <w:szCs w:val="22"/>
        </w:rPr>
        <w:t xml:space="preserve"> </w:t>
      </w:r>
    </w:p>
    <w:p w:rsidR="00623C82" w:rsidRPr="00A16F9F" w:rsidRDefault="00623C82" w:rsidP="00623C82">
      <w:pPr>
        <w:pStyle w:val="Odstavecseseznamem"/>
        <w:numPr>
          <w:ilvl w:val="0"/>
          <w:numId w:val="4"/>
        </w:numPr>
        <w:rPr>
          <w:rFonts w:ascii="Arial" w:hAnsi="Arial" w:cs="Arial"/>
          <w:sz w:val="22"/>
          <w:szCs w:val="22"/>
        </w:rPr>
      </w:pPr>
      <w:r w:rsidRPr="00A16F9F">
        <w:rPr>
          <w:rFonts w:ascii="Arial" w:hAnsi="Arial" w:cs="Arial"/>
          <w:sz w:val="22"/>
          <w:szCs w:val="22"/>
        </w:rPr>
        <w:t>pasporty dotčených nemovitostí před zahájením stavby, provedené soudním znalcem z příslušného oboru.</w:t>
      </w:r>
    </w:p>
    <w:p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rsidR="0071516E" w:rsidRPr="00A90805" w:rsidRDefault="0071516E" w:rsidP="0071516E">
      <w:pPr>
        <w:pStyle w:val="Nadpis2"/>
        <w:rPr>
          <w:rFonts w:ascii="Arial" w:hAnsi="Arial" w:cs="Arial"/>
          <w:sz w:val="22"/>
          <w:szCs w:val="22"/>
        </w:rPr>
      </w:pPr>
      <w:r w:rsidRPr="00A90805">
        <w:rPr>
          <w:rFonts w:ascii="Arial" w:hAnsi="Arial" w:cs="Arial"/>
          <w:bCs/>
          <w:sz w:val="22"/>
          <w:szCs w:val="22"/>
        </w:rPr>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rsidR="004E01C4" w:rsidRPr="00A90805" w:rsidRDefault="004E01C4" w:rsidP="00776413">
      <w:pPr>
        <w:pStyle w:val="Nadpis2"/>
        <w:rPr>
          <w:rFonts w:ascii="Arial" w:hAnsi="Arial" w:cs="Arial"/>
          <w:sz w:val="22"/>
          <w:szCs w:val="22"/>
        </w:rPr>
      </w:pPr>
      <w:r w:rsidRPr="00A90805">
        <w:rPr>
          <w:rFonts w:ascii="Arial" w:hAnsi="Arial" w:cs="Arial"/>
          <w:sz w:val="22"/>
          <w:szCs w:val="22"/>
        </w:rPr>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lastRenderedPageBreak/>
        <w:t>Ode dne převzetí staveniště nese zhotovitel nebezpečí všech škod na prováděném díle až do doby jeho dokončení a předání objednateli.</w:t>
      </w:r>
    </w:p>
    <w:p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rsidR="00617E16" w:rsidRDefault="005E3AC5" w:rsidP="00617E16">
      <w:pPr>
        <w:pStyle w:val="Nadpis2"/>
        <w:rPr>
          <w:rFonts w:ascii="Arial" w:hAnsi="Arial" w:cs="Arial"/>
          <w:sz w:val="22"/>
          <w:szCs w:val="22"/>
        </w:rPr>
      </w:pPr>
      <w:r w:rsidRPr="00A90805">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povrchů ulic</w:t>
      </w:r>
      <w:r w:rsidR="00EF56AE">
        <w:rPr>
          <w:rFonts w:ascii="Arial" w:hAnsi="Arial" w:cs="Arial"/>
          <w:sz w:val="22"/>
          <w:szCs w:val="22"/>
        </w:rPr>
        <w:t>.</w:t>
      </w:r>
    </w:p>
    <w:p w:rsidR="00DE6911" w:rsidRPr="00617E16" w:rsidRDefault="00617E16" w:rsidP="00617E16">
      <w:pPr>
        <w:pStyle w:val="Nadpis2"/>
        <w:rPr>
          <w:rFonts w:ascii="Arial" w:hAnsi="Arial" w:cs="Arial"/>
          <w:sz w:val="22"/>
          <w:szCs w:val="22"/>
        </w:rPr>
      </w:pPr>
      <w:r w:rsidRPr="00617E16">
        <w:rPr>
          <w:rFonts w:ascii="Arial" w:hAnsi="Arial" w:cs="Arial"/>
          <w:sz w:val="22"/>
          <w:szCs w:val="22"/>
        </w:rPr>
        <w:t>Práce na opravě vodovodu budou probíhat na staveništi stavby „Brno, Kosmákova, Touškova, Svatoplukova I – rekonstrukce vodovodu“. Je nutná úzká koordinace na sebe navazujících stavebních činností v rámci obou staveb.</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rsidR="005E3AC5" w:rsidRPr="00A16F9F" w:rsidRDefault="005E3AC5" w:rsidP="005E3AC5">
      <w:pPr>
        <w:pStyle w:val="Nadpis2"/>
        <w:rPr>
          <w:rFonts w:ascii="Arial" w:hAnsi="Arial" w:cs="Arial"/>
          <w:sz w:val="22"/>
          <w:szCs w:val="22"/>
        </w:rPr>
      </w:pPr>
      <w:r w:rsidRPr="00A16F9F">
        <w:rPr>
          <w:rFonts w:ascii="Arial" w:hAnsi="Arial" w:cs="Arial"/>
          <w:sz w:val="22"/>
          <w:szCs w:val="22"/>
        </w:rPr>
        <w:t xml:space="preserve">Zhotovitel je povinen průběžně zpracovávat tabulky vodovodních přípojek, které bude potvrzovat provozní technik zástupce objednatele nad výkopem. Tabulky musí být kontrolovány provozem zástupce objednatele a uloženy společně se stavebním deníkem. </w:t>
      </w:r>
    </w:p>
    <w:p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rsidR="005E3AC5" w:rsidRPr="00A90805" w:rsidRDefault="005E3AC5" w:rsidP="005E3AC5">
      <w:pPr>
        <w:ind w:left="372"/>
        <w:rPr>
          <w:rFonts w:ascii="Arial" w:hAnsi="Arial" w:cs="Arial"/>
          <w:sz w:val="22"/>
          <w:szCs w:val="22"/>
        </w:rPr>
      </w:pPr>
    </w:p>
    <w:p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4E01C4" w:rsidRPr="00A90805" w:rsidRDefault="005077CB" w:rsidP="004E01C4">
      <w:pPr>
        <w:pStyle w:val="Nadpis2"/>
        <w:rPr>
          <w:rFonts w:ascii="Arial" w:hAnsi="Arial" w:cs="Arial"/>
          <w:sz w:val="22"/>
          <w:szCs w:val="22"/>
        </w:rPr>
      </w:pPr>
      <w:r w:rsidRPr="00A90805">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w:t>
      </w:r>
      <w:r w:rsidR="0035094A" w:rsidRPr="00A90805">
        <w:rPr>
          <w:rFonts w:ascii="Arial" w:hAnsi="Arial" w:cs="Arial"/>
          <w:sz w:val="22"/>
          <w:szCs w:val="22"/>
        </w:rPr>
        <w:t xml:space="preserve">odnutí technickému zástupci objednatele </w:t>
      </w:r>
      <w:r w:rsidRPr="00A90805">
        <w:rPr>
          <w:rFonts w:ascii="Arial" w:hAnsi="Arial" w:cs="Arial"/>
          <w:sz w:val="22"/>
          <w:szCs w:val="22"/>
        </w:rPr>
        <w:t>ihned po jejich vydání.</w:t>
      </w:r>
    </w:p>
    <w:p w:rsidR="004E01C4" w:rsidRPr="00A90805" w:rsidRDefault="004E01C4" w:rsidP="004E01C4">
      <w:pPr>
        <w:pStyle w:val="Nadpis2"/>
        <w:rPr>
          <w:rFonts w:ascii="Arial" w:hAnsi="Arial" w:cs="Arial"/>
          <w:sz w:val="22"/>
          <w:szCs w:val="22"/>
        </w:rPr>
      </w:pPr>
      <w:r w:rsidRPr="00A90805">
        <w:rPr>
          <w:rFonts w:ascii="Arial" w:hAnsi="Arial" w:cs="Arial"/>
          <w:sz w:val="22"/>
          <w:szCs w:val="22"/>
        </w:rPr>
        <w:t xml:space="preserve">Objednatel zmocňuje zhotovitele k zastupování objednatele před správními orgány (orgány státní správy a samosprávy) za účelem vyřízení rozhodnutí potřebných k realizaci díla a týkajících </w:t>
      </w:r>
      <w:r w:rsidRPr="00A90805">
        <w:rPr>
          <w:rFonts w:ascii="Arial" w:hAnsi="Arial" w:cs="Arial"/>
          <w:sz w:val="22"/>
          <w:szCs w:val="22"/>
        </w:rPr>
        <w:lastRenderedPageBreak/>
        <w:t>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bude v předstihu informovat místně příslušný ÚMČ o zahájení a plánovaném průběhu prací (uzavírkách).</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příjezd a vjezd do jednotlivých objektů dotčených stavbou.</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A90805">
        <w:rPr>
          <w:rFonts w:ascii="Arial" w:hAnsi="Arial" w:cs="Arial"/>
          <w:color w:val="FF0000"/>
          <w:sz w:val="22"/>
          <w:szCs w:val="22"/>
        </w:rPr>
        <w:t xml:space="preserve"> </w:t>
      </w:r>
      <w:r w:rsidR="00385A8E" w:rsidRPr="00A90805">
        <w:rPr>
          <w:rFonts w:ascii="Arial" w:hAnsi="Arial" w:cs="Arial"/>
          <w:sz w:val="22"/>
          <w:szCs w:val="22"/>
        </w:rPr>
        <w:t>odsouhlasit s ním další postup.</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004F07C5">
        <w:rPr>
          <w:rFonts w:ascii="Arial" w:hAnsi="Arial" w:cs="Arial"/>
          <w:sz w:val="22"/>
          <w:szCs w:val="22"/>
        </w:rPr>
        <w:t xml:space="preserve"> </w:t>
      </w:r>
      <w:r w:rsidRPr="00A90805">
        <w:rPr>
          <w:rFonts w:ascii="Arial" w:hAnsi="Arial" w:cs="Arial"/>
          <w:sz w:val="22"/>
          <w:szCs w:val="22"/>
        </w:rPr>
        <w:t>a technickou mapu statutárního města Brna.</w:t>
      </w:r>
    </w:p>
    <w:p w:rsidR="00163DFF" w:rsidRPr="00A90805" w:rsidRDefault="005077CB" w:rsidP="00163DFF">
      <w:pPr>
        <w:pStyle w:val="Nadpis2"/>
        <w:rPr>
          <w:rFonts w:ascii="Arial" w:hAnsi="Arial" w:cs="Arial"/>
          <w:sz w:val="22"/>
          <w:szCs w:val="22"/>
        </w:rPr>
      </w:pPr>
      <w:r w:rsidRPr="00A90805">
        <w:rPr>
          <w:rFonts w:ascii="Arial" w:hAnsi="Arial" w:cs="Arial"/>
          <w:sz w:val="22"/>
          <w:szCs w:val="22"/>
        </w:rPr>
        <w:t xml:space="preserve">Zhotovitel zajistí dokladování rozsahu realizované obnovy komunikačních ploch v digitální podobě pomocí programu EZA. </w:t>
      </w:r>
    </w:p>
    <w:p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Zhotovitel je povinen zabezpečit ochranu všech osob pohybujících se po staveništi proti úrazu.</w:t>
      </w:r>
      <w:r w:rsidR="0070570C" w:rsidRPr="00A90805">
        <w:rPr>
          <w:rFonts w:ascii="Arial" w:hAnsi="Arial" w:cs="Arial"/>
          <w:noProof/>
          <w:sz w:val="22"/>
          <w:szCs w:val="22"/>
        </w:rPr>
        <w:t xml:space="preserve">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nesmí manipulovat s armaturami na stávající vodovodní síti. Případnou manipulaci provede na objednávku provoz vodovodní sítě B</w:t>
      </w:r>
      <w:r w:rsidR="00FB7DAB" w:rsidRPr="00A90805">
        <w:rPr>
          <w:rFonts w:ascii="Arial" w:hAnsi="Arial" w:cs="Arial"/>
          <w:sz w:val="22"/>
          <w:szCs w:val="22"/>
        </w:rPr>
        <w:t>rněnských vodáren a kanalizací, </w:t>
      </w:r>
      <w:r w:rsidRPr="00A90805">
        <w:rPr>
          <w:rFonts w:ascii="Arial" w:hAnsi="Arial" w:cs="Arial"/>
          <w:sz w:val="22"/>
          <w:szCs w:val="22"/>
        </w:rPr>
        <w:t xml:space="preserve">a.s.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A90805">
        <w:rPr>
          <w:rFonts w:ascii="Arial" w:hAnsi="Arial" w:cs="Arial"/>
          <w:sz w:val="22"/>
          <w:szCs w:val="22"/>
        </w:rPr>
        <w:t>propojů</w:t>
      </w:r>
      <w:proofErr w:type="spellEnd"/>
      <w:r w:rsidRPr="00A90805">
        <w:rPr>
          <w:rFonts w:ascii="Arial" w:hAnsi="Arial" w:cs="Arial"/>
          <w:sz w:val="22"/>
          <w:szCs w:val="22"/>
        </w:rPr>
        <w:t xml:space="preserve"> vodovodních řadů.</w:t>
      </w:r>
    </w:p>
    <w:p w:rsidR="005077CB" w:rsidRPr="00A16F9F" w:rsidRDefault="005077CB" w:rsidP="00385A8E">
      <w:pPr>
        <w:pStyle w:val="Nadpis2"/>
        <w:rPr>
          <w:rFonts w:ascii="Arial" w:hAnsi="Arial" w:cs="Arial"/>
          <w:sz w:val="22"/>
          <w:szCs w:val="22"/>
        </w:rPr>
      </w:pPr>
      <w:r w:rsidRPr="00A16F9F">
        <w:rPr>
          <w:rFonts w:ascii="Arial" w:hAnsi="Arial" w:cs="Arial"/>
          <w:sz w:val="22"/>
          <w:szCs w:val="22"/>
        </w:rPr>
        <w:t xml:space="preserve">Zhotovitel předem projedná s vlastníky přilehlých nemovitostí nebo pozemků přesné umístění orientačních tabulek, vyznačujících polohu vodovodní přípojky nebo armatur na vodovodu. Umístění orientačních tabulek je prováděno v souladu s § 7 zákona č. 274/2001 Sb., o vodovodech a kanalizacích pro veřejnou potřebu a o změně některých zákonů (zákon o vodovodech a kanalizacích), ve znění pozdějších předpisů. Tabulky budou umístěny na nemovitostech v souladu s požadavky normy ČSN 755025, podle  místních podmínek a s přihlédnutím k požadavkům vlastníka nemovitosti. </w:t>
      </w:r>
    </w:p>
    <w:p w:rsidR="005077CB" w:rsidRPr="00A16F9F" w:rsidRDefault="005077CB" w:rsidP="00385A8E">
      <w:pPr>
        <w:pStyle w:val="Nadpis2"/>
        <w:rPr>
          <w:rFonts w:ascii="Arial" w:hAnsi="Arial" w:cs="Arial"/>
          <w:sz w:val="22"/>
          <w:szCs w:val="22"/>
        </w:rPr>
      </w:pPr>
      <w:r w:rsidRPr="00A16F9F">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w:t>
      </w:r>
      <w:r w:rsidRPr="00A90805">
        <w:rPr>
          <w:rFonts w:ascii="Arial" w:hAnsi="Arial" w:cs="Arial"/>
          <w:sz w:val="22"/>
          <w:szCs w:val="22"/>
        </w:rPr>
        <w:lastRenderedPageBreak/>
        <w:t>minimálně 1x za měsíc a/nebo při předání díla, předá objednateli doklady, které budou obsahovat následující informace:</w:t>
      </w:r>
    </w:p>
    <w:p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rsidR="00EA08B8" w:rsidRPr="00A90805" w:rsidRDefault="00EA08B8" w:rsidP="00EA08B8">
      <w:pPr>
        <w:pStyle w:val="pomlka"/>
        <w:numPr>
          <w:ilvl w:val="0"/>
          <w:numId w:val="0"/>
        </w:numPr>
        <w:ind w:left="644"/>
        <w:rPr>
          <w:rFonts w:ascii="Arial" w:hAnsi="Arial" w:cs="Arial"/>
          <w:iCs/>
          <w:sz w:val="22"/>
          <w:szCs w:val="22"/>
        </w:rPr>
      </w:pPr>
    </w:p>
    <w:p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ve </w:t>
      </w:r>
      <w:r w:rsidRPr="00353CCC">
        <w:rPr>
          <w:rFonts w:ascii="Arial" w:hAnsi="Arial" w:cs="Arial"/>
          <w:sz w:val="22"/>
          <w:szCs w:val="22"/>
        </w:rPr>
        <w:t xml:space="preserve">výši </w:t>
      </w:r>
      <w:r w:rsidR="00C42888" w:rsidRPr="00353CCC">
        <w:rPr>
          <w:rFonts w:ascii="Arial" w:hAnsi="Arial" w:cs="Arial"/>
          <w:sz w:val="22"/>
          <w:szCs w:val="22"/>
        </w:rPr>
        <w:t xml:space="preserve">1 </w:t>
      </w:r>
      <w:r w:rsidRPr="00353CCC">
        <w:rPr>
          <w:rFonts w:ascii="Arial" w:hAnsi="Arial" w:cs="Arial"/>
          <w:sz w:val="22"/>
          <w:szCs w:val="22"/>
        </w:rPr>
        <w:t>mil. Kč</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projektovou dokumentaci skutečného provedení stavby (4 x kompletní vytištěné </w:t>
      </w:r>
      <w:proofErr w:type="spellStart"/>
      <w:r w:rsidRPr="00A90805">
        <w:rPr>
          <w:rFonts w:ascii="Arial" w:hAnsi="Arial" w:cs="Arial"/>
          <w:sz w:val="22"/>
          <w:szCs w:val="22"/>
        </w:rPr>
        <w:t>paré</w:t>
      </w:r>
      <w:proofErr w:type="spellEnd"/>
      <w:r w:rsidRPr="00A90805">
        <w:rPr>
          <w:rFonts w:ascii="Arial" w:hAnsi="Arial" w:cs="Arial"/>
          <w:sz w:val="22"/>
          <w:szCs w:val="22"/>
        </w:rPr>
        <w:t>),</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osvědčení o zkouškách použitých zařízení a materiálů,</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o prověření prací a konstrukcí zakrytých v průběhu prací,</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stavební deník, </w:t>
      </w:r>
    </w:p>
    <w:p w:rsidR="005077CB" w:rsidRPr="00B23020" w:rsidRDefault="005077CB" w:rsidP="00B23020">
      <w:pPr>
        <w:pStyle w:val="Stylsodrkamiodsunut"/>
        <w:rPr>
          <w:rFonts w:ascii="Arial" w:hAnsi="Arial" w:cs="Arial"/>
          <w:sz w:val="22"/>
          <w:szCs w:val="22"/>
        </w:rPr>
      </w:pPr>
      <w:r w:rsidRPr="00A16F9F">
        <w:rPr>
          <w:rFonts w:ascii="Arial" w:hAnsi="Arial" w:cs="Arial"/>
          <w:sz w:val="22"/>
          <w:szCs w:val="22"/>
        </w:rPr>
        <w:t>tabulky vodovodních přípojek (3x v tištěné podobě)</w:t>
      </w:r>
      <w:r w:rsidR="00B23020">
        <w:rPr>
          <w:rFonts w:ascii="Arial" w:hAnsi="Arial" w:cs="Arial"/>
          <w:sz w:val="22"/>
          <w:szCs w:val="22"/>
        </w:rPr>
        <w:t>,</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geodetické zaměření dokončeného díla (4x v tištěné podobě a 4x na CD),</w:t>
      </w:r>
    </w:p>
    <w:p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zaměření realizované obnovy komunikačních ploch v digitální podobě pomocí programu EZA (2x na CD),</w:t>
      </w:r>
    </w:p>
    <w:p w:rsidR="00623C82" w:rsidRPr="00A90805" w:rsidRDefault="00A748CB" w:rsidP="00623C82">
      <w:pPr>
        <w:pStyle w:val="Stylsodrkamiodsunut"/>
        <w:rPr>
          <w:rFonts w:ascii="Arial" w:hAnsi="Arial" w:cs="Arial"/>
          <w:color w:val="FF0000"/>
          <w:sz w:val="22"/>
          <w:szCs w:val="22"/>
        </w:rPr>
      </w:pPr>
      <w:r w:rsidRPr="00A90805">
        <w:rPr>
          <w:rFonts w:ascii="Arial" w:hAnsi="Arial" w:cs="Arial"/>
          <w:sz w:val="22"/>
          <w:szCs w:val="22"/>
        </w:rPr>
        <w:t>doklad o stanovení definitivního dopravního značení,</w:t>
      </w:r>
    </w:p>
    <w:p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rsidR="00D66967" w:rsidRPr="00A90805" w:rsidRDefault="00D66967" w:rsidP="005077CB">
      <w:pPr>
        <w:tabs>
          <w:tab w:val="num" w:pos="1080"/>
        </w:tabs>
        <w:ind w:left="360"/>
        <w:rPr>
          <w:rFonts w:ascii="Arial" w:hAnsi="Arial" w:cs="Arial"/>
          <w:sz w:val="22"/>
          <w:szCs w:val="22"/>
          <w:highlight w:val="cyan"/>
        </w:rPr>
      </w:pPr>
    </w:p>
    <w:p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lastRenderedPageBreak/>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5077CB" w:rsidRPr="00A90805" w:rsidRDefault="005077CB" w:rsidP="00264A67">
      <w:pPr>
        <w:pStyle w:val="Nadpis2"/>
        <w:rPr>
          <w:rFonts w:ascii="Arial" w:hAnsi="Arial" w:cs="Arial"/>
          <w:sz w:val="22"/>
          <w:szCs w:val="22"/>
        </w:rPr>
      </w:pPr>
      <w:r w:rsidRPr="00A90805">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Objednatel oznámí vady díla bez zbytečného odkladu poté, kdy je zjistil, nejpozději však do uplynutí záruční doby dle čl. XI odst. 2 </w:t>
      </w:r>
      <w:proofErr w:type="gramStart"/>
      <w:r w:rsidRPr="00A90805">
        <w:rPr>
          <w:rFonts w:ascii="Arial" w:hAnsi="Arial" w:cs="Arial"/>
          <w:sz w:val="22"/>
          <w:szCs w:val="22"/>
        </w:rPr>
        <w:t>této</w:t>
      </w:r>
      <w:proofErr w:type="gramEnd"/>
      <w:r w:rsidRPr="00A90805">
        <w:rPr>
          <w:rFonts w:ascii="Arial" w:hAnsi="Arial" w:cs="Arial"/>
          <w:sz w:val="22"/>
          <w:szCs w:val="22"/>
        </w:rPr>
        <w:t xml:space="preserve"> smlouvy. V reklamaci je objednatel povinen vady popsat, případně uvést, jak se projevují.</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lastRenderedPageBreak/>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rsidR="00BE16AD" w:rsidRPr="00A90805"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Ustanovení § 2050 občanského zákoníku se neuplatní.</w:t>
      </w:r>
    </w:p>
    <w:p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lastRenderedPageBreak/>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271E0" w:rsidRPr="00A90805" w:rsidRDefault="006271E0" w:rsidP="006271E0">
      <w:pPr>
        <w:ind w:left="1065" w:hanging="360"/>
        <w:rPr>
          <w:rFonts w:ascii="Arial" w:hAnsi="Arial" w:cs="Arial"/>
          <w:sz w:val="22"/>
          <w:szCs w:val="22"/>
        </w:rPr>
      </w:pPr>
      <w:r w:rsidRPr="00A90805">
        <w:rPr>
          <w:rFonts w:ascii="Arial" w:hAnsi="Arial" w:cs="Arial"/>
          <w:sz w:val="22"/>
          <w:szCs w:val="22"/>
        </w:rPr>
        <w:lastRenderedPageBreak/>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rsidR="006271E0" w:rsidRPr="00A90805" w:rsidRDefault="006271E0" w:rsidP="006271E0">
      <w:pPr>
        <w:ind w:left="1065" w:hanging="360"/>
        <w:rPr>
          <w:rFonts w:ascii="Arial" w:hAnsi="Arial" w:cs="Arial"/>
          <w:sz w:val="22"/>
          <w:szCs w:val="22"/>
        </w:rPr>
      </w:pPr>
    </w:p>
    <w:p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rsidR="006271E0" w:rsidRPr="00A90805" w:rsidRDefault="006271E0" w:rsidP="006271E0">
      <w:pPr>
        <w:rPr>
          <w:rFonts w:ascii="Arial" w:hAnsi="Arial" w:cs="Arial"/>
          <w:sz w:val="22"/>
          <w:szCs w:val="22"/>
        </w:rPr>
      </w:pPr>
    </w:p>
    <w:p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rsidR="00410562"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rsidR="00D86068" w:rsidRPr="00A90805" w:rsidRDefault="00D86068" w:rsidP="00D86068">
      <w:pPr>
        <w:rPr>
          <w:rFonts w:ascii="Arial" w:hAnsi="Arial" w:cs="Arial"/>
          <w:sz w:val="22"/>
          <w:szCs w:val="22"/>
        </w:rPr>
      </w:pPr>
    </w:p>
    <w:p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rsidR="00B23020" w:rsidRDefault="001C51B2" w:rsidP="00B23020">
      <w:pPr>
        <w:pStyle w:val="Nadpis2"/>
        <w:rPr>
          <w:rFonts w:ascii="Arial" w:hAnsi="Arial" w:cs="Arial"/>
          <w:sz w:val="22"/>
          <w:szCs w:val="22"/>
        </w:rPr>
      </w:pPr>
      <w:r w:rsidRPr="00A90805">
        <w:rPr>
          <w:rFonts w:ascii="Arial" w:hAnsi="Arial" w:cs="Arial"/>
          <w:sz w:val="22"/>
          <w:szCs w:val="22"/>
        </w:rPr>
        <w:t>Smluvní strany prohlašují, že údaje uvedené v této smlouvě nejsou informacemi požívajícími ochrany důvěrnosti majetkových poměrů.</w:t>
      </w:r>
    </w:p>
    <w:p w:rsidR="00EB1CB7" w:rsidRPr="00B23020" w:rsidRDefault="00EB1CB7" w:rsidP="00B23020">
      <w:pPr>
        <w:pStyle w:val="Nadpis2"/>
        <w:rPr>
          <w:rFonts w:ascii="Arial" w:hAnsi="Arial" w:cs="Arial"/>
          <w:sz w:val="22"/>
          <w:szCs w:val="22"/>
        </w:rPr>
      </w:pPr>
      <w:r w:rsidRPr="00B23020">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w:t>
      </w:r>
      <w:r w:rsidRPr="00B23020">
        <w:rPr>
          <w:rFonts w:ascii="Arial" w:hAnsi="Arial" w:cs="Arial"/>
          <w:sz w:val="22"/>
          <w:szCs w:val="22"/>
        </w:rPr>
        <w:lastRenderedPageBreak/>
        <w:t xml:space="preserve">smyslu ustanovení § 504 Občanského zákoníku a udělují svolení k jejich užití a zveřejnění bez stanovení jakýchkoliv dalších podmínek. </w:t>
      </w:r>
    </w:p>
    <w:p w:rsidR="007D2497" w:rsidRPr="00A90805" w:rsidRDefault="007D2497" w:rsidP="007D2497">
      <w:pPr>
        <w:pStyle w:val="Nadpis2"/>
        <w:rPr>
          <w:rFonts w:ascii="Arial" w:hAnsi="Arial" w:cs="Arial"/>
          <w:sz w:val="22"/>
          <w:szCs w:val="22"/>
        </w:rPr>
      </w:pPr>
      <w:r w:rsidRPr="00A90805">
        <w:rPr>
          <w:rFonts w:ascii="Arial" w:hAnsi="Arial" w:cs="Arial"/>
          <w:sz w:val="22"/>
          <w:szCs w:val="22"/>
        </w:rPr>
        <w:t>Tato smlouva nabývá účinnosti dnem podpisu oběma smluvními stranami.</w:t>
      </w:r>
    </w:p>
    <w:p w:rsidR="00384BAE" w:rsidRPr="00A16F9F" w:rsidRDefault="00384BAE" w:rsidP="00384BAE">
      <w:pPr>
        <w:pStyle w:val="Nadpis2"/>
        <w:rPr>
          <w:rFonts w:ascii="Arial" w:hAnsi="Arial" w:cs="Arial"/>
          <w:sz w:val="22"/>
          <w:szCs w:val="22"/>
        </w:rPr>
      </w:pPr>
      <w:r w:rsidRPr="00A16F9F">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A16F9F">
        <w:rPr>
          <w:rFonts w:ascii="Arial" w:hAnsi="Arial" w:cs="Arial"/>
          <w:sz w:val="22"/>
          <w:szCs w:val="22"/>
        </w:rPr>
        <w:t>formátu .</w:t>
      </w:r>
      <w:proofErr w:type="spellStart"/>
      <w:r w:rsidRPr="00A16F9F">
        <w:rPr>
          <w:rFonts w:ascii="Arial" w:hAnsi="Arial" w:cs="Arial"/>
          <w:sz w:val="22"/>
          <w:szCs w:val="22"/>
        </w:rPr>
        <w:t>pdf</w:t>
      </w:r>
      <w:proofErr w:type="spellEnd"/>
      <w:proofErr w:type="gramEnd"/>
      <w:r w:rsidRPr="00A16F9F">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4B06F8" w:rsidRPr="00A90805" w:rsidRDefault="001C51B2" w:rsidP="004B06F8">
      <w:pPr>
        <w:pStyle w:val="Nadpis2"/>
        <w:rPr>
          <w:rFonts w:ascii="Arial" w:hAnsi="Arial" w:cs="Arial"/>
          <w:sz w:val="22"/>
          <w:szCs w:val="22"/>
        </w:rPr>
      </w:pPr>
      <w:r w:rsidRPr="00A90805">
        <w:rPr>
          <w:rFonts w:ascii="Arial" w:hAnsi="Arial" w:cs="Arial"/>
          <w:sz w:val="22"/>
          <w:szCs w:val="22"/>
        </w:rPr>
        <w:t>Smluvní strany shodně prohlašují, že si smlouvu přečetly a že s jejím obsahem souhlasí, což níže stvrzují svými podpisy.</w:t>
      </w:r>
    </w:p>
    <w:p w:rsidR="00276A7C" w:rsidRDefault="00276A7C" w:rsidP="00385A8E">
      <w:pPr>
        <w:rPr>
          <w:rFonts w:ascii="Arial" w:hAnsi="Arial" w:cs="Arial"/>
          <w:sz w:val="22"/>
          <w:szCs w:val="22"/>
        </w:rPr>
      </w:pPr>
    </w:p>
    <w:p w:rsidR="00B61333" w:rsidRPr="00A90805" w:rsidRDefault="00B61333" w:rsidP="00385A8E">
      <w:pPr>
        <w:rPr>
          <w:rFonts w:ascii="Arial" w:hAnsi="Arial" w:cs="Arial"/>
          <w:sz w:val="22"/>
          <w:szCs w:val="22"/>
        </w:rPr>
        <w:sectPr w:rsidR="00B61333"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rsidTr="003A3B68">
        <w:tc>
          <w:tcPr>
            <w:tcW w:w="4644" w:type="dxa"/>
          </w:tcPr>
          <w:p w:rsidR="00B61333" w:rsidRPr="00A16F9F" w:rsidRDefault="00B61333" w:rsidP="00B97ADC">
            <w:pPr>
              <w:rPr>
                <w:rFonts w:ascii="Arial" w:hAnsi="Arial" w:cs="Arial"/>
                <w:sz w:val="22"/>
                <w:szCs w:val="22"/>
              </w:rPr>
            </w:pPr>
            <w:r w:rsidRPr="0073390B">
              <w:rPr>
                <w:rFonts w:ascii="Arial" w:hAnsi="Arial" w:cs="Arial"/>
                <w:sz w:val="22"/>
                <w:szCs w:val="22"/>
              </w:rPr>
              <w:t>V Brně  </w:t>
            </w:r>
            <w:r w:rsidR="00B97ADC">
              <w:rPr>
                <w:rFonts w:ascii="Arial" w:hAnsi="Arial" w:cs="Arial"/>
                <w:sz w:val="22"/>
                <w:szCs w:val="22"/>
              </w:rPr>
              <w:t xml:space="preserve">dne </w:t>
            </w:r>
            <w:proofErr w:type="gramStart"/>
            <w:r w:rsidR="00B97ADC">
              <w:rPr>
                <w:rFonts w:ascii="Arial" w:hAnsi="Arial" w:cs="Arial"/>
                <w:sz w:val="22"/>
                <w:szCs w:val="22"/>
              </w:rPr>
              <w:t>13.3.2025</w:t>
            </w:r>
            <w:proofErr w:type="gramEnd"/>
          </w:p>
        </w:tc>
        <w:tc>
          <w:tcPr>
            <w:tcW w:w="4932" w:type="dxa"/>
          </w:tcPr>
          <w:p w:rsidR="00FE0215" w:rsidRPr="0073390B" w:rsidRDefault="00B61333" w:rsidP="00B97ADC">
            <w:pPr>
              <w:rPr>
                <w:rFonts w:ascii="Arial" w:hAnsi="Arial" w:cs="Arial"/>
                <w:sz w:val="22"/>
                <w:szCs w:val="22"/>
              </w:rPr>
            </w:pPr>
            <w:r w:rsidRPr="0073390B">
              <w:rPr>
                <w:rFonts w:ascii="Arial" w:hAnsi="Arial" w:cs="Arial"/>
                <w:sz w:val="22"/>
                <w:szCs w:val="22"/>
              </w:rPr>
              <w:t>V Brně  </w:t>
            </w:r>
            <w:r w:rsidR="00B97ADC">
              <w:rPr>
                <w:rFonts w:ascii="Arial" w:hAnsi="Arial" w:cs="Arial"/>
                <w:sz w:val="22"/>
                <w:szCs w:val="22"/>
              </w:rPr>
              <w:t>dne 20 3 2025</w:t>
            </w:r>
          </w:p>
        </w:tc>
      </w:tr>
      <w:tr w:rsidR="00FE0215" w:rsidRPr="00A90805" w:rsidTr="003A3B68">
        <w:trPr>
          <w:trHeight w:val="1531"/>
        </w:trPr>
        <w:tc>
          <w:tcPr>
            <w:tcW w:w="4644" w:type="dxa"/>
          </w:tcPr>
          <w:p w:rsidR="00FE0215" w:rsidRPr="00A90805" w:rsidRDefault="00FE0215" w:rsidP="005F3034">
            <w:pPr>
              <w:rPr>
                <w:rFonts w:ascii="Arial" w:hAnsi="Arial" w:cs="Arial"/>
                <w:sz w:val="22"/>
                <w:szCs w:val="22"/>
              </w:rPr>
            </w:pPr>
            <w:r w:rsidRPr="00A90805">
              <w:rPr>
                <w:rFonts w:ascii="Arial" w:hAnsi="Arial" w:cs="Arial"/>
                <w:sz w:val="22"/>
                <w:szCs w:val="22"/>
              </w:rPr>
              <w:t>Za objednatele</w:t>
            </w:r>
          </w:p>
        </w:tc>
        <w:tc>
          <w:tcPr>
            <w:tcW w:w="4932" w:type="dxa"/>
          </w:tcPr>
          <w:p w:rsidR="00FE0215" w:rsidRPr="00A90805" w:rsidRDefault="00FE0215" w:rsidP="005F3034">
            <w:pPr>
              <w:rPr>
                <w:rFonts w:ascii="Arial" w:hAnsi="Arial" w:cs="Arial"/>
                <w:sz w:val="22"/>
                <w:szCs w:val="22"/>
              </w:rPr>
            </w:pPr>
            <w:r w:rsidRPr="00A90805">
              <w:rPr>
                <w:rFonts w:ascii="Arial" w:hAnsi="Arial" w:cs="Arial"/>
                <w:sz w:val="22"/>
                <w:szCs w:val="22"/>
              </w:rPr>
              <w:t>Za zhotovitele</w:t>
            </w:r>
          </w:p>
        </w:tc>
      </w:tr>
      <w:tr w:rsidR="00FE0215" w:rsidRPr="00A90805" w:rsidTr="003A3B68">
        <w:tc>
          <w:tcPr>
            <w:tcW w:w="4644" w:type="dxa"/>
          </w:tcPr>
          <w:p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rsidTr="003A3B68">
        <w:tc>
          <w:tcPr>
            <w:tcW w:w="4644" w:type="dxa"/>
          </w:tcPr>
          <w:p w:rsidR="00FE0215" w:rsidRPr="00A90805" w:rsidRDefault="00FE0215" w:rsidP="005F3034">
            <w:pPr>
              <w:rPr>
                <w:rFonts w:ascii="Arial" w:hAnsi="Arial" w:cs="Arial"/>
                <w:sz w:val="22"/>
                <w:szCs w:val="22"/>
              </w:rPr>
            </w:pPr>
            <w:r w:rsidRPr="00A90805">
              <w:rPr>
                <w:rFonts w:ascii="Arial" w:hAnsi="Arial" w:cs="Arial"/>
                <w:sz w:val="22"/>
                <w:szCs w:val="22"/>
              </w:rPr>
              <w:t>Brněnské vodárny a kanalizace, a.s.,</w:t>
            </w:r>
          </w:p>
          <w:p w:rsidR="00FE0215" w:rsidRPr="00A16F9F" w:rsidRDefault="00B97ADC" w:rsidP="00733487">
            <w:pPr>
              <w:rPr>
                <w:rFonts w:ascii="Arial" w:hAnsi="Arial" w:cs="Arial"/>
                <w:sz w:val="22"/>
                <w:szCs w:val="22"/>
              </w:rPr>
            </w:pPr>
            <w:r>
              <w:rPr>
                <w:rFonts w:ascii="Arial" w:hAnsi="Arial" w:cs="Arial"/>
                <w:sz w:val="22"/>
                <w:szCs w:val="22"/>
              </w:rPr>
              <w:t>XXX</w:t>
            </w:r>
            <w:bookmarkStart w:id="1" w:name="_GoBack"/>
            <w:bookmarkEnd w:id="1"/>
          </w:p>
          <w:p w:rsidR="00776413" w:rsidRPr="00A90805" w:rsidRDefault="00776413" w:rsidP="00733487">
            <w:pPr>
              <w:rPr>
                <w:rFonts w:ascii="Arial" w:hAnsi="Arial" w:cs="Arial"/>
                <w:color w:val="FF0000"/>
                <w:sz w:val="22"/>
                <w:szCs w:val="22"/>
              </w:rPr>
            </w:pPr>
          </w:p>
        </w:tc>
        <w:tc>
          <w:tcPr>
            <w:tcW w:w="4932" w:type="dxa"/>
          </w:tcPr>
          <w:p w:rsidR="00FE0215" w:rsidRDefault="000B6F5C" w:rsidP="005F3034">
            <w:pPr>
              <w:rPr>
                <w:rFonts w:ascii="Arial" w:hAnsi="Arial" w:cs="Arial"/>
                <w:sz w:val="22"/>
                <w:szCs w:val="22"/>
              </w:rPr>
            </w:pPr>
            <w:r>
              <w:rPr>
                <w:rFonts w:ascii="Arial" w:hAnsi="Arial" w:cs="Arial"/>
                <w:sz w:val="22"/>
                <w:szCs w:val="22"/>
              </w:rPr>
              <w:t>Inženýrské stavby Brno, spol. s r.o.</w:t>
            </w:r>
          </w:p>
          <w:p w:rsidR="000B6F5C" w:rsidRDefault="000B6F5C" w:rsidP="005F3034">
            <w:pPr>
              <w:rPr>
                <w:rFonts w:ascii="Arial" w:hAnsi="Arial" w:cs="Arial"/>
                <w:sz w:val="22"/>
                <w:szCs w:val="22"/>
              </w:rPr>
            </w:pPr>
            <w:r>
              <w:rPr>
                <w:rFonts w:ascii="Arial" w:hAnsi="Arial" w:cs="Arial"/>
                <w:sz w:val="22"/>
                <w:szCs w:val="22"/>
              </w:rPr>
              <w:t xml:space="preserve">Jiří </w:t>
            </w:r>
            <w:proofErr w:type="spellStart"/>
            <w:r>
              <w:rPr>
                <w:rFonts w:ascii="Arial" w:hAnsi="Arial" w:cs="Arial"/>
                <w:sz w:val="22"/>
                <w:szCs w:val="22"/>
              </w:rPr>
              <w:t>Lutonský</w:t>
            </w:r>
            <w:proofErr w:type="spellEnd"/>
          </w:p>
          <w:p w:rsidR="000B6F5C" w:rsidRPr="00A90805" w:rsidRDefault="000B6F5C" w:rsidP="005F3034">
            <w:pPr>
              <w:rPr>
                <w:rFonts w:ascii="Arial" w:hAnsi="Arial" w:cs="Arial"/>
                <w:sz w:val="22"/>
                <w:szCs w:val="22"/>
              </w:rPr>
            </w:pPr>
            <w:r>
              <w:rPr>
                <w:rFonts w:ascii="Arial" w:hAnsi="Arial" w:cs="Arial"/>
                <w:sz w:val="22"/>
                <w:szCs w:val="22"/>
              </w:rPr>
              <w:t>jednatel</w:t>
            </w:r>
          </w:p>
        </w:tc>
      </w:tr>
    </w:tbl>
    <w:p w:rsidR="00385A8E" w:rsidRDefault="00385A8E" w:rsidP="00385A8E"/>
    <w:p w:rsidR="009B2C97" w:rsidRDefault="009B2C97" w:rsidP="00385A8E"/>
    <w:p w:rsidR="009B2C97" w:rsidRDefault="009B2C97" w:rsidP="00385A8E"/>
    <w:p w:rsidR="009B2C97" w:rsidRDefault="009B2C97" w:rsidP="00385A8E"/>
    <w:p w:rsidR="009B2C97" w:rsidRDefault="009B2C97" w:rsidP="00385A8E"/>
    <w:p w:rsidR="009B2C97" w:rsidRPr="00385A8E" w:rsidRDefault="009B2C97" w:rsidP="00385A8E"/>
    <w:p w:rsidR="00811716" w:rsidRPr="00D83DEC" w:rsidRDefault="005678F2" w:rsidP="0017418D">
      <w:pPr>
        <w:rPr>
          <w:rFonts w:ascii="Arial" w:hAnsi="Arial" w:cs="Arial"/>
          <w:szCs w:val="24"/>
        </w:rPr>
      </w:pPr>
    </w:p>
    <w:sectPr w:rsidR="00811716"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8F2" w:rsidRDefault="005678F2">
      <w:r>
        <w:separator/>
      </w:r>
    </w:p>
  </w:endnote>
  <w:endnote w:type="continuationSeparator" w:id="0">
    <w:p w:rsidR="005678F2" w:rsidRDefault="0056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5678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5678F2">
    <w:pPr>
      <w:pStyle w:val="Zpat"/>
      <w:framePr w:wrap="around" w:vAnchor="text" w:hAnchor="margin" w:xAlign="center" w:y="1"/>
      <w:rPr>
        <w:rStyle w:val="slostrnky"/>
      </w:rPr>
    </w:pPr>
  </w:p>
  <w:p w:rsidR="00EE4DD1" w:rsidRPr="00EE3B5A" w:rsidRDefault="005678F2" w:rsidP="004F07C5">
    <w:pPr>
      <w:pStyle w:val="Zpa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3A6863">
              <w:rPr>
                <w:rFonts w:ascii="Arial" w:hAnsi="Arial" w:cs="Arial"/>
                <w:sz w:val="18"/>
                <w:szCs w:val="18"/>
              </w:rPr>
              <w:t>0068</w:t>
            </w:r>
            <w:r w:rsidR="00EE4DD1" w:rsidRPr="00EE3B5A">
              <w:rPr>
                <w:rFonts w:ascii="Arial" w:hAnsi="Arial" w:cs="Arial"/>
                <w:sz w:val="18"/>
                <w:szCs w:val="18"/>
              </w:rPr>
              <w:t>/2</w:t>
            </w:r>
            <w:r w:rsidR="003A6863">
              <w:rPr>
                <w:rFonts w:ascii="Arial" w:hAnsi="Arial" w:cs="Arial"/>
                <w:sz w:val="18"/>
                <w:szCs w:val="18"/>
              </w:rPr>
              <w:t>5</w:t>
            </w:r>
            <w:r w:rsidR="00EE4DD1">
              <w:rPr>
                <w:rFonts w:ascii="Arial" w:hAnsi="Arial" w:cs="Arial"/>
                <w:sz w:val="18"/>
                <w:szCs w:val="18"/>
              </w:rPr>
              <w:t xml:space="preserve">                                                                                                   </w:t>
            </w:r>
            <w:r w:rsidR="00B23020">
              <w:rPr>
                <w:rFonts w:ascii="Arial" w:hAnsi="Arial" w:cs="Arial"/>
                <w:sz w:val="18"/>
                <w:szCs w:val="18"/>
              </w:rPr>
              <w:t xml:space="preserve">                              </w:t>
            </w:r>
            <w:r w:rsidR="00EE4DD1">
              <w:rPr>
                <w:rFonts w:ascii="Arial" w:hAnsi="Arial" w:cs="Arial"/>
                <w:sz w:val="18"/>
                <w:szCs w:val="18"/>
              </w:rPr>
              <w:t xml:space="preserve">  </w:t>
            </w:r>
            <w:r w:rsidR="00353CCC">
              <w:rPr>
                <w:rFonts w:ascii="Arial" w:hAnsi="Arial" w:cs="Arial"/>
                <w:sz w:val="18"/>
                <w:szCs w:val="18"/>
              </w:rPr>
              <w:t xml:space="preserve">       </w:t>
            </w:r>
            <w:r w:rsidR="00EE4DD1">
              <w:rPr>
                <w:rFonts w:ascii="Arial" w:hAnsi="Arial" w:cs="Arial"/>
                <w:sz w:val="18"/>
                <w:szCs w:val="18"/>
              </w:rPr>
              <w:t xml:space="preserve"> </w:t>
            </w:r>
            <w:r w:rsidR="00856394">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B97ADC">
              <w:rPr>
                <w:rFonts w:ascii="Arial" w:hAnsi="Arial" w:cs="Arial"/>
                <w:bCs/>
                <w:noProof/>
                <w:sz w:val="18"/>
                <w:szCs w:val="18"/>
              </w:rPr>
              <w:t>12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B97ADC">
              <w:rPr>
                <w:rFonts w:ascii="Arial" w:hAnsi="Arial" w:cs="Arial"/>
                <w:bCs/>
                <w:noProof/>
                <w:sz w:val="18"/>
                <w:szCs w:val="18"/>
              </w:rPr>
              <w:t>13</w:t>
            </w:r>
            <w:r w:rsidR="00EE4DD1" w:rsidRPr="00EE3B5A">
              <w:rPr>
                <w:rFonts w:ascii="Arial" w:hAnsi="Arial" w:cs="Arial"/>
                <w:bCs/>
                <w:sz w:val="18"/>
                <w:szCs w:val="18"/>
              </w:rPr>
              <w:fldChar w:fldCharType="end"/>
            </w:r>
          </w:sdtContent>
        </w:sdt>
      </w:sdtContent>
    </w:sdt>
  </w:p>
  <w:p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5A" w:rsidRDefault="005678F2"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F25241">
                  <w:rPr>
                    <w:rFonts w:ascii="Arial" w:hAnsi="Arial" w:cs="Arial"/>
                    <w:sz w:val="18"/>
                    <w:szCs w:val="18"/>
                  </w:rPr>
                  <w:t>0068</w:t>
                </w:r>
                <w:r w:rsidR="00EE4DD1" w:rsidRPr="00EE3B5A">
                  <w:rPr>
                    <w:rFonts w:ascii="Arial" w:hAnsi="Arial" w:cs="Arial"/>
                    <w:sz w:val="18"/>
                    <w:szCs w:val="18"/>
                  </w:rPr>
                  <w:t>/2</w:t>
                </w:r>
                <w:r w:rsidR="005D7F15">
                  <w:rPr>
                    <w:rFonts w:ascii="Arial" w:hAnsi="Arial" w:cs="Arial"/>
                    <w:sz w:val="18"/>
                    <w:szCs w:val="18"/>
                  </w:rPr>
                  <w:t>5</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B97ADC">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B97ADC">
                  <w:rPr>
                    <w:rFonts w:ascii="Arial" w:hAnsi="Arial" w:cs="Arial"/>
                    <w:bCs/>
                    <w:noProof/>
                    <w:sz w:val="18"/>
                    <w:szCs w:val="18"/>
                  </w:rPr>
                  <w:t>13</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8F2" w:rsidRDefault="005678F2">
      <w:r>
        <w:separator/>
      </w:r>
    </w:p>
  </w:footnote>
  <w:footnote w:type="continuationSeparator" w:id="0">
    <w:p w:rsidR="005678F2" w:rsidRDefault="00567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5678F2">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5A" w:rsidRDefault="005678F2">
    <w:pPr>
      <w:pStyle w:val="Zhlav"/>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C97" w:rsidRDefault="005678F2">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0"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2"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5"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851E9B"/>
    <w:multiLevelType w:val="hybridMultilevel"/>
    <w:tmpl w:val="C7744962"/>
    <w:lvl w:ilvl="0" w:tplc="820ED3EC">
      <w:start w:val="8"/>
      <w:numFmt w:val="bullet"/>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1"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3"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9"/>
  </w:num>
  <w:num w:numId="4">
    <w:abstractNumId w:val="20"/>
  </w:num>
  <w:num w:numId="5">
    <w:abstractNumId w:val="16"/>
  </w:num>
  <w:num w:numId="6">
    <w:abstractNumId w:val="25"/>
  </w:num>
  <w:num w:numId="7">
    <w:abstractNumId w:val="12"/>
  </w:num>
  <w:num w:numId="8">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15"/>
  </w:num>
  <w:num w:numId="12">
    <w:abstractNumId w:val="11"/>
  </w:num>
  <w:num w:numId="13">
    <w:abstractNumId w:val="14"/>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2"/>
  </w:num>
  <w:num w:numId="19">
    <w:abstractNumId w:val="21"/>
  </w:num>
  <w:num w:numId="20">
    <w:abstractNumId w:val="2"/>
  </w:num>
  <w:num w:numId="21">
    <w:abstractNumId w:val="13"/>
  </w:num>
  <w:num w:numId="2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9"/>
  </w:num>
  <w:num w:numId="25">
    <w:abstractNumId w:val="19"/>
  </w:num>
  <w:num w:numId="2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
  </w:num>
  <w:num w:numId="29">
    <w:abstractNumId w:val="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lvlOverride w:ilvl="0">
      <w:startOverride w:val="1"/>
    </w:lvlOverride>
  </w:num>
  <w:num w:numId="33">
    <w:abstractNumId w:val="0"/>
  </w:num>
  <w:num w:numId="34">
    <w:abstractNumId w:val="19"/>
  </w:num>
  <w:num w:numId="35">
    <w:abstractNumId w:val="19"/>
  </w:num>
  <w:num w:numId="36">
    <w:abstractNumId w:val="6"/>
  </w:num>
  <w:num w:numId="37">
    <w:abstractNumId w:val="7"/>
  </w:num>
  <w:num w:numId="38">
    <w:abstractNumId w:val="19"/>
  </w:num>
  <w:num w:numId="39">
    <w:abstractNumId w:val="22"/>
  </w:num>
  <w:num w:numId="40">
    <w:abstractNumId w:val="24"/>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9"/>
  </w:num>
  <w:num w:numId="43">
    <w:abstractNumId w:val="19"/>
  </w:num>
  <w:num w:numId="44">
    <w:abstractNumId w:val="19"/>
  </w:num>
  <w:num w:numId="4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79A7"/>
    <w:rsid w:val="0005110F"/>
    <w:rsid w:val="00051A68"/>
    <w:rsid w:val="00052C39"/>
    <w:rsid w:val="00061F29"/>
    <w:rsid w:val="000754C6"/>
    <w:rsid w:val="0008225A"/>
    <w:rsid w:val="00092AA2"/>
    <w:rsid w:val="00094738"/>
    <w:rsid w:val="000A651C"/>
    <w:rsid w:val="000A6791"/>
    <w:rsid w:val="000B20F7"/>
    <w:rsid w:val="000B3830"/>
    <w:rsid w:val="000B6F5C"/>
    <w:rsid w:val="000D15F8"/>
    <w:rsid w:val="000D372E"/>
    <w:rsid w:val="000D398E"/>
    <w:rsid w:val="000D4D8B"/>
    <w:rsid w:val="000D63CA"/>
    <w:rsid w:val="000F019B"/>
    <w:rsid w:val="000F248E"/>
    <w:rsid w:val="001109A2"/>
    <w:rsid w:val="001420E0"/>
    <w:rsid w:val="0014685B"/>
    <w:rsid w:val="00150743"/>
    <w:rsid w:val="0015172E"/>
    <w:rsid w:val="0016082A"/>
    <w:rsid w:val="00163DFF"/>
    <w:rsid w:val="001707DE"/>
    <w:rsid w:val="0017418D"/>
    <w:rsid w:val="00181079"/>
    <w:rsid w:val="00181BA5"/>
    <w:rsid w:val="00196837"/>
    <w:rsid w:val="00196949"/>
    <w:rsid w:val="001A1098"/>
    <w:rsid w:val="001B0BB4"/>
    <w:rsid w:val="001C46FD"/>
    <w:rsid w:val="001C51B2"/>
    <w:rsid w:val="001D3900"/>
    <w:rsid w:val="001D6DC0"/>
    <w:rsid w:val="001D7FC5"/>
    <w:rsid w:val="001F4468"/>
    <w:rsid w:val="00217125"/>
    <w:rsid w:val="002233A0"/>
    <w:rsid w:val="00251474"/>
    <w:rsid w:val="002569F2"/>
    <w:rsid w:val="0026460E"/>
    <w:rsid w:val="00264A67"/>
    <w:rsid w:val="00276A7C"/>
    <w:rsid w:val="0028085F"/>
    <w:rsid w:val="00295FB9"/>
    <w:rsid w:val="002A5378"/>
    <w:rsid w:val="002A57F3"/>
    <w:rsid w:val="002B489B"/>
    <w:rsid w:val="002B4971"/>
    <w:rsid w:val="002B5684"/>
    <w:rsid w:val="002B6DE6"/>
    <w:rsid w:val="002D5342"/>
    <w:rsid w:val="002D7127"/>
    <w:rsid w:val="002E4552"/>
    <w:rsid w:val="002E5C6F"/>
    <w:rsid w:val="002F1BA2"/>
    <w:rsid w:val="002F2B1A"/>
    <w:rsid w:val="002F43AB"/>
    <w:rsid w:val="0030282C"/>
    <w:rsid w:val="00306E3F"/>
    <w:rsid w:val="003501E0"/>
    <w:rsid w:val="0035094A"/>
    <w:rsid w:val="00352124"/>
    <w:rsid w:val="00353CCC"/>
    <w:rsid w:val="003555C2"/>
    <w:rsid w:val="00365A45"/>
    <w:rsid w:val="0037089C"/>
    <w:rsid w:val="00372C59"/>
    <w:rsid w:val="00384BAE"/>
    <w:rsid w:val="00385A8E"/>
    <w:rsid w:val="003866C4"/>
    <w:rsid w:val="00392157"/>
    <w:rsid w:val="00395227"/>
    <w:rsid w:val="00397B0F"/>
    <w:rsid w:val="003A3B68"/>
    <w:rsid w:val="003A5009"/>
    <w:rsid w:val="003A6863"/>
    <w:rsid w:val="003C2ADD"/>
    <w:rsid w:val="003C52B1"/>
    <w:rsid w:val="003D2BAB"/>
    <w:rsid w:val="003D2C45"/>
    <w:rsid w:val="003E067D"/>
    <w:rsid w:val="003E5C04"/>
    <w:rsid w:val="003F4CC5"/>
    <w:rsid w:val="00410562"/>
    <w:rsid w:val="0041206B"/>
    <w:rsid w:val="00421E59"/>
    <w:rsid w:val="00451877"/>
    <w:rsid w:val="004522F0"/>
    <w:rsid w:val="00481DCF"/>
    <w:rsid w:val="00486A71"/>
    <w:rsid w:val="004A4DEC"/>
    <w:rsid w:val="004B06F8"/>
    <w:rsid w:val="004C5618"/>
    <w:rsid w:val="004C60B2"/>
    <w:rsid w:val="004C7ED4"/>
    <w:rsid w:val="004D3A69"/>
    <w:rsid w:val="004E01C4"/>
    <w:rsid w:val="004F07C5"/>
    <w:rsid w:val="00505022"/>
    <w:rsid w:val="00505CCA"/>
    <w:rsid w:val="005077CB"/>
    <w:rsid w:val="0054791B"/>
    <w:rsid w:val="00555A9D"/>
    <w:rsid w:val="005678F2"/>
    <w:rsid w:val="00573911"/>
    <w:rsid w:val="00581A7F"/>
    <w:rsid w:val="0059033C"/>
    <w:rsid w:val="00594DA7"/>
    <w:rsid w:val="005A4458"/>
    <w:rsid w:val="005B5971"/>
    <w:rsid w:val="005C7E01"/>
    <w:rsid w:val="005D7F15"/>
    <w:rsid w:val="005E025D"/>
    <w:rsid w:val="005E3AC5"/>
    <w:rsid w:val="005F0C0F"/>
    <w:rsid w:val="005F28AE"/>
    <w:rsid w:val="0060137D"/>
    <w:rsid w:val="00603D77"/>
    <w:rsid w:val="00615F1E"/>
    <w:rsid w:val="00617E16"/>
    <w:rsid w:val="00623C82"/>
    <w:rsid w:val="006271E0"/>
    <w:rsid w:val="006435AF"/>
    <w:rsid w:val="00650EDF"/>
    <w:rsid w:val="00671421"/>
    <w:rsid w:val="00673CE2"/>
    <w:rsid w:val="006803D9"/>
    <w:rsid w:val="006828D9"/>
    <w:rsid w:val="00685BB2"/>
    <w:rsid w:val="006910AD"/>
    <w:rsid w:val="006A38DF"/>
    <w:rsid w:val="006B270F"/>
    <w:rsid w:val="006C2AE0"/>
    <w:rsid w:val="006C65C2"/>
    <w:rsid w:val="006C6F9D"/>
    <w:rsid w:val="006D1E2F"/>
    <w:rsid w:val="006D7FF3"/>
    <w:rsid w:val="006E2EDE"/>
    <w:rsid w:val="006E3B0E"/>
    <w:rsid w:val="006E5B28"/>
    <w:rsid w:val="006F4C31"/>
    <w:rsid w:val="00703E85"/>
    <w:rsid w:val="0070570C"/>
    <w:rsid w:val="00714307"/>
    <w:rsid w:val="0071516E"/>
    <w:rsid w:val="00715E44"/>
    <w:rsid w:val="00720374"/>
    <w:rsid w:val="00733487"/>
    <w:rsid w:val="0073390B"/>
    <w:rsid w:val="00750166"/>
    <w:rsid w:val="00750304"/>
    <w:rsid w:val="007504A8"/>
    <w:rsid w:val="00760C46"/>
    <w:rsid w:val="00774739"/>
    <w:rsid w:val="007756F7"/>
    <w:rsid w:val="00775D4E"/>
    <w:rsid w:val="00776413"/>
    <w:rsid w:val="00777A5D"/>
    <w:rsid w:val="00781B98"/>
    <w:rsid w:val="00787926"/>
    <w:rsid w:val="00791E49"/>
    <w:rsid w:val="00792BFA"/>
    <w:rsid w:val="007A66D6"/>
    <w:rsid w:val="007B1299"/>
    <w:rsid w:val="007B5F9B"/>
    <w:rsid w:val="007C2CBA"/>
    <w:rsid w:val="007C2F99"/>
    <w:rsid w:val="007D1B8D"/>
    <w:rsid w:val="007D2497"/>
    <w:rsid w:val="007D2851"/>
    <w:rsid w:val="007D33D3"/>
    <w:rsid w:val="007E5709"/>
    <w:rsid w:val="007E6A9F"/>
    <w:rsid w:val="007F3584"/>
    <w:rsid w:val="00805C65"/>
    <w:rsid w:val="00822419"/>
    <w:rsid w:val="008360EA"/>
    <w:rsid w:val="00836828"/>
    <w:rsid w:val="00856394"/>
    <w:rsid w:val="008613A4"/>
    <w:rsid w:val="00864F07"/>
    <w:rsid w:val="0087220E"/>
    <w:rsid w:val="00894D4E"/>
    <w:rsid w:val="008A2C11"/>
    <w:rsid w:val="008A4B6E"/>
    <w:rsid w:val="008A4F11"/>
    <w:rsid w:val="008A50FC"/>
    <w:rsid w:val="008C19C7"/>
    <w:rsid w:val="008D6781"/>
    <w:rsid w:val="008E359E"/>
    <w:rsid w:val="008F23D6"/>
    <w:rsid w:val="0090160E"/>
    <w:rsid w:val="00902708"/>
    <w:rsid w:val="00951BD1"/>
    <w:rsid w:val="00952726"/>
    <w:rsid w:val="009615F0"/>
    <w:rsid w:val="00961788"/>
    <w:rsid w:val="00962908"/>
    <w:rsid w:val="00965655"/>
    <w:rsid w:val="00966EE2"/>
    <w:rsid w:val="00967D17"/>
    <w:rsid w:val="00971CD6"/>
    <w:rsid w:val="00977D42"/>
    <w:rsid w:val="00992DD1"/>
    <w:rsid w:val="00994F88"/>
    <w:rsid w:val="009A4A89"/>
    <w:rsid w:val="009B26DA"/>
    <w:rsid w:val="009B2AA6"/>
    <w:rsid w:val="009B2C97"/>
    <w:rsid w:val="009B4E0F"/>
    <w:rsid w:val="009B5394"/>
    <w:rsid w:val="009B6ACC"/>
    <w:rsid w:val="009C124F"/>
    <w:rsid w:val="009C7BDF"/>
    <w:rsid w:val="009D2FDA"/>
    <w:rsid w:val="009D75F3"/>
    <w:rsid w:val="009F26DE"/>
    <w:rsid w:val="009F77C9"/>
    <w:rsid w:val="00A03B4C"/>
    <w:rsid w:val="00A11F31"/>
    <w:rsid w:val="00A16F9F"/>
    <w:rsid w:val="00A214DE"/>
    <w:rsid w:val="00A32DCD"/>
    <w:rsid w:val="00A3409F"/>
    <w:rsid w:val="00A42060"/>
    <w:rsid w:val="00A46D24"/>
    <w:rsid w:val="00A6320F"/>
    <w:rsid w:val="00A66DF6"/>
    <w:rsid w:val="00A748CB"/>
    <w:rsid w:val="00A77CE3"/>
    <w:rsid w:val="00A90805"/>
    <w:rsid w:val="00A95286"/>
    <w:rsid w:val="00A9702C"/>
    <w:rsid w:val="00A97403"/>
    <w:rsid w:val="00AA05C2"/>
    <w:rsid w:val="00AB113D"/>
    <w:rsid w:val="00AB4437"/>
    <w:rsid w:val="00AC3239"/>
    <w:rsid w:val="00AF47FD"/>
    <w:rsid w:val="00B23020"/>
    <w:rsid w:val="00B2590B"/>
    <w:rsid w:val="00B2728D"/>
    <w:rsid w:val="00B34081"/>
    <w:rsid w:val="00B34725"/>
    <w:rsid w:val="00B45C47"/>
    <w:rsid w:val="00B479A8"/>
    <w:rsid w:val="00B54E68"/>
    <w:rsid w:val="00B61333"/>
    <w:rsid w:val="00B67D49"/>
    <w:rsid w:val="00B71394"/>
    <w:rsid w:val="00B818B5"/>
    <w:rsid w:val="00B91940"/>
    <w:rsid w:val="00B97ADC"/>
    <w:rsid w:val="00BA4EC3"/>
    <w:rsid w:val="00BC0080"/>
    <w:rsid w:val="00BC3F60"/>
    <w:rsid w:val="00BC4829"/>
    <w:rsid w:val="00BE16AD"/>
    <w:rsid w:val="00C020BD"/>
    <w:rsid w:val="00C114E6"/>
    <w:rsid w:val="00C12562"/>
    <w:rsid w:val="00C12EE5"/>
    <w:rsid w:val="00C36507"/>
    <w:rsid w:val="00C36CB2"/>
    <w:rsid w:val="00C4047A"/>
    <w:rsid w:val="00C42888"/>
    <w:rsid w:val="00C450C6"/>
    <w:rsid w:val="00C72DAA"/>
    <w:rsid w:val="00C75E11"/>
    <w:rsid w:val="00C8427E"/>
    <w:rsid w:val="00C872F8"/>
    <w:rsid w:val="00C91E91"/>
    <w:rsid w:val="00CA3B73"/>
    <w:rsid w:val="00CA726F"/>
    <w:rsid w:val="00CB4C6E"/>
    <w:rsid w:val="00CB7AB1"/>
    <w:rsid w:val="00CC4B75"/>
    <w:rsid w:val="00CC5661"/>
    <w:rsid w:val="00CD1545"/>
    <w:rsid w:val="00CD39C2"/>
    <w:rsid w:val="00CD49C6"/>
    <w:rsid w:val="00CD7DAF"/>
    <w:rsid w:val="00CE0CA0"/>
    <w:rsid w:val="00CE6F02"/>
    <w:rsid w:val="00CF7466"/>
    <w:rsid w:val="00D05261"/>
    <w:rsid w:val="00D1226E"/>
    <w:rsid w:val="00D5373B"/>
    <w:rsid w:val="00D66967"/>
    <w:rsid w:val="00D75943"/>
    <w:rsid w:val="00D75A15"/>
    <w:rsid w:val="00D8348A"/>
    <w:rsid w:val="00D83DEC"/>
    <w:rsid w:val="00D86068"/>
    <w:rsid w:val="00D9186A"/>
    <w:rsid w:val="00D963AB"/>
    <w:rsid w:val="00D9656F"/>
    <w:rsid w:val="00DA2044"/>
    <w:rsid w:val="00DB2980"/>
    <w:rsid w:val="00DB6D19"/>
    <w:rsid w:val="00DC19DA"/>
    <w:rsid w:val="00DC653C"/>
    <w:rsid w:val="00DD7B2E"/>
    <w:rsid w:val="00DE6911"/>
    <w:rsid w:val="00DF4A65"/>
    <w:rsid w:val="00E0130C"/>
    <w:rsid w:val="00E07404"/>
    <w:rsid w:val="00E125FC"/>
    <w:rsid w:val="00E21C58"/>
    <w:rsid w:val="00E24F13"/>
    <w:rsid w:val="00E26F65"/>
    <w:rsid w:val="00E35419"/>
    <w:rsid w:val="00E4221C"/>
    <w:rsid w:val="00E50F60"/>
    <w:rsid w:val="00E53686"/>
    <w:rsid w:val="00E563AB"/>
    <w:rsid w:val="00E610D0"/>
    <w:rsid w:val="00E6182D"/>
    <w:rsid w:val="00E66227"/>
    <w:rsid w:val="00E7084E"/>
    <w:rsid w:val="00E71E5A"/>
    <w:rsid w:val="00E847F1"/>
    <w:rsid w:val="00E97280"/>
    <w:rsid w:val="00EA08B8"/>
    <w:rsid w:val="00EA3566"/>
    <w:rsid w:val="00EA3E1B"/>
    <w:rsid w:val="00EA46DC"/>
    <w:rsid w:val="00EA6B56"/>
    <w:rsid w:val="00EA7A7E"/>
    <w:rsid w:val="00EB1CB7"/>
    <w:rsid w:val="00EB3DC2"/>
    <w:rsid w:val="00EB44EA"/>
    <w:rsid w:val="00EC2F23"/>
    <w:rsid w:val="00EE3B5A"/>
    <w:rsid w:val="00EE4DD1"/>
    <w:rsid w:val="00EF56AE"/>
    <w:rsid w:val="00F0021E"/>
    <w:rsid w:val="00F06309"/>
    <w:rsid w:val="00F137D0"/>
    <w:rsid w:val="00F20F54"/>
    <w:rsid w:val="00F25241"/>
    <w:rsid w:val="00F253F5"/>
    <w:rsid w:val="00F448D6"/>
    <w:rsid w:val="00F77F44"/>
    <w:rsid w:val="00F90880"/>
    <w:rsid w:val="00F9317C"/>
    <w:rsid w:val="00F975CF"/>
    <w:rsid w:val="00FA1C57"/>
    <w:rsid w:val="00FA37AE"/>
    <w:rsid w:val="00FA3899"/>
    <w:rsid w:val="00FA6C90"/>
    <w:rsid w:val="00FB7DAB"/>
    <w:rsid w:val="00FC1CE3"/>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E5243B"/>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ADBA4-931A-4483-BBFD-CA252FB2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6131</Words>
  <Characters>36179</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2017-06-22T09:20:00Z</cp:lastPrinted>
  <dcterms:created xsi:type="dcterms:W3CDTF">2025-03-28T11:03:00Z</dcterms:created>
  <dcterms:modified xsi:type="dcterms:W3CDTF">2025-03-28T11:18:00Z</dcterms:modified>
</cp:coreProperties>
</file>