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957" w:right="684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7236200014</w:t>
      </w:r>
    </w:p>
    <w:p>
      <w:pPr>
        <w:spacing w:line="425" w:lineRule="exact" w:before="2"/>
        <w:ind w:left="953" w:right="68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950" w:right="686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Sokoleč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176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Sokoleč,</w:t>
      </w:r>
      <w:r>
        <w:rPr>
          <w:spacing w:val="-5"/>
        </w:rPr>
        <w:t> </w:t>
      </w:r>
      <w:r>
        <w:rPr/>
        <w:t>Kolínská</w:t>
      </w:r>
      <w:r>
        <w:rPr>
          <w:spacing w:val="-7"/>
        </w:rPr>
        <w:t> </w:t>
      </w:r>
      <w:r>
        <w:rPr/>
        <w:t>424,</w:t>
      </w:r>
      <w:r>
        <w:rPr>
          <w:spacing w:val="-5"/>
        </w:rPr>
        <w:t> </w:t>
      </w:r>
      <w:r>
        <w:rPr/>
        <w:t>290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Sokoleč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00239771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Mariánem</w:t>
      </w:r>
      <w:r>
        <w:rPr>
          <w:spacing w:val="52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1314191/0710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954"/>
      </w:pPr>
      <w:r>
        <w:rPr>
          <w:spacing w:val="-5"/>
        </w:rPr>
        <w:t>I.</w:t>
      </w:r>
    </w:p>
    <w:p>
      <w:pPr>
        <w:pStyle w:val="Heading2"/>
        <w:ind w:left="95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</w:pPr>
      <w:r>
        <w:rPr/>
        <w:t>„Smlouva“) se uzavírá na základě Rozhodnutí ministra životního prostředí č. 7236200014 o poskytnutí finančních prostředků ze Státního fondu životního prostředí ČR ze dne 14.</w:t>
      </w:r>
      <w:r>
        <w:rPr>
          <w:spacing w:val="-3"/>
        </w:rPr>
        <w:t> </w:t>
      </w:r>
      <w:r>
        <w:rPr/>
        <w:t>10.</w:t>
      </w:r>
      <w:r>
        <w:rPr>
          <w:spacing w:val="-3"/>
        </w:rPr>
        <w:t> </w:t>
      </w:r>
      <w:r>
        <w:rPr/>
        <w:t>2024 v</w:t>
      </w:r>
      <w:r>
        <w:rPr>
          <w:spacing w:val="-2"/>
        </w:rPr>
        <w:t> </w:t>
      </w:r>
      <w:r>
        <w:rPr/>
        <w:t>rámci Programu financovaného z</w:t>
      </w:r>
      <w:r>
        <w:rPr>
          <w:spacing w:val="-1"/>
        </w:rPr>
        <w:t> </w:t>
      </w:r>
      <w:r>
        <w:rPr/>
        <w:t>prostředků Modernizačního fondu (dále jen „Rozhodnutí“) a Směrnice 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(dále jen „Směrnice MŽP“)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4"/>
          <w:sz w:val="20"/>
        </w:rPr>
        <w:t> </w:t>
      </w:r>
      <w:r>
        <w:rPr>
          <w:sz w:val="20"/>
        </w:rPr>
        <w:t>potvrzuje,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seznámil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Směrnicí</w:t>
      </w:r>
      <w:r>
        <w:rPr>
          <w:spacing w:val="24"/>
          <w:sz w:val="20"/>
        </w:rPr>
        <w:t> </w:t>
      </w:r>
      <w:r>
        <w:rPr>
          <w:sz w:val="20"/>
        </w:rPr>
        <w:t>MŽP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23"/>
          <w:sz w:val="20"/>
        </w:rPr>
        <w:t> </w:t>
      </w:r>
      <w:r>
        <w:rPr>
          <w:sz w:val="20"/>
        </w:rPr>
        <w:t>příloh</w:t>
      </w:r>
      <w:r>
        <w:rPr>
          <w:spacing w:val="26"/>
          <w:sz w:val="20"/>
        </w:rPr>
        <w:t> </w:t>
      </w:r>
      <w:r>
        <w:rPr>
          <w:sz w:val="20"/>
        </w:rPr>
        <w:t>této</w:t>
      </w:r>
      <w:r>
        <w:rPr>
          <w:spacing w:val="25"/>
          <w:sz w:val="20"/>
        </w:rPr>
        <w:t> </w:t>
      </w:r>
      <w:r>
        <w:rPr>
          <w:sz w:val="20"/>
        </w:rPr>
        <w:t>směrnice)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Výzvou č.</w:t>
      </w:r>
      <w:r>
        <w:rPr>
          <w:spacing w:val="-2"/>
          <w:sz w:val="20"/>
        </w:rPr>
        <w:t> </w:t>
      </w:r>
      <w:r>
        <w:rPr>
          <w:sz w:val="20"/>
        </w:rPr>
        <w:t>2/2023</w:t>
      </w:r>
      <w:r>
        <w:rPr>
          <w:spacing w:val="3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poskytnutí</w:t>
      </w:r>
      <w:r>
        <w:rPr>
          <w:spacing w:val="34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prostředků</w:t>
      </w:r>
      <w:r>
        <w:rPr>
          <w:spacing w:val="35"/>
          <w:sz w:val="20"/>
        </w:rPr>
        <w:t> </w:t>
      </w:r>
      <w:r>
        <w:rPr>
          <w:sz w:val="20"/>
        </w:rPr>
        <w:t>Modernizačního</w:t>
      </w:r>
      <w:r>
        <w:rPr>
          <w:spacing w:val="35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(dále</w:t>
      </w:r>
      <w:r>
        <w:rPr>
          <w:spacing w:val="33"/>
          <w:sz w:val="20"/>
        </w:rPr>
        <w:t> </w:t>
      </w:r>
      <w:r>
        <w:rPr>
          <w:sz w:val="20"/>
        </w:rPr>
        <w:t>jen</w:t>
      </w:r>
    </w:p>
    <w:p>
      <w:pPr>
        <w:pStyle w:val="BodyText"/>
      </w:pPr>
      <w:r>
        <w:rPr/>
        <w:t>„Výzva“),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že</w:t>
      </w:r>
      <w:r>
        <w:rPr>
          <w:spacing w:val="-8"/>
        </w:rPr>
        <w:t> </w:t>
      </w:r>
      <w:r>
        <w:rPr/>
        <w:t>náležitosti</w:t>
      </w:r>
      <w:r>
        <w:rPr>
          <w:spacing w:val="-6"/>
        </w:rPr>
        <w:t> </w:t>
      </w:r>
      <w:r>
        <w:rPr/>
        <w:t>akce</w:t>
      </w:r>
      <w:r>
        <w:rPr>
          <w:spacing w:val="-8"/>
        </w:rPr>
        <w:t> </w:t>
      </w:r>
      <w:r>
        <w:rPr/>
        <w:t>odpovídají</w:t>
      </w:r>
      <w:r>
        <w:rPr>
          <w:spacing w:val="-8"/>
        </w:rPr>
        <w:t> </w:t>
      </w:r>
      <w:r>
        <w:rPr/>
        <w:t>podmínkám</w:t>
      </w:r>
      <w:r>
        <w:rPr>
          <w:spacing w:val="-7"/>
        </w:rPr>
        <w:t> </w:t>
      </w:r>
      <w:r>
        <w:rPr/>
        <w:t>stanoveným</w:t>
      </w:r>
      <w:r>
        <w:rPr>
          <w:spacing w:val="-7"/>
        </w:rPr>
        <w:t> </w:t>
      </w:r>
      <w:r>
        <w:rPr/>
        <w:t>Rozhodnutím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Výzvou.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44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4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20"/>
        <w:ind w:left="957"/>
      </w:pPr>
      <w:r>
        <w:rPr/>
        <w:t>„ENERGETICKÉ</w:t>
      </w:r>
      <w:r>
        <w:rPr>
          <w:spacing w:val="-8"/>
        </w:rPr>
        <w:t> </w:t>
      </w:r>
      <w:r>
        <w:rPr/>
        <w:t>ÚSPORY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ZÁKLADNÍ</w:t>
      </w:r>
      <w:r>
        <w:rPr>
          <w:spacing w:val="-10"/>
        </w:rPr>
        <w:t> </w:t>
      </w:r>
      <w:r>
        <w:rPr/>
        <w:t>ŠKOLA</w:t>
      </w:r>
      <w:r>
        <w:rPr>
          <w:spacing w:val="-9"/>
        </w:rPr>
        <w:t> </w:t>
      </w:r>
      <w:r>
        <w:rPr/>
        <w:t>LETCE</w:t>
      </w:r>
      <w:r>
        <w:rPr>
          <w:spacing w:val="-10"/>
        </w:rPr>
        <w:t> </w:t>
      </w:r>
      <w:r>
        <w:rPr/>
        <w:t>FRANTIŠKA</w:t>
      </w:r>
      <w:r>
        <w:rPr>
          <w:spacing w:val="-11"/>
        </w:rPr>
        <w:t> </w:t>
      </w:r>
      <w:r>
        <w:rPr/>
        <w:t>NOVÁKA</w:t>
      </w:r>
      <w:r>
        <w:rPr>
          <w:spacing w:val="-11"/>
        </w:rPr>
        <w:t> </w:t>
      </w:r>
      <w:r>
        <w:rPr/>
        <w:t>SOKOLEČ,</w:t>
      </w:r>
      <w:r>
        <w:rPr>
          <w:spacing w:val="-10"/>
        </w:rPr>
        <w:t> </w:t>
      </w:r>
      <w:r>
        <w:rPr>
          <w:spacing w:val="-2"/>
        </w:rPr>
        <w:t>P.O.“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8" w:hanging="360"/>
        <w:jc w:val="both"/>
        <w:rPr>
          <w:sz w:val="20"/>
        </w:rPr>
      </w:pPr>
      <w:r>
        <w:rPr>
          <w:sz w:val="20"/>
        </w:rPr>
        <w:t>Podpora je poskytována v souladu s podmínkami nařízení Komise (EU) 2020/1001 ze dne 9. července 2020, kterým se stanoví prováděcí pravidla ke směrnici Evropského parlamentu a Rady 2003/87/ES.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954"/>
      </w:pPr>
      <w:r>
        <w:rPr>
          <w:spacing w:val="-5"/>
        </w:rPr>
        <w:t>II.</w:t>
      </w:r>
    </w:p>
    <w:p>
      <w:pPr>
        <w:pStyle w:val="Heading2"/>
        <w:spacing w:before="1"/>
        <w:ind w:left="951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660,10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741"/>
      </w:pPr>
      <w:r>
        <w:rPr/>
        <w:t>šest</w:t>
      </w:r>
      <w:r>
        <w:rPr>
          <w:spacing w:val="-6"/>
        </w:rPr>
        <w:t> </w:t>
      </w:r>
      <w:r>
        <w:rPr/>
        <w:t>milionů</w:t>
      </w:r>
      <w:r>
        <w:rPr>
          <w:spacing w:val="46"/>
        </w:rPr>
        <w:t> </w:t>
      </w:r>
      <w:r>
        <w:rPr/>
        <w:t>třináct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šedesát</w:t>
      </w:r>
      <w:r>
        <w:rPr>
          <w:spacing w:val="-2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deset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6 990 675,04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25. února 2021;</w:t>
      </w:r>
      <w:r>
        <w:rPr>
          <w:spacing w:val="-1"/>
          <w:sz w:val="20"/>
        </w:rPr>
        <w:t> </w:t>
      </w:r>
      <w:r>
        <w:rPr>
          <w:sz w:val="20"/>
        </w:rPr>
        <w:t>ustanovení článku 9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4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článků</w:t>
      </w:r>
      <w:r>
        <w:rPr>
          <w:spacing w:val="-2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950"/>
      </w:pPr>
      <w:r>
        <w:rPr>
          <w:spacing w:val="-4"/>
        </w:rPr>
        <w:t>III.</w:t>
      </w:r>
    </w:p>
    <w:p>
      <w:pPr>
        <w:pStyle w:val="Heading2"/>
        <w:ind w:left="95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660,10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4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14.3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44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17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zlepšení</w:t>
      </w:r>
      <w:r>
        <w:rPr>
          <w:spacing w:val="-14"/>
          <w:sz w:val="20"/>
        </w:rPr>
        <w:t> </w:t>
      </w:r>
      <w:r>
        <w:rPr>
          <w:sz w:val="20"/>
        </w:rPr>
        <w:t>střech</w:t>
      </w:r>
      <w:r>
        <w:rPr>
          <w:spacing w:val="-13"/>
          <w:sz w:val="20"/>
        </w:rPr>
        <w:t> </w:t>
      </w:r>
      <w:r>
        <w:rPr>
          <w:sz w:val="20"/>
        </w:rPr>
        <w:t>objektu,</w:t>
      </w:r>
      <w:r>
        <w:rPr>
          <w:spacing w:val="-14"/>
          <w:sz w:val="20"/>
        </w:rPr>
        <w:t> </w:t>
      </w:r>
      <w:r>
        <w:rPr>
          <w:sz w:val="20"/>
        </w:rPr>
        <w:t>provedení</w:t>
      </w:r>
      <w:r>
        <w:rPr>
          <w:spacing w:val="-14"/>
          <w:sz w:val="20"/>
        </w:rPr>
        <w:t> </w:t>
      </w:r>
      <w:r>
        <w:rPr>
          <w:sz w:val="20"/>
        </w:rPr>
        <w:t>dřevovláknitého</w:t>
      </w:r>
      <w:r>
        <w:rPr>
          <w:spacing w:val="-13"/>
          <w:sz w:val="20"/>
        </w:rPr>
        <w:t> </w:t>
      </w:r>
      <w:r>
        <w:rPr>
          <w:sz w:val="20"/>
        </w:rPr>
        <w:t>podhledu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izolací</w:t>
      </w:r>
      <w:r>
        <w:rPr>
          <w:spacing w:val="-13"/>
          <w:sz w:val="20"/>
        </w:rPr>
        <w:t> </w:t>
      </w:r>
      <w:r>
        <w:rPr>
          <w:sz w:val="20"/>
        </w:rPr>
        <w:t>minerální</w:t>
      </w:r>
      <w:r>
        <w:rPr>
          <w:spacing w:val="-14"/>
          <w:sz w:val="20"/>
        </w:rPr>
        <w:t> </w:t>
      </w:r>
      <w:r>
        <w:rPr>
          <w:sz w:val="20"/>
        </w:rPr>
        <w:t>vatou,</w:t>
      </w:r>
      <w:r>
        <w:rPr>
          <w:spacing w:val="-14"/>
          <w:sz w:val="20"/>
        </w:rPr>
        <w:t> </w:t>
      </w:r>
      <w:r>
        <w:rPr>
          <w:sz w:val="20"/>
        </w:rPr>
        <w:t>dále provedení</w:t>
      </w:r>
      <w:r>
        <w:rPr>
          <w:spacing w:val="-2"/>
          <w:sz w:val="20"/>
        </w:rPr>
        <w:t> </w:t>
      </w:r>
      <w:r>
        <w:rPr>
          <w:sz w:val="20"/>
        </w:rPr>
        <w:t>rozvodů</w:t>
      </w:r>
      <w:r>
        <w:rPr>
          <w:spacing w:val="-1"/>
          <w:sz w:val="20"/>
        </w:rPr>
        <w:t> </w:t>
      </w:r>
      <w:r>
        <w:rPr>
          <w:sz w:val="20"/>
        </w:rPr>
        <w:t>ústředního</w:t>
      </w:r>
      <w:r>
        <w:rPr>
          <w:spacing w:val="-1"/>
          <w:sz w:val="20"/>
        </w:rPr>
        <w:t> </w:t>
      </w:r>
      <w:r>
        <w:rPr>
          <w:sz w:val="20"/>
        </w:rPr>
        <w:t>vytápění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instalace</w:t>
      </w:r>
      <w:r>
        <w:rPr>
          <w:spacing w:val="-3"/>
          <w:sz w:val="20"/>
        </w:rPr>
        <w:t> </w:t>
      </w:r>
      <w:r>
        <w:rPr>
          <w:sz w:val="20"/>
        </w:rPr>
        <w:t>tepelného</w:t>
      </w:r>
      <w:r>
        <w:rPr>
          <w:spacing w:val="-1"/>
          <w:sz w:val="20"/>
        </w:rPr>
        <w:t> </w:t>
      </w:r>
      <w:r>
        <w:rPr>
          <w:sz w:val="20"/>
        </w:rPr>
        <w:t>čerpadla,</w:t>
      </w:r>
      <w:r>
        <w:rPr>
          <w:spacing w:val="-2"/>
          <w:sz w:val="20"/>
        </w:rPr>
        <w:t> </w:t>
      </w:r>
      <w:r>
        <w:rPr>
          <w:sz w:val="20"/>
        </w:rPr>
        <w:t>elektroinstalace</w:t>
      </w:r>
      <w:r>
        <w:rPr>
          <w:spacing w:val="-3"/>
          <w:sz w:val="20"/>
        </w:rPr>
        <w:t> </w:t>
      </w:r>
      <w:r>
        <w:rPr>
          <w:sz w:val="20"/>
        </w:rPr>
        <w:t>osvětlení a fotovoltaické elektrárny, výměna zářivkových světelných zdrojů a těles za LED,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7"/>
        <w:gridCol w:w="1640"/>
        <w:gridCol w:w="1662"/>
        <w:gridCol w:w="1601"/>
      </w:tblGrid>
      <w:tr>
        <w:trPr>
          <w:trHeight w:val="772" w:hRule="atLeast"/>
        </w:trPr>
        <w:tc>
          <w:tcPr>
            <w:tcW w:w="392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elektrické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(kWh)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20.40</w:t>
            </w:r>
          </w:p>
        </w:tc>
      </w:tr>
      <w:tr>
        <w:trPr>
          <w:trHeight w:val="532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(kWe)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kWe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24.07</w:t>
            </w:r>
          </w:p>
        </w:tc>
      </w:tr>
      <w:tr>
        <w:trPr>
          <w:trHeight w:val="532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(kWt)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kWt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64.80</w:t>
            </w:r>
          </w:p>
        </w:tc>
      </w:tr>
      <w:tr>
        <w:trPr>
          <w:trHeight w:val="506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88.87</w:t>
            </w:r>
          </w:p>
        </w:tc>
      </w:tr>
      <w:tr>
        <w:trPr>
          <w:trHeight w:val="505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0" w:right="37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153.86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39.91</w:t>
            </w:r>
          </w:p>
        </w:tc>
      </w:tr>
      <w:tr>
        <w:trPr>
          <w:trHeight w:val="506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644.04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500.36</w:t>
            </w:r>
          </w:p>
        </w:tc>
      </w:tr>
      <w:tr>
        <w:trPr>
          <w:trHeight w:val="532" w:hRule="atLeast"/>
        </w:trPr>
        <w:tc>
          <w:tcPr>
            <w:tcW w:w="3927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0" w:right="3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465.15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124.07</w:t>
            </w:r>
          </w:p>
        </w:tc>
      </w:tr>
      <w:tr>
        <w:trPr>
          <w:trHeight w:val="529" w:hRule="atLeast"/>
        </w:trPr>
        <w:tc>
          <w:tcPr>
            <w:tcW w:w="3927" w:type="dxa"/>
          </w:tcPr>
          <w:p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  <w:p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0"/>
              <w:ind w:left="0" w:right="3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10.58</w:t>
            </w:r>
          </w:p>
        </w:tc>
      </w:tr>
      <w:tr>
        <w:trPr>
          <w:trHeight w:val="506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2"/>
              <w:ind w:left="0" w:right="3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95.20</w:t>
            </w:r>
          </w:p>
        </w:tc>
      </w:tr>
      <w:tr>
        <w:trPr>
          <w:trHeight w:val="532" w:hRule="atLeast"/>
        </w:trPr>
        <w:tc>
          <w:tcPr>
            <w:tcW w:w="392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2"/>
              <w:ind w:left="0" w:right="3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62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84.62</w:t>
            </w:r>
          </w:p>
        </w:tc>
      </w:tr>
    </w:tbl>
    <w:p>
      <w:pPr>
        <w:pStyle w:val="BodyText"/>
        <w:spacing w:before="5"/>
        <w:ind w:left="0"/>
        <w:jc w:val="left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11 písm. d) Výzvy, včetně poznámky pod čarou č. 15 Výzvy),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44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4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11 písm. b) 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13"/>
          <w:sz w:val="20"/>
        </w:rPr>
        <w:t> </w:t>
      </w:r>
      <w:r>
        <w:rPr>
          <w:sz w:val="20"/>
        </w:rPr>
        <w:t>tzv.</w:t>
      </w:r>
      <w:r>
        <w:rPr>
          <w:spacing w:val="-11"/>
          <w:sz w:val="20"/>
        </w:rPr>
        <w:t> </w:t>
      </w:r>
      <w:r>
        <w:rPr>
          <w:sz w:val="20"/>
        </w:rPr>
        <w:t>dvojímu</w:t>
      </w:r>
      <w:r>
        <w:rPr>
          <w:spacing w:val="-12"/>
          <w:sz w:val="20"/>
        </w:rPr>
        <w:t> </w:t>
      </w:r>
      <w:r>
        <w:rPr>
          <w:sz w:val="20"/>
        </w:rPr>
        <w:t>financování,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postupovat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pokynů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9.2.9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17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bude dodržen čl. 11 písm. e) a f)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užívat)).</w:t>
      </w:r>
    </w:p>
    <w:p>
      <w:pPr>
        <w:pStyle w:val="BodyText"/>
        <w:spacing w:before="119"/>
        <w:ind w:left="1063" w:right="112"/>
      </w:pPr>
      <w:r>
        <w:rPr/>
        <w:t>V případě, že uvedená realizační lhůta uběhla před uzavřením této Smlouvy, příjemce podpory prohlašuje,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byla</w:t>
      </w:r>
      <w:r>
        <w:rPr>
          <w:spacing w:val="-4"/>
        </w:rPr>
        <w:t> </w:t>
      </w:r>
      <w:r>
        <w:rPr/>
        <w:t>dodržena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Směrnice</w:t>
      </w:r>
      <w:r>
        <w:rPr>
          <w:spacing w:val="-4"/>
        </w:rPr>
        <w:t> </w:t>
      </w:r>
      <w:r>
        <w:rPr/>
        <w:t>MŽP a</w:t>
      </w:r>
      <w:r>
        <w:rPr>
          <w:spacing w:val="-4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bere</w:t>
      </w:r>
      <w:r>
        <w:rPr>
          <w:spacing w:val="-4"/>
        </w:rPr>
        <w:t> </w:t>
      </w:r>
      <w:r>
        <w:rPr/>
        <w:t>přitom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vědomí,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pokud toto</w:t>
      </w:r>
      <w:r>
        <w:rPr>
          <w:spacing w:val="-14"/>
        </w:rPr>
        <w:t> </w:t>
      </w:r>
      <w:r>
        <w:rPr/>
        <w:t>prohlášení</w:t>
      </w:r>
      <w:r>
        <w:rPr>
          <w:spacing w:val="-14"/>
        </w:rPr>
        <w:t> </w:t>
      </w:r>
      <w:r>
        <w:rPr/>
        <w:t>není</w:t>
      </w:r>
      <w:r>
        <w:rPr>
          <w:spacing w:val="-14"/>
        </w:rPr>
        <w:t> </w:t>
      </w:r>
      <w:r>
        <w:rPr/>
        <w:t>pravdivé,</w:t>
      </w:r>
      <w:r>
        <w:rPr>
          <w:spacing w:val="-13"/>
        </w:rPr>
        <w:t> </w:t>
      </w:r>
      <w:r>
        <w:rPr/>
        <w:t>bude</w:t>
      </w:r>
      <w:r>
        <w:rPr>
          <w:spacing w:val="-14"/>
        </w:rPr>
        <w:t> </w:t>
      </w:r>
      <w:r>
        <w:rPr/>
        <w:t>přijetí</w:t>
      </w:r>
      <w:r>
        <w:rPr>
          <w:spacing w:val="-14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podle</w:t>
      </w:r>
      <w:r>
        <w:rPr>
          <w:spacing w:val="-14"/>
        </w:rPr>
        <w:t> </w:t>
      </w:r>
      <w:r>
        <w:rPr/>
        <w:t>této</w:t>
      </w:r>
      <w:r>
        <w:rPr>
          <w:spacing w:val="-14"/>
        </w:rPr>
        <w:t> </w:t>
      </w:r>
      <w:r>
        <w:rPr/>
        <w:t>Smlouvy</w:t>
      </w:r>
      <w:r>
        <w:rPr>
          <w:spacing w:val="-13"/>
        </w:rPr>
        <w:t> </w:t>
      </w:r>
      <w:r>
        <w:rPr/>
        <w:t>považováno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neoprávněné použití</w:t>
      </w:r>
      <w:r>
        <w:rPr>
          <w:spacing w:val="66"/>
          <w:w w:val="150"/>
        </w:rPr>
        <w:t> </w:t>
      </w:r>
      <w:r>
        <w:rPr/>
        <w:t>finančních</w:t>
      </w:r>
      <w:r>
        <w:rPr>
          <w:spacing w:val="67"/>
          <w:w w:val="150"/>
        </w:rPr>
        <w:t> </w:t>
      </w:r>
      <w:r>
        <w:rPr/>
        <w:t>prostředků</w:t>
      </w:r>
      <w:r>
        <w:rPr>
          <w:spacing w:val="68"/>
          <w:w w:val="150"/>
        </w:rPr>
        <w:t> </w:t>
      </w:r>
      <w:r>
        <w:rPr/>
        <w:t>poskytnutých</w:t>
      </w:r>
      <w:r>
        <w:rPr>
          <w:spacing w:val="67"/>
          <w:w w:val="150"/>
        </w:rPr>
        <w:t> </w:t>
      </w:r>
      <w:r>
        <w:rPr/>
        <w:t>z</w:t>
      </w:r>
      <w:r>
        <w:rPr>
          <w:spacing w:val="69"/>
          <w:w w:val="150"/>
        </w:rPr>
        <w:t> </w:t>
      </w:r>
      <w:r>
        <w:rPr/>
        <w:t>Fondu</w:t>
      </w:r>
      <w:r>
        <w:rPr>
          <w:spacing w:val="68"/>
          <w:w w:val="150"/>
        </w:rPr>
        <w:t> </w:t>
      </w:r>
      <w:r>
        <w:rPr/>
        <w:t>ve</w:t>
      </w:r>
      <w:r>
        <w:rPr>
          <w:spacing w:val="68"/>
          <w:w w:val="150"/>
        </w:rPr>
        <w:t> </w:t>
      </w:r>
      <w:r>
        <w:rPr/>
        <w:t>smyslu</w:t>
      </w:r>
      <w:r>
        <w:rPr>
          <w:spacing w:val="67"/>
          <w:w w:val="150"/>
        </w:rPr>
        <w:t> </w:t>
      </w:r>
      <w:r>
        <w:rPr/>
        <w:t>zákona</w:t>
      </w:r>
      <w:r>
        <w:rPr>
          <w:spacing w:val="68"/>
          <w:w w:val="150"/>
        </w:rPr>
        <w:t> </w:t>
      </w:r>
      <w:r>
        <w:rPr/>
        <w:t>č.</w:t>
      </w:r>
      <w:r>
        <w:rPr>
          <w:spacing w:val="70"/>
          <w:w w:val="150"/>
        </w:rPr>
        <w:t> </w:t>
      </w:r>
      <w:r>
        <w:rPr/>
        <w:t>218/2000</w:t>
      </w:r>
      <w:r>
        <w:rPr>
          <w:spacing w:val="68"/>
          <w:w w:val="150"/>
        </w:rPr>
        <w:t> </w:t>
      </w:r>
      <w:r>
        <w:rPr>
          <w:spacing w:val="-4"/>
        </w:rPr>
        <w:t>Sb.,</w:t>
      </w:r>
    </w:p>
    <w:p>
      <w:pPr>
        <w:pStyle w:val="BodyText"/>
        <w:spacing w:before="2"/>
        <w:ind w:left="1063" w:right="109"/>
      </w:pPr>
      <w:r>
        <w:rPr/>
        <w:t>o</w:t>
      </w:r>
      <w:r>
        <w:rPr>
          <w:spacing w:val="-4"/>
        </w:rPr>
        <w:t> </w:t>
      </w:r>
      <w:r>
        <w:rPr/>
        <w:t>rozpočtových</w:t>
      </w:r>
      <w:r>
        <w:rPr>
          <w:spacing w:val="-9"/>
        </w:rPr>
        <w:t> </w:t>
      </w:r>
      <w:r>
        <w:rPr/>
        <w:t>pravidlech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změně</w:t>
      </w:r>
      <w:r>
        <w:rPr>
          <w:spacing w:val="-10"/>
        </w:rPr>
        <w:t> </w:t>
      </w:r>
      <w:r>
        <w:rPr/>
        <w:t>některých</w:t>
      </w:r>
      <w:r>
        <w:rPr>
          <w:spacing w:val="-9"/>
        </w:rPr>
        <w:t> </w:t>
      </w:r>
      <w:r>
        <w:rPr/>
        <w:t>souvisejících</w:t>
      </w:r>
      <w:r>
        <w:rPr>
          <w:spacing w:val="-9"/>
        </w:rPr>
        <w:t> </w:t>
      </w:r>
      <w:r>
        <w:rPr/>
        <w:t>zákonů</w:t>
      </w:r>
      <w:r>
        <w:rPr>
          <w:spacing w:val="-9"/>
        </w:rPr>
        <w:t> </w:t>
      </w:r>
      <w:r>
        <w:rPr/>
        <w:t>(rozpočtová</w:t>
      </w:r>
      <w:r>
        <w:rPr>
          <w:spacing w:val="-7"/>
        </w:rPr>
        <w:t> </w:t>
      </w:r>
      <w:r>
        <w:rPr/>
        <w:t>pravidla),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 pozdějších předpisů,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03/2026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14 bodu 14.4 Výzvy.</w:t>
      </w:r>
    </w:p>
    <w:p>
      <w:pPr>
        <w:pStyle w:val="BodyText"/>
        <w:spacing w:before="120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spacing w:before="14"/>
        <w:ind w:left="948"/>
      </w:pPr>
      <w:r>
        <w:rPr/>
        <w:t>poskytnuté</w:t>
      </w:r>
      <w:r>
        <w:rPr>
          <w:spacing w:val="-8"/>
        </w:rPr>
        <w:t> </w:t>
      </w:r>
      <w:r>
        <w:rPr/>
        <w:t>peněžní</w:t>
      </w:r>
      <w:r>
        <w:rPr>
          <w:spacing w:val="-7"/>
        </w:rPr>
        <w:t> </w:t>
      </w:r>
      <w:r>
        <w:rPr/>
        <w:t>prostředky</w:t>
      </w:r>
      <w:r>
        <w:rPr>
          <w:spacing w:val="-7"/>
        </w:rPr>
        <w:t> </w:t>
      </w:r>
      <w:r>
        <w:rPr/>
        <w:t>odpadne</w:t>
      </w:r>
      <w:r>
        <w:rPr>
          <w:spacing w:val="-7"/>
        </w:rPr>
        <w:t> </w:t>
      </w:r>
      <w:r>
        <w:rPr/>
        <w:t>pouze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přechodnou</w:t>
      </w:r>
      <w:r>
        <w:rPr>
          <w:spacing w:val="-6"/>
        </w:rPr>
        <w:t> </w:t>
      </w:r>
      <w:r>
        <w:rPr>
          <w:spacing w:val="-2"/>
        </w:rPr>
        <w:t>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11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951"/>
      </w:pPr>
      <w:r>
        <w:rPr/>
        <w:t>Porušení</w:t>
      </w:r>
      <w:r>
        <w:rPr>
          <w:spacing w:val="-6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5,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 nebo podle článku IV bodu 2 písm. a) nebo c),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z w:val="20"/>
        </w:rPr>
        <w:t>podpory.</w:t>
      </w:r>
      <w:r>
        <w:rPr>
          <w:spacing w:val="-6"/>
          <w:sz w:val="20"/>
        </w:rPr>
        <w:t> </w:t>
      </w:r>
      <w:r>
        <w:rPr>
          <w:sz w:val="20"/>
        </w:rPr>
        <w:t>Byl-li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a)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druhou nebo třetí</w:t>
      </w:r>
      <w:r>
        <w:rPr>
          <w:spacing w:val="-2"/>
          <w:sz w:val="20"/>
        </w:rPr>
        <w:t> </w:t>
      </w:r>
      <w:r>
        <w:rPr>
          <w:sz w:val="20"/>
        </w:rPr>
        <w:t>odrážkou na</w:t>
      </w:r>
      <w:r>
        <w:rPr>
          <w:spacing w:val="-3"/>
          <w:sz w:val="20"/>
        </w:rPr>
        <w:t> </w:t>
      </w:r>
      <w:r>
        <w:rPr>
          <w:sz w:val="20"/>
        </w:rPr>
        <w:t>méně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50 %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 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 50-79,99</w:t>
      </w:r>
      <w:r>
        <w:rPr>
          <w:spacing w:val="64"/>
          <w:sz w:val="20"/>
        </w:rPr>
        <w:t> </w:t>
      </w:r>
      <w:r>
        <w:rPr>
          <w:sz w:val="20"/>
        </w:rPr>
        <w:t>%</w:t>
      </w:r>
      <w:r>
        <w:rPr>
          <w:spacing w:val="63"/>
          <w:sz w:val="20"/>
        </w:rPr>
        <w:t> </w:t>
      </w:r>
      <w:r>
        <w:rPr>
          <w:sz w:val="20"/>
        </w:rPr>
        <w:t>stanovených</w:t>
      </w:r>
      <w:r>
        <w:rPr>
          <w:spacing w:val="63"/>
          <w:sz w:val="20"/>
        </w:rPr>
        <w:t> </w:t>
      </w:r>
      <w:r>
        <w:rPr>
          <w:sz w:val="20"/>
        </w:rPr>
        <w:t>indikátorů,</w:t>
      </w:r>
      <w:r>
        <w:rPr>
          <w:spacing w:val="63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toto</w:t>
      </w:r>
      <w:r>
        <w:rPr>
          <w:spacing w:val="64"/>
          <w:sz w:val="20"/>
        </w:rPr>
        <w:t> </w:t>
      </w:r>
      <w:r>
        <w:rPr>
          <w:sz w:val="20"/>
        </w:rPr>
        <w:t>porušení</w:t>
      </w:r>
      <w:r>
        <w:rPr>
          <w:spacing w:val="63"/>
          <w:sz w:val="20"/>
        </w:rPr>
        <w:t> </w:t>
      </w:r>
      <w:r>
        <w:rPr>
          <w:sz w:val="20"/>
        </w:rPr>
        <w:t>postiženo</w:t>
      </w:r>
      <w:r>
        <w:rPr>
          <w:spacing w:val="64"/>
          <w:sz w:val="20"/>
        </w:rPr>
        <w:t> </w:t>
      </w:r>
      <w:r>
        <w:rPr>
          <w:sz w:val="20"/>
        </w:rPr>
        <w:t>odvodem</w:t>
      </w:r>
      <w:r>
        <w:rPr>
          <w:spacing w:val="64"/>
          <w:sz w:val="20"/>
        </w:rPr>
        <w:t> </w:t>
      </w:r>
      <w:r>
        <w:rPr>
          <w:sz w:val="20"/>
        </w:rPr>
        <w:t>v rozmezí</w:t>
      </w:r>
      <w:r>
        <w:rPr>
          <w:spacing w:val="60"/>
          <w:sz w:val="20"/>
        </w:rPr>
        <w:t> </w:t>
      </w:r>
      <w:r>
        <w:rPr>
          <w:sz w:val="20"/>
        </w:rPr>
        <w:t>10-50</w:t>
      </w:r>
      <w:r>
        <w:rPr>
          <w:spacing w:val="64"/>
          <w:sz w:val="20"/>
        </w:rPr>
        <w:t> </w:t>
      </w:r>
      <w:r>
        <w:rPr>
          <w:sz w:val="20"/>
        </w:rPr>
        <w:t>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80-100 % stanovených indikátorů nebude postiženo odvodem.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4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954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podpisem této Smlouvy prohlašuje, že není v úpadku, likvidaci, nemá žádné závazky po</w:t>
      </w:r>
      <w:r>
        <w:rPr>
          <w:spacing w:val="-9"/>
          <w:sz w:val="20"/>
        </w:rPr>
        <w:t> </w:t>
      </w:r>
      <w:r>
        <w:rPr>
          <w:sz w:val="20"/>
        </w:rPr>
        <w:t>splatnosti</w:t>
      </w:r>
      <w:r>
        <w:rPr>
          <w:spacing w:val="-11"/>
          <w:sz w:val="20"/>
        </w:rPr>
        <w:t> </w:t>
      </w:r>
      <w:r>
        <w:rPr>
          <w:sz w:val="20"/>
        </w:rPr>
        <w:t>vůči</w:t>
      </w:r>
      <w:r>
        <w:rPr>
          <w:spacing w:val="-8"/>
          <w:sz w:val="20"/>
        </w:rPr>
        <w:t> </w:t>
      </w:r>
      <w:r>
        <w:rPr>
          <w:sz w:val="20"/>
        </w:rPr>
        <w:t>státním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veřejným</w:t>
      </w:r>
      <w:r>
        <w:rPr>
          <w:spacing w:val="-10"/>
          <w:sz w:val="20"/>
        </w:rPr>
        <w:t> </w:t>
      </w:r>
      <w:r>
        <w:rPr>
          <w:sz w:val="20"/>
        </w:rPr>
        <w:t>rozpočtům,</w:t>
      </w:r>
      <w:r>
        <w:rPr>
          <w:spacing w:val="-10"/>
          <w:sz w:val="20"/>
        </w:rPr>
        <w:t> </w:t>
      </w:r>
      <w:r>
        <w:rPr>
          <w:sz w:val="20"/>
        </w:rPr>
        <w:t>nedoplatky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daních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nejedná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žadatele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spacing w:before="1"/>
        <w:ind w:left="952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spacing w:before="9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9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spacing w:before="14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708" w:footer="1398" w:top="1440" w:bottom="1660" w:left="1320" w:right="1020"/>
        </w:sectPr>
      </w:pPr>
    </w:p>
    <w:p>
      <w:pPr>
        <w:pStyle w:val="Heading1"/>
        <w:numPr>
          <w:ilvl w:val="0"/>
          <w:numId w:val="9"/>
        </w:numPr>
        <w:tabs>
          <w:tab w:pos="666" w:val="left" w:leader="none"/>
        </w:tabs>
        <w:spacing w:line="240" w:lineRule="auto" w:before="14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289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4"/>
        </w:rPr>
      </w:pPr>
      <w:r>
        <w:rPr/>
        <w:pict>
          <v:rect style="position:absolute;margin-left:85.103996pt;margin-top:10.96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line="237" w:lineRule="auto" w:before="4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</w:t>
            </w:r>
          </w:p>
        </w:tc>
      </w:tr>
    </w:tbl>
    <w:p>
      <w:pPr>
        <w:pStyle w:val="BodyText"/>
        <w:spacing w:before="1"/>
        <w:ind w:left="0"/>
        <w:jc w:val="left"/>
        <w:rPr>
          <w:sz w:val="22"/>
        </w:rPr>
      </w:pPr>
      <w:r>
        <w:rPr/>
        <w:pict>
          <v:rect style="position:absolute;margin-left:85.103996pt;margin-top:15.91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shledá,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20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</w:t>
            </w:r>
            <w:r>
              <w:rPr>
                <w:sz w:val="22"/>
              </w:rPr>
              <w:t>písm. i), </w:t>
            </w:r>
            <w:r>
              <w:rPr>
                <w:sz w:val="20"/>
              </w:rPr>
              <w:t>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708" w:footer="1398" w:top="144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292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8675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14999" cy="4667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9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4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2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9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4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952" w:right="68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68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2025-03-28T06:40:45Z</dcterms:created>
  <dcterms:modified xsi:type="dcterms:W3CDTF">2025-03-28T06:40:45Z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2025-03-28T00:00:00Z</vt:filetime>
  </property>
</Properties>
</file>