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A3943" w:rsidP="00DA6D56" w14:paraId="4C0482DF" w14:textId="1D9BF0D6">
      <w:pPr>
        <w:tabs>
          <w:tab w:val="left" w:pos="285"/>
          <w:tab w:val="right" w:pos="9072"/>
        </w:tabs>
        <w:spacing w:before="360" w:after="0" w:line="240" w:lineRule="auto"/>
        <w:jc w:val="right"/>
        <w:rPr>
          <w:rFonts w:ascii="Arial" w:hAnsi="Arial" w:cs="Arial"/>
        </w:rPr>
      </w:pPr>
      <w:r>
        <w:rPr>
          <w:rFonts w:ascii="Arial" w:hAnsi="Arial" w:cs="Arial"/>
          <w:spacing w:val="1"/>
        </w:rPr>
        <w:tab/>
      </w:r>
      <w:r w:rsidRPr="00A87B8D" w:rsidR="00DD4323">
        <w:rPr>
          <w:rFonts w:ascii="Arial" w:hAnsi="Arial" w:cs="Arial"/>
          <w:spacing w:val="1"/>
        </w:rPr>
        <w:t>Ev. č. 2</w:t>
      </w:r>
      <w:r>
        <w:rPr>
          <w:rFonts w:ascii="Arial" w:hAnsi="Arial" w:cs="Arial"/>
          <w:spacing w:val="1"/>
        </w:rPr>
        <w:t>5</w:t>
      </w:r>
      <w:r w:rsidRPr="00A87B8D" w:rsidR="00DD4323">
        <w:rPr>
          <w:rFonts w:ascii="Arial" w:hAnsi="Arial" w:cs="Arial"/>
        </w:rPr>
        <w:t>/</w:t>
      </w:r>
      <w:r w:rsidR="00690CA9">
        <w:rPr>
          <w:rFonts w:ascii="Arial" w:hAnsi="Arial" w:cs="Arial"/>
        </w:rPr>
        <w:t>069</w:t>
      </w:r>
      <w:r w:rsidRPr="00A87B8D" w:rsidR="00DD4323">
        <w:rPr>
          <w:rFonts w:ascii="Arial" w:hAnsi="Arial" w:cs="Arial"/>
          <w:spacing w:val="-2"/>
        </w:rPr>
        <w:t>-</w:t>
      </w:r>
      <w:r w:rsidRPr="00A87B8D" w:rsidR="00DD4323">
        <w:rPr>
          <w:rFonts w:ascii="Arial" w:hAnsi="Arial" w:cs="Arial"/>
        </w:rPr>
        <w:t>0</w:t>
      </w:r>
    </w:p>
    <w:p w:rsidR="00DD4323" w:rsidRPr="00A87B8D" w:rsidP="004A3943" w14:paraId="641D8A8A" w14:textId="325306B2">
      <w:pPr>
        <w:spacing w:after="240" w:line="240" w:lineRule="auto"/>
        <w:jc w:val="right"/>
        <w:rPr>
          <w:rFonts w:ascii="Arial" w:hAnsi="Arial" w:cs="Arial"/>
        </w:rPr>
      </w:pPr>
      <w:r w:rsidRPr="00A87B8D">
        <w:rPr>
          <w:rFonts w:ascii="Arial" w:hAnsi="Arial" w:cs="Arial"/>
        </w:rPr>
        <w:t xml:space="preserve">Čj. </w:t>
      </w:r>
      <w:r w:rsidRPr="00BD3C22" w:rsidR="00DA6D56">
        <w:rPr>
          <w:rFonts w:ascii="Arial" w:hAnsi="Arial" w:cs="Arial"/>
        </w:rPr>
        <w:t>13359</w:t>
      </w:r>
      <w:r w:rsidR="00964D33">
        <w:rPr>
          <w:rFonts w:ascii="Arial" w:hAnsi="Arial" w:cs="Arial"/>
        </w:rPr>
        <w:t>-202</w:t>
      </w:r>
      <w:r w:rsidR="00225D99">
        <w:rPr>
          <w:rFonts w:ascii="Arial" w:hAnsi="Arial" w:cs="Arial"/>
        </w:rPr>
        <w:t>5</w:t>
      </w:r>
      <w:r w:rsidR="00964D33">
        <w:rPr>
          <w:rFonts w:ascii="Arial" w:hAnsi="Arial" w:cs="Arial"/>
        </w:rPr>
        <w:t>-UVCR</w:t>
      </w:r>
    </w:p>
    <w:p w:rsidR="00DD4323" w:rsidRPr="00A87B8D" w:rsidP="00DD4323" w14:paraId="5C58AEB1" w14:textId="77777777">
      <w:pPr>
        <w:spacing w:before="240" w:after="240" w:line="240" w:lineRule="auto"/>
        <w:jc w:val="center"/>
        <w:outlineLvl w:val="0"/>
        <w:rPr>
          <w:rFonts w:ascii="Arial" w:hAnsi="Arial" w:cs="Arial"/>
          <w:b/>
          <w:caps/>
        </w:rPr>
      </w:pPr>
    </w:p>
    <w:p w:rsidR="00DD4323" w:rsidRPr="00A87B8D" w:rsidP="00DD4323" w14:paraId="51329EFB" w14:textId="77777777">
      <w:pPr>
        <w:pStyle w:val="Heading1"/>
        <w:spacing w:before="360" w:after="120"/>
        <w:rPr>
          <w:caps/>
          <w:sz w:val="22"/>
          <w:szCs w:val="22"/>
          <w:lang w:val="cs-CZ"/>
        </w:rPr>
      </w:pPr>
      <w:r w:rsidRPr="004A3943">
        <w:rPr>
          <w:caps/>
          <w:sz w:val="22"/>
          <w:szCs w:val="22"/>
          <w:lang w:val="cs-CZ"/>
        </w:rPr>
        <w:t>s</w:t>
      </w:r>
      <w:r w:rsidRPr="004A3943">
        <w:rPr>
          <w:caps/>
          <w:sz w:val="22"/>
          <w:szCs w:val="22"/>
        </w:rPr>
        <w:t>mlouva</w:t>
      </w:r>
      <w:r w:rsidRPr="004A3943">
        <w:rPr>
          <w:caps/>
          <w:sz w:val="22"/>
          <w:szCs w:val="22"/>
          <w:lang w:val="cs-CZ"/>
        </w:rPr>
        <w:t xml:space="preserve"> na dodání licencí a poskytování podpory</w:t>
      </w:r>
    </w:p>
    <w:p w:rsidR="00DD4323" w:rsidRPr="00A87B8D" w:rsidP="004829AC" w14:paraId="1E09E57E" w14:textId="1095C758">
      <w:pPr>
        <w:pStyle w:val="Heading1"/>
        <w:spacing w:before="120"/>
        <w:rPr>
          <w:sz w:val="22"/>
          <w:szCs w:val="22"/>
        </w:rPr>
      </w:pPr>
      <w:r w:rsidRPr="00A87B8D">
        <w:rPr>
          <w:sz w:val="22"/>
          <w:szCs w:val="22"/>
        </w:rPr>
        <w:t>„</w:t>
      </w:r>
      <w:r w:rsidRPr="00225D99" w:rsidR="00225D99">
        <w:rPr>
          <w:rFonts w:eastAsia="Calibri"/>
          <w:iCs/>
          <w:kern w:val="0"/>
          <w:sz w:val="22"/>
          <w:szCs w:val="22"/>
          <w:lang w:val="cs-CZ" w:eastAsia="en-US"/>
        </w:rPr>
        <w:t>Pořízení časově a množstevně omezené licence k užívání zálohovacího software prostředí vládního tenantu O365</w:t>
      </w:r>
      <w:r w:rsidRPr="00A87B8D">
        <w:rPr>
          <w:sz w:val="22"/>
          <w:szCs w:val="22"/>
        </w:rPr>
        <w:t>“</w:t>
      </w:r>
    </w:p>
    <w:p w:rsidR="00DD4323" w:rsidRPr="00A87B8D" w:rsidP="00DD4323" w14:paraId="7CB5D23C" w14:textId="77777777">
      <w:pPr>
        <w:spacing w:after="240" w:line="240" w:lineRule="auto"/>
        <w:jc w:val="center"/>
        <w:rPr>
          <w:rFonts w:ascii="Arial" w:hAnsi="Arial" w:cs="Arial"/>
        </w:rPr>
      </w:pPr>
      <w:r w:rsidRPr="00A87B8D">
        <w:rPr>
          <w:rFonts w:ascii="Arial" w:hAnsi="Arial" w:cs="Arial"/>
        </w:rPr>
        <w:t>uzavřená podle zákona č. 89/2012 Sb., občanský zákoník, ve znění pozdějších předpisů</w:t>
      </w:r>
      <w:r w:rsidRPr="00A87B8D">
        <w:rPr>
          <w:rFonts w:ascii="Arial" w:hAnsi="Arial" w:cs="Arial"/>
        </w:rPr>
        <w:br/>
        <w:t>(dále jen „občanský zákoník“), a dle zákona č. 121/2000 Sb., zákona o právu autorském,</w:t>
      </w:r>
      <w:r w:rsidRPr="00A87B8D">
        <w:rPr>
          <w:rFonts w:ascii="Arial" w:hAnsi="Arial" w:cs="Arial"/>
        </w:rPr>
        <w:br/>
        <w:t>o právech souvisejících s právem autorským a o změně některých zákonů,</w:t>
      </w:r>
      <w:r w:rsidRPr="00A87B8D">
        <w:rPr>
          <w:rFonts w:ascii="Arial" w:hAnsi="Arial" w:cs="Arial"/>
        </w:rPr>
        <w:br/>
        <w:t>ve znění pozdějších předpisů, (dále jen „autorský zákon“)</w:t>
      </w:r>
    </w:p>
    <w:p w:rsidR="00DD4323" w:rsidRPr="00A87B8D" w:rsidP="00DD4323" w14:paraId="664F423A" w14:textId="77777777">
      <w:pPr>
        <w:spacing w:before="240" w:after="240" w:line="240" w:lineRule="auto"/>
        <w:jc w:val="center"/>
        <w:rPr>
          <w:rFonts w:ascii="Arial" w:hAnsi="Arial" w:cs="Arial"/>
          <w:b/>
        </w:rPr>
      </w:pPr>
      <w:r w:rsidRPr="00A87B8D">
        <w:rPr>
          <w:rFonts w:ascii="Arial" w:hAnsi="Arial" w:cs="Arial"/>
          <w:b/>
        </w:rPr>
        <w:t>Smluvní strany</w:t>
      </w:r>
    </w:p>
    <w:p w:rsidR="00DD4323" w:rsidRPr="00A87B8D" w:rsidP="00DD4323" w14:paraId="09ACA3C9" w14:textId="77777777">
      <w:pPr>
        <w:spacing w:before="240" w:after="240" w:line="240" w:lineRule="auto"/>
        <w:rPr>
          <w:rFonts w:ascii="Arial" w:hAnsi="Arial" w:cs="Arial"/>
          <w:b/>
        </w:rPr>
      </w:pPr>
      <w:r w:rsidRPr="00A87B8D">
        <w:rPr>
          <w:rFonts w:ascii="Arial" w:hAnsi="Arial" w:cs="Arial"/>
          <w:b/>
        </w:rPr>
        <w:t>Česká republika – Úřad vlády České republiky</w:t>
      </w:r>
    </w:p>
    <w:p w:rsidR="00DD4323" w:rsidRPr="00A87B8D" w:rsidP="00DD4323" w14:paraId="3F13FB09" w14:textId="77777777">
      <w:pPr>
        <w:spacing w:after="240" w:line="240" w:lineRule="auto"/>
        <w:ind w:left="2124" w:hanging="2124"/>
        <w:contextualSpacing/>
        <w:rPr>
          <w:rFonts w:ascii="Arial" w:hAnsi="Arial" w:cs="Arial"/>
        </w:rPr>
      </w:pPr>
      <w:r w:rsidRPr="00A87B8D">
        <w:rPr>
          <w:rFonts w:ascii="Arial" w:hAnsi="Arial" w:cs="Arial"/>
        </w:rPr>
        <w:t>kterou zastupuje:</w:t>
      </w:r>
      <w:r w:rsidRPr="00A87B8D">
        <w:rPr>
          <w:rFonts w:ascii="Arial" w:hAnsi="Arial" w:cs="Arial"/>
        </w:rPr>
        <w:tab/>
        <w:t>Ing. Jitka Křupková, ředitelka Odboru informatiky, na základě vnitřního předpisu</w:t>
      </w:r>
    </w:p>
    <w:p w:rsidR="00DD4323" w:rsidRPr="00A87B8D" w:rsidP="00DD4323" w14:paraId="7C9257C4" w14:textId="42720487">
      <w:pPr>
        <w:spacing w:after="240" w:line="240" w:lineRule="auto"/>
        <w:ind w:left="2124" w:hanging="2124"/>
        <w:contextualSpacing/>
        <w:rPr>
          <w:rFonts w:ascii="Arial" w:hAnsi="Arial" w:cs="Arial"/>
        </w:rPr>
      </w:pPr>
      <w:r w:rsidRPr="00A87B8D">
        <w:rPr>
          <w:rFonts w:ascii="Arial" w:hAnsi="Arial" w:cs="Arial"/>
        </w:rPr>
        <w:t>kontaktní osoba:</w:t>
      </w:r>
      <w:r w:rsidRPr="00A87B8D">
        <w:rPr>
          <w:rFonts w:ascii="Arial" w:hAnsi="Arial" w:cs="Arial"/>
        </w:rPr>
        <w:tab/>
      </w:r>
      <w:r w:rsidRPr="00FA0FF3" w:rsidR="007153AB">
        <w:rPr>
          <w:rFonts w:ascii="Arial" w:hAnsi="Arial" w:cs="Arial"/>
        </w:rPr>
        <w:t xml:space="preserve">Mgr. Ivan Metelka, e-mail: </w:t>
      </w:r>
      <w:r w:rsidR="00742CC0">
        <w:rPr>
          <w:rFonts w:ascii="Arial" w:hAnsi="Arial" w:cs="Arial"/>
        </w:rPr>
        <w:t>XXXXXX</w:t>
      </w:r>
      <w:r w:rsidRPr="00FA0FF3" w:rsidR="007153AB">
        <w:rPr>
          <w:rFonts w:ascii="Arial" w:hAnsi="Arial" w:cs="Arial"/>
        </w:rPr>
        <w:t xml:space="preserve">, </w:t>
      </w:r>
      <w:r w:rsidR="007153AB">
        <w:rPr>
          <w:rFonts w:ascii="Arial" w:hAnsi="Arial" w:cs="Arial"/>
        </w:rPr>
        <w:br/>
      </w:r>
      <w:r w:rsidRPr="00FA0FF3" w:rsidR="007153AB">
        <w:rPr>
          <w:rFonts w:ascii="Arial" w:hAnsi="Arial" w:cs="Arial"/>
        </w:rPr>
        <w:t xml:space="preserve">tel.: </w:t>
      </w:r>
      <w:r w:rsidR="00742CC0">
        <w:rPr>
          <w:rFonts w:ascii="Arial" w:hAnsi="Arial" w:cs="Arial"/>
        </w:rPr>
        <w:t>XXXXXX</w:t>
      </w:r>
    </w:p>
    <w:p w:rsidR="00DD4323" w:rsidRPr="00A87B8D" w:rsidP="00DD4323" w14:paraId="153DEFB2" w14:textId="63C17204">
      <w:pPr>
        <w:spacing w:after="240" w:line="240" w:lineRule="auto"/>
        <w:contextualSpacing/>
        <w:rPr>
          <w:rFonts w:ascii="Arial" w:hAnsi="Arial" w:cs="Arial"/>
        </w:rPr>
      </w:pPr>
      <w:r w:rsidRPr="00A87B8D">
        <w:rPr>
          <w:rFonts w:ascii="Arial" w:hAnsi="Arial" w:cs="Arial"/>
        </w:rPr>
        <w:t>se sídlem:</w:t>
      </w:r>
      <w:r w:rsidRPr="00A87B8D">
        <w:rPr>
          <w:rFonts w:ascii="Arial" w:hAnsi="Arial" w:cs="Arial"/>
        </w:rPr>
        <w:tab/>
      </w:r>
      <w:r w:rsidRPr="00A87B8D">
        <w:rPr>
          <w:rFonts w:ascii="Arial" w:hAnsi="Arial" w:cs="Arial"/>
        </w:rPr>
        <w:tab/>
        <w:t>nábřeží Edvarda Beneše 128/4, 118 0</w:t>
      </w:r>
      <w:r w:rsidR="00225D99">
        <w:rPr>
          <w:rFonts w:ascii="Arial" w:hAnsi="Arial" w:cs="Arial"/>
        </w:rPr>
        <w:t>0</w:t>
      </w:r>
      <w:r w:rsidRPr="00A87B8D">
        <w:rPr>
          <w:rFonts w:ascii="Arial" w:hAnsi="Arial" w:cs="Arial"/>
        </w:rPr>
        <w:t xml:space="preserve"> Praha 1 - Malá Strana</w:t>
      </w:r>
    </w:p>
    <w:p w:rsidR="00DD4323" w:rsidRPr="00A87B8D" w:rsidP="00DD4323" w14:paraId="04212BF3" w14:textId="77777777">
      <w:pPr>
        <w:spacing w:after="240" w:line="240" w:lineRule="auto"/>
        <w:contextualSpacing/>
        <w:rPr>
          <w:rFonts w:ascii="Arial" w:hAnsi="Arial" w:cs="Arial"/>
          <w:snapToGrid w:val="0"/>
        </w:rPr>
      </w:pPr>
      <w:r w:rsidRPr="00A87B8D">
        <w:rPr>
          <w:rFonts w:ascii="Arial" w:hAnsi="Arial" w:cs="Arial"/>
        </w:rPr>
        <w:t>IČO:</w:t>
      </w:r>
      <w:r w:rsidRPr="00A87B8D">
        <w:rPr>
          <w:rFonts w:ascii="Arial" w:hAnsi="Arial" w:cs="Arial"/>
        </w:rPr>
        <w:tab/>
      </w:r>
      <w:r w:rsidRPr="00A87B8D">
        <w:rPr>
          <w:rFonts w:ascii="Arial" w:hAnsi="Arial" w:cs="Arial"/>
        </w:rPr>
        <w:tab/>
      </w:r>
      <w:r w:rsidRPr="00A87B8D">
        <w:rPr>
          <w:rFonts w:ascii="Arial" w:hAnsi="Arial" w:cs="Arial"/>
        </w:rPr>
        <w:tab/>
        <w:t>00006599</w:t>
      </w:r>
    </w:p>
    <w:p w:rsidR="00DD4323" w:rsidRPr="00A87B8D" w:rsidP="00DD4323" w14:paraId="079FCA2B" w14:textId="77777777">
      <w:pPr>
        <w:spacing w:after="240" w:line="240" w:lineRule="auto"/>
        <w:contextualSpacing/>
        <w:rPr>
          <w:rFonts w:ascii="Arial" w:hAnsi="Arial" w:cs="Arial"/>
        </w:rPr>
      </w:pPr>
      <w:r w:rsidRPr="00A87B8D">
        <w:rPr>
          <w:rFonts w:ascii="Arial" w:hAnsi="Arial" w:cs="Arial"/>
          <w:snapToGrid w:val="0"/>
        </w:rPr>
        <w:t xml:space="preserve">DIČ: </w:t>
      </w:r>
      <w:r w:rsidRPr="00A87B8D">
        <w:rPr>
          <w:rFonts w:ascii="Arial" w:hAnsi="Arial" w:cs="Arial"/>
          <w:snapToGrid w:val="0"/>
        </w:rPr>
        <w:tab/>
      </w:r>
      <w:r w:rsidRPr="00A87B8D">
        <w:rPr>
          <w:rFonts w:ascii="Arial" w:hAnsi="Arial" w:cs="Arial"/>
          <w:snapToGrid w:val="0"/>
        </w:rPr>
        <w:tab/>
      </w:r>
      <w:r w:rsidRPr="00A87B8D">
        <w:rPr>
          <w:rFonts w:ascii="Arial" w:hAnsi="Arial" w:cs="Arial"/>
          <w:snapToGrid w:val="0"/>
        </w:rPr>
        <w:tab/>
        <w:t>CZ00006599</w:t>
      </w:r>
    </w:p>
    <w:p w:rsidR="00DD4323" w:rsidRPr="00A87B8D" w:rsidP="00DD4323" w14:paraId="181B92A3" w14:textId="77777777">
      <w:pPr>
        <w:spacing w:after="240" w:line="240" w:lineRule="auto"/>
        <w:rPr>
          <w:rFonts w:ascii="Arial" w:hAnsi="Arial" w:cs="Arial"/>
        </w:rPr>
      </w:pPr>
      <w:r w:rsidRPr="00A87B8D">
        <w:rPr>
          <w:rFonts w:ascii="Arial" w:hAnsi="Arial" w:cs="Arial"/>
        </w:rPr>
        <w:t xml:space="preserve">bankovní spojení: </w:t>
      </w:r>
      <w:r w:rsidRPr="00A87B8D">
        <w:rPr>
          <w:rFonts w:ascii="Arial" w:hAnsi="Arial" w:cs="Arial"/>
        </w:rPr>
        <w:tab/>
        <w:t>ČNB Praha, účet č.: 4320001/0710</w:t>
      </w:r>
    </w:p>
    <w:p w:rsidR="00DD4323" w:rsidRPr="00A87B8D" w:rsidP="00DD4323" w14:paraId="74D547D6" w14:textId="77777777">
      <w:pPr>
        <w:spacing w:after="240" w:line="240" w:lineRule="auto"/>
        <w:rPr>
          <w:rFonts w:ascii="Arial" w:hAnsi="Arial" w:cs="Arial"/>
        </w:rPr>
      </w:pPr>
      <w:r w:rsidRPr="00A87B8D">
        <w:rPr>
          <w:rFonts w:ascii="Arial" w:hAnsi="Arial" w:cs="Arial"/>
        </w:rPr>
        <w:t>(dále jen „</w:t>
      </w:r>
      <w:r w:rsidRPr="00A87B8D">
        <w:rPr>
          <w:rFonts w:ascii="Arial" w:hAnsi="Arial" w:cs="Arial"/>
          <w:b/>
        </w:rPr>
        <w:t>objednatel</w:t>
      </w:r>
      <w:r w:rsidRPr="00A87B8D">
        <w:rPr>
          <w:rFonts w:ascii="Arial" w:hAnsi="Arial" w:cs="Arial"/>
        </w:rPr>
        <w:t>“)</w:t>
      </w:r>
    </w:p>
    <w:p w:rsidR="00DD4323" w:rsidRPr="00A87B8D" w:rsidP="00DD4323" w14:paraId="3531C7AA" w14:textId="77777777">
      <w:pPr>
        <w:spacing w:after="240" w:line="240" w:lineRule="auto"/>
        <w:rPr>
          <w:rFonts w:ascii="Arial" w:hAnsi="Arial" w:cs="Arial"/>
        </w:rPr>
      </w:pPr>
      <w:r w:rsidRPr="00A87B8D">
        <w:rPr>
          <w:rFonts w:ascii="Arial" w:hAnsi="Arial" w:cs="Arial"/>
        </w:rPr>
        <w:t>a</w:t>
      </w:r>
    </w:p>
    <w:p w:rsidR="00225D99" w:rsidRPr="00A87B8D" w:rsidP="00225D99" w14:paraId="6A1A268F" w14:textId="78DCA688">
      <w:pPr>
        <w:spacing w:after="240" w:line="240" w:lineRule="auto"/>
        <w:rPr>
          <w:rFonts w:ascii="Arial" w:hAnsi="Arial" w:cs="Arial"/>
          <w:b/>
        </w:rPr>
      </w:pPr>
      <w:r>
        <w:rPr>
          <w:rFonts w:ascii="Arial" w:hAnsi="Arial" w:cs="Arial"/>
          <w:b/>
        </w:rPr>
        <w:t>SoftwareONE Czech Republic s.r.o.</w:t>
      </w:r>
    </w:p>
    <w:p w:rsidR="00DD4323" w:rsidRPr="00A87B8D" w:rsidP="00DD4323" w14:paraId="268D17CE" w14:textId="2112C6B0">
      <w:pPr>
        <w:spacing w:after="240" w:line="240" w:lineRule="auto"/>
        <w:ind w:left="2127" w:hanging="2127"/>
        <w:contextualSpacing/>
        <w:rPr>
          <w:rFonts w:ascii="Arial" w:hAnsi="Arial" w:cs="Arial"/>
        </w:rPr>
      </w:pPr>
      <w:r w:rsidRPr="00A87B8D">
        <w:rPr>
          <w:rFonts w:ascii="Arial" w:hAnsi="Arial" w:cs="Arial"/>
        </w:rPr>
        <w:t>kterou zastupuj</w:t>
      </w:r>
      <w:r w:rsidR="00B55ECC">
        <w:rPr>
          <w:rFonts w:ascii="Arial" w:hAnsi="Arial" w:cs="Arial"/>
        </w:rPr>
        <w:t>í</w:t>
      </w:r>
      <w:r w:rsidRPr="00A87B8D">
        <w:rPr>
          <w:rFonts w:ascii="Arial" w:hAnsi="Arial" w:cs="Arial"/>
        </w:rPr>
        <w:t>:</w:t>
      </w:r>
      <w:r w:rsidRPr="00A87B8D">
        <w:rPr>
          <w:rFonts w:ascii="Arial" w:hAnsi="Arial" w:cs="Arial"/>
        </w:rPr>
        <w:tab/>
      </w:r>
      <w:r w:rsidR="00B55ECC">
        <w:rPr>
          <w:rFonts w:ascii="Arial" w:hAnsi="Arial" w:cs="Arial"/>
        </w:rPr>
        <w:t>Petr Pánek a Lukáš Zima, prokuristé</w:t>
      </w:r>
    </w:p>
    <w:p w:rsidR="00DD4323" w:rsidRPr="00A87B8D" w:rsidP="00DD4323" w14:paraId="0DD70CA3" w14:textId="0C7945D8">
      <w:pPr>
        <w:spacing w:after="240" w:line="240" w:lineRule="auto"/>
        <w:ind w:left="2127" w:hanging="2127"/>
        <w:contextualSpacing/>
        <w:rPr>
          <w:rFonts w:ascii="Arial" w:hAnsi="Arial" w:cs="Arial"/>
        </w:rPr>
      </w:pPr>
      <w:r w:rsidRPr="00A87B8D">
        <w:rPr>
          <w:rFonts w:ascii="Arial" w:hAnsi="Arial" w:cs="Arial"/>
        </w:rPr>
        <w:t>kontaktní osoba:</w:t>
      </w:r>
      <w:r w:rsidRPr="00A87B8D">
        <w:rPr>
          <w:rFonts w:ascii="Arial" w:hAnsi="Arial" w:cs="Arial"/>
        </w:rPr>
        <w:tab/>
      </w:r>
      <w:r w:rsidR="00B55ECC">
        <w:rPr>
          <w:rFonts w:ascii="Arial" w:hAnsi="Arial" w:cs="Arial"/>
        </w:rPr>
        <w:t xml:space="preserve">Petr Linek, </w:t>
      </w:r>
      <w:r w:rsidRPr="00A87B8D">
        <w:rPr>
          <w:rFonts w:ascii="Arial" w:hAnsi="Arial" w:cs="Arial"/>
        </w:rPr>
        <w:t>e-mail:</w:t>
      </w:r>
      <w:r w:rsidR="00B55ECC">
        <w:rPr>
          <w:rFonts w:ascii="Arial" w:hAnsi="Arial" w:cs="Arial"/>
        </w:rPr>
        <w:t xml:space="preserve"> </w:t>
      </w:r>
      <w:r w:rsidR="00742CC0">
        <w:rPr>
          <w:rFonts w:ascii="Arial" w:hAnsi="Arial" w:cs="Arial"/>
        </w:rPr>
        <w:t>XXXXXX</w:t>
      </w:r>
      <w:r w:rsidR="00B55ECC">
        <w:rPr>
          <w:rFonts w:ascii="Arial" w:hAnsi="Arial" w:cs="Arial"/>
        </w:rPr>
        <w:t xml:space="preserve">, </w:t>
      </w:r>
      <w:r w:rsidRPr="00A87B8D">
        <w:rPr>
          <w:rFonts w:ascii="Arial" w:hAnsi="Arial" w:cs="Arial"/>
        </w:rPr>
        <w:t>tel.:</w:t>
      </w:r>
      <w:r w:rsidRPr="00B55ECC" w:rsidR="00B55ECC">
        <w:t xml:space="preserve"> </w:t>
      </w:r>
      <w:r w:rsidR="00742CC0">
        <w:rPr>
          <w:rFonts w:ascii="Arial" w:hAnsi="Arial" w:cs="Arial"/>
        </w:rPr>
        <w:t>XXXXXX</w:t>
      </w:r>
    </w:p>
    <w:p w:rsidR="00DD4323" w:rsidRPr="00A87B8D" w:rsidP="00DD4323" w14:paraId="0E0C71AE" w14:textId="55CBC213">
      <w:pPr>
        <w:spacing w:after="240" w:line="240" w:lineRule="auto"/>
        <w:contextualSpacing/>
        <w:rPr>
          <w:rFonts w:ascii="Arial" w:hAnsi="Arial" w:cs="Arial"/>
        </w:rPr>
      </w:pPr>
      <w:r w:rsidRPr="00A87B8D">
        <w:rPr>
          <w:rFonts w:ascii="Arial" w:hAnsi="Arial" w:cs="Arial"/>
        </w:rPr>
        <w:t>se sídlem:</w:t>
      </w:r>
      <w:r w:rsidRPr="00A87B8D">
        <w:rPr>
          <w:rFonts w:ascii="Arial" w:hAnsi="Arial" w:cs="Arial"/>
        </w:rPr>
        <w:tab/>
      </w:r>
      <w:r w:rsidRPr="00A87B8D">
        <w:rPr>
          <w:rFonts w:ascii="Arial" w:hAnsi="Arial" w:cs="Arial"/>
        </w:rPr>
        <w:tab/>
      </w:r>
      <w:r w:rsidR="00B55ECC">
        <w:rPr>
          <w:rFonts w:ascii="Arial" w:hAnsi="Arial" w:cs="Arial"/>
        </w:rPr>
        <w:t>Vyskočilova 1410/1, 140 00 Praha 4</w:t>
      </w:r>
    </w:p>
    <w:p w:rsidR="007E1C33" w:rsidP="00DD4323" w14:paraId="74B0B8F9" w14:textId="5E94378F">
      <w:pPr>
        <w:spacing w:after="240" w:line="240" w:lineRule="auto"/>
        <w:contextualSpacing/>
        <w:rPr>
          <w:rFonts w:ascii="Arial" w:eastAsia="Calibri" w:hAnsi="Arial" w:cs="Arial"/>
        </w:rPr>
      </w:pPr>
      <w:r w:rsidRPr="00A87B8D">
        <w:rPr>
          <w:rFonts w:ascii="Arial" w:hAnsi="Arial" w:cs="Arial"/>
        </w:rPr>
        <w:t>IČO:</w:t>
      </w:r>
      <w:r w:rsidRPr="00A87B8D">
        <w:rPr>
          <w:rFonts w:ascii="Arial" w:hAnsi="Arial" w:cs="Arial"/>
        </w:rPr>
        <w:tab/>
      </w:r>
      <w:r w:rsidRPr="00A87B8D">
        <w:rPr>
          <w:rFonts w:ascii="Arial" w:hAnsi="Arial" w:cs="Arial"/>
        </w:rPr>
        <w:tab/>
      </w:r>
      <w:r w:rsidRPr="00A87B8D">
        <w:rPr>
          <w:rFonts w:ascii="Arial" w:hAnsi="Arial" w:cs="Arial"/>
        </w:rPr>
        <w:tab/>
      </w:r>
      <w:r w:rsidR="00B55ECC">
        <w:rPr>
          <w:rFonts w:ascii="Arial" w:eastAsia="Calibri" w:hAnsi="Arial" w:cs="Arial"/>
        </w:rPr>
        <w:t>24207519</w:t>
      </w:r>
    </w:p>
    <w:p w:rsidR="00DD4323" w:rsidRPr="00A87B8D" w:rsidP="00DD4323" w14:paraId="405152EB" w14:textId="51BD3B2F">
      <w:pPr>
        <w:spacing w:after="240" w:line="240" w:lineRule="auto"/>
        <w:contextualSpacing/>
        <w:rPr>
          <w:rFonts w:ascii="Arial" w:hAnsi="Arial" w:cs="Arial"/>
        </w:rPr>
      </w:pPr>
      <w:r w:rsidRPr="00A87B8D">
        <w:rPr>
          <w:rFonts w:ascii="Arial" w:hAnsi="Arial" w:cs="Arial"/>
        </w:rPr>
        <w:t>DIČ:</w:t>
      </w:r>
      <w:r w:rsidRPr="00A87B8D">
        <w:rPr>
          <w:rFonts w:ascii="Arial" w:hAnsi="Arial" w:cs="Arial"/>
        </w:rPr>
        <w:tab/>
      </w:r>
      <w:r w:rsidRPr="00A87B8D">
        <w:rPr>
          <w:rFonts w:ascii="Arial" w:hAnsi="Arial" w:cs="Arial"/>
        </w:rPr>
        <w:tab/>
      </w:r>
      <w:r w:rsidRPr="00A87B8D">
        <w:rPr>
          <w:rFonts w:ascii="Arial" w:hAnsi="Arial" w:cs="Arial"/>
        </w:rPr>
        <w:tab/>
      </w:r>
      <w:r w:rsidR="00B55ECC">
        <w:rPr>
          <w:rFonts w:ascii="Arial" w:hAnsi="Arial" w:cs="Arial"/>
        </w:rPr>
        <w:t>CZ24207519</w:t>
      </w:r>
    </w:p>
    <w:p w:rsidR="00DD4323" w:rsidRPr="00A87B8D" w:rsidP="00DD4323" w14:paraId="0AE6E541" w14:textId="13AC5844">
      <w:pPr>
        <w:spacing w:after="240" w:line="240" w:lineRule="auto"/>
        <w:contextualSpacing/>
        <w:rPr>
          <w:rFonts w:ascii="Arial" w:hAnsi="Arial" w:cs="Arial"/>
        </w:rPr>
      </w:pPr>
      <w:r w:rsidRPr="00A87B8D">
        <w:rPr>
          <w:rFonts w:ascii="Arial" w:hAnsi="Arial" w:cs="Arial"/>
        </w:rPr>
        <w:t>bankovní spojení:</w:t>
      </w:r>
      <w:r w:rsidRPr="00A87B8D">
        <w:rPr>
          <w:rFonts w:ascii="Arial" w:hAnsi="Arial" w:cs="Arial"/>
        </w:rPr>
        <w:tab/>
      </w:r>
      <w:r w:rsidRPr="00B55ECC" w:rsidR="00B55ECC">
        <w:rPr>
          <w:rFonts w:ascii="Arial" w:hAnsi="Arial" w:cs="Arial"/>
        </w:rPr>
        <w:t>UniCredit Bank Czech Republic and Slovakia, a.s.</w:t>
      </w:r>
      <w:r w:rsidR="00B55ECC">
        <w:rPr>
          <w:rFonts w:ascii="Arial" w:hAnsi="Arial" w:cs="Arial"/>
        </w:rPr>
        <w:t xml:space="preserve">, </w:t>
      </w:r>
      <w:r w:rsidRPr="00A87B8D">
        <w:rPr>
          <w:rFonts w:ascii="Arial" w:hAnsi="Arial" w:cs="Arial"/>
        </w:rPr>
        <w:t xml:space="preserve">účet č.: </w:t>
      </w:r>
      <w:r w:rsidRPr="00B55ECC" w:rsidR="00B55ECC">
        <w:rPr>
          <w:rFonts w:ascii="Arial" w:hAnsi="Arial" w:cs="Arial"/>
        </w:rPr>
        <w:t>1161811001/2700</w:t>
      </w:r>
    </w:p>
    <w:p w:rsidR="00DD4323" w:rsidRPr="00A87B8D" w:rsidP="00DD4323" w14:paraId="56F5A6F5" w14:textId="4EC64D69">
      <w:pPr>
        <w:spacing w:after="120" w:line="240" w:lineRule="auto"/>
        <w:jc w:val="both"/>
        <w:rPr>
          <w:rFonts w:ascii="Arial" w:eastAsia="Times New Roman" w:hAnsi="Arial" w:cs="Arial"/>
          <w:lang w:eastAsia="cs-CZ"/>
        </w:rPr>
      </w:pPr>
      <w:r w:rsidRPr="00A87B8D">
        <w:rPr>
          <w:rFonts w:ascii="Arial" w:hAnsi="Arial" w:cs="Arial"/>
        </w:rPr>
        <w:t xml:space="preserve">společnost je zapsaná v Obchodním rejstříku vedeném </w:t>
      </w:r>
      <w:r w:rsidR="00B55ECC">
        <w:rPr>
          <w:rFonts w:ascii="Arial" w:hAnsi="Arial" w:cs="Arial"/>
        </w:rPr>
        <w:t xml:space="preserve">Městským soudem v Praze, </w:t>
      </w:r>
      <w:r w:rsidRPr="00A87B8D">
        <w:rPr>
          <w:rFonts w:ascii="Arial" w:hAnsi="Arial" w:cs="Arial"/>
        </w:rPr>
        <w:t xml:space="preserve">oddíl </w:t>
      </w:r>
      <w:r w:rsidR="00B55ECC">
        <w:rPr>
          <w:rFonts w:ascii="Arial" w:hAnsi="Arial" w:cs="Arial"/>
        </w:rPr>
        <w:t>C</w:t>
      </w:r>
      <w:r w:rsidRPr="00A87B8D">
        <w:rPr>
          <w:rFonts w:ascii="Arial" w:hAnsi="Arial" w:cs="Arial"/>
        </w:rPr>
        <w:t>, vložka č. </w:t>
      </w:r>
      <w:r w:rsidR="00B55ECC">
        <w:rPr>
          <w:rFonts w:ascii="Arial" w:hAnsi="Arial" w:cs="Arial"/>
        </w:rPr>
        <w:t>188674</w:t>
      </w:r>
    </w:p>
    <w:p w:rsidR="00DD4323" w:rsidRPr="00A87B8D" w:rsidP="00DD4323" w14:paraId="2912F59F" w14:textId="77777777">
      <w:pPr>
        <w:spacing w:after="240" w:line="240" w:lineRule="auto"/>
        <w:contextualSpacing/>
        <w:rPr>
          <w:rFonts w:ascii="Arial" w:hAnsi="Arial" w:cs="Arial"/>
        </w:rPr>
      </w:pPr>
    </w:p>
    <w:p w:rsidR="00DD4323" w:rsidRPr="00A87B8D" w:rsidP="00DD4323" w14:paraId="5765AED3" w14:textId="77777777">
      <w:pPr>
        <w:spacing w:after="240" w:line="240" w:lineRule="auto"/>
        <w:rPr>
          <w:rFonts w:ascii="Arial" w:hAnsi="Arial" w:cs="Arial"/>
        </w:rPr>
      </w:pPr>
      <w:r w:rsidRPr="00A87B8D">
        <w:rPr>
          <w:rFonts w:ascii="Arial" w:hAnsi="Arial" w:cs="Arial"/>
        </w:rPr>
        <w:t>(dále jen „</w:t>
      </w:r>
      <w:r w:rsidRPr="00A87B8D">
        <w:rPr>
          <w:rFonts w:ascii="Arial" w:hAnsi="Arial" w:cs="Arial"/>
          <w:b/>
        </w:rPr>
        <w:t>poskytovatel</w:t>
      </w:r>
      <w:r w:rsidRPr="00A87B8D">
        <w:rPr>
          <w:rFonts w:ascii="Arial" w:hAnsi="Arial" w:cs="Arial"/>
        </w:rPr>
        <w:t>“).</w:t>
      </w:r>
    </w:p>
    <w:p w:rsidR="0070623E" w:rsidP="008F684F" w14:paraId="72F0BB3A" w14:textId="69CC0F47">
      <w:pPr>
        <w:spacing w:after="120" w:line="240" w:lineRule="auto"/>
        <w:jc w:val="both"/>
        <w:rPr>
          <w:rFonts w:ascii="Arial" w:hAnsi="Arial" w:cs="Arial"/>
        </w:rPr>
        <w:sectPr w:rsidSect="00E707CC">
          <w:headerReference w:type="default" r:id="rId5"/>
          <w:footerReference w:type="default" r:id="rId6"/>
          <w:headerReference w:type="first" r:id="rId7"/>
          <w:pgSz w:w="11906" w:h="16838"/>
          <w:pgMar w:top="1417" w:right="1417" w:bottom="1417" w:left="1417" w:header="708" w:footer="708" w:gutter="0"/>
          <w:cols w:space="708"/>
          <w:titlePg/>
          <w:docGrid w:linePitch="360"/>
        </w:sectPr>
      </w:pPr>
      <w:r w:rsidRPr="00A87B8D">
        <w:rPr>
          <w:rFonts w:ascii="Arial" w:hAnsi="Arial" w:cs="Arial"/>
        </w:rPr>
        <w:t>Smlouva je uzavírána v souladu s nabídkou poskytovatele a rozhodnutím objednatele jako zadavatele o výběru nejvýhodnější nabídky ve výběrovém ří</w:t>
      </w:r>
      <w:r>
        <w:rPr>
          <w:rFonts w:ascii="Arial" w:hAnsi="Arial" w:cs="Arial"/>
        </w:rPr>
        <w:t>zení veřejné zakázky vedené pod </w:t>
      </w:r>
    </w:p>
    <w:p w:rsidR="00DD4323" w:rsidRPr="00A87B8D" w:rsidP="008F684F" w14:paraId="184B9376" w14:textId="3139CACF">
      <w:pPr>
        <w:spacing w:after="120" w:line="240" w:lineRule="auto"/>
        <w:jc w:val="both"/>
        <w:rPr>
          <w:rFonts w:ascii="Arial" w:hAnsi="Arial" w:cs="Arial"/>
        </w:rPr>
      </w:pPr>
      <w:r w:rsidRPr="00A87B8D">
        <w:rPr>
          <w:rFonts w:ascii="Arial" w:hAnsi="Arial" w:cs="Arial"/>
        </w:rPr>
        <w:t xml:space="preserve">sp. zn.: </w:t>
      </w:r>
      <w:r w:rsidR="00DA6D56">
        <w:rPr>
          <w:rFonts w:ascii="Arial" w:hAnsi="Arial" w:cs="Arial"/>
          <w:shd w:val="clear" w:color="auto" w:fill="FFFFFF"/>
        </w:rPr>
        <w:t>SPIS-2025-1532</w:t>
      </w:r>
      <w:r w:rsidRPr="00A87B8D">
        <w:rPr>
          <w:rFonts w:ascii="Arial" w:hAnsi="Arial" w:cs="Arial"/>
        </w:rPr>
        <w:t>, s názvem „</w:t>
      </w:r>
      <w:r w:rsidRPr="00FE62A9" w:rsidR="00225D99">
        <w:rPr>
          <w:rFonts w:ascii="Arial" w:hAnsi="Arial" w:cs="Arial"/>
          <w:b/>
          <w:bCs/>
          <w:iCs/>
        </w:rPr>
        <w:t>Pořízení časově a množstevně omezené licence k užívání zálohovacího software prostředí vládního tenantu O365</w:t>
      </w:r>
      <w:r w:rsidRPr="00A87B8D">
        <w:rPr>
          <w:rFonts w:ascii="Arial" w:hAnsi="Arial" w:cs="Arial"/>
        </w:rPr>
        <w:t xml:space="preserve">”. </w:t>
      </w:r>
    </w:p>
    <w:p w:rsidR="00DA4642" w:rsidRPr="0043270E" w:rsidP="008F684F" w14:paraId="2CF5FC2C" w14:textId="3EEFA426">
      <w:pPr>
        <w:spacing w:before="120" w:after="120" w:line="240" w:lineRule="auto"/>
        <w:jc w:val="both"/>
        <w:rPr>
          <w:rFonts w:ascii="Arial" w:hAnsi="Arial" w:cs="Arial"/>
        </w:rPr>
      </w:pPr>
      <w:r w:rsidRPr="00A87B8D">
        <w:rPr>
          <w:rFonts w:ascii="Arial" w:hAnsi="Arial" w:cs="Arial"/>
        </w:rPr>
        <w:t>Plnění této smlouvy je veřejnou zakázkou malého rozsahu dle § 27 zákona č. 134/2016 Sb.,</w:t>
      </w:r>
      <w:r w:rsidR="004A3943">
        <w:rPr>
          <w:rFonts w:ascii="Arial" w:hAnsi="Arial" w:cs="Arial"/>
        </w:rPr>
        <w:t xml:space="preserve"> o </w:t>
      </w:r>
      <w:r w:rsidRPr="00A87B8D">
        <w:rPr>
          <w:rFonts w:ascii="Arial" w:hAnsi="Arial" w:cs="Arial"/>
        </w:rPr>
        <w:t>zadávání veřejných zakázek, ve znění pozdějších předpisů (dále jen „ZZVZ“)</w:t>
      </w:r>
      <w:r w:rsidR="00075D9B">
        <w:rPr>
          <w:rFonts w:ascii="Arial" w:hAnsi="Arial" w:cs="Arial"/>
        </w:rPr>
        <w:t>.</w:t>
      </w:r>
    </w:p>
    <w:p w:rsidR="00DD4323" w:rsidRPr="00A87B8D" w:rsidP="00595981" w14:paraId="07BA5689" w14:textId="402B8233">
      <w:pPr>
        <w:pStyle w:val="Heading4"/>
        <w:tabs>
          <w:tab w:val="clear" w:pos="360"/>
        </w:tabs>
        <w:spacing w:before="240" w:after="120"/>
        <w:contextualSpacing w:val="0"/>
      </w:pPr>
      <w:r w:rsidRPr="00A87B8D">
        <w:br/>
      </w:r>
      <w:r w:rsidR="0043270E">
        <w:t>Účel a p</w:t>
      </w:r>
      <w:r w:rsidRPr="00A87B8D">
        <w:t>ředmět smlouvy</w:t>
      </w:r>
    </w:p>
    <w:p w:rsidR="0043270E" w:rsidP="00595981" w14:paraId="49D3FCA0" w14:textId="5A9FA035">
      <w:pPr>
        <w:pStyle w:val="ListParagraph"/>
        <w:numPr>
          <w:ilvl w:val="0"/>
          <w:numId w:val="6"/>
        </w:numPr>
        <w:spacing w:after="120" w:line="240" w:lineRule="auto"/>
        <w:ind w:left="425" w:hanging="425"/>
        <w:contextualSpacing w:val="0"/>
        <w:jc w:val="both"/>
        <w:rPr>
          <w:rFonts w:ascii="Arial" w:hAnsi="Arial" w:cs="Arial"/>
        </w:rPr>
      </w:pPr>
      <w:r w:rsidRPr="0043270E">
        <w:rPr>
          <w:rFonts w:ascii="Arial" w:hAnsi="Arial" w:cs="Arial"/>
        </w:rPr>
        <w:t xml:space="preserve">Účelem této smlouvy je </w:t>
      </w:r>
      <w:r w:rsidR="00E6480D">
        <w:rPr>
          <w:rFonts w:ascii="Arial" w:hAnsi="Arial" w:cs="Arial"/>
        </w:rPr>
        <w:t>pořízení časově a množstevně omezené licence k užívání zálohovacího software prostředí vládního tenantu O365</w:t>
      </w:r>
      <w:r w:rsidR="00C546BA">
        <w:rPr>
          <w:rFonts w:ascii="Arial" w:hAnsi="Arial" w:cs="Arial"/>
        </w:rPr>
        <w:t>.</w:t>
      </w:r>
    </w:p>
    <w:p w:rsidR="00DD4323" w:rsidRPr="0059450F" w:rsidP="00225D99" w14:paraId="3E580CCF" w14:textId="69658C04">
      <w:pPr>
        <w:pStyle w:val="ListParagraph"/>
        <w:numPr>
          <w:ilvl w:val="0"/>
          <w:numId w:val="6"/>
        </w:numPr>
        <w:spacing w:after="120" w:line="240" w:lineRule="auto"/>
        <w:ind w:left="425" w:hanging="425"/>
        <w:contextualSpacing w:val="0"/>
        <w:jc w:val="both"/>
        <w:rPr>
          <w:rFonts w:ascii="Arial" w:hAnsi="Arial" w:cs="Arial"/>
        </w:rPr>
      </w:pPr>
      <w:r w:rsidRPr="00A87B8D">
        <w:rPr>
          <w:rFonts w:ascii="Arial" w:hAnsi="Arial" w:cs="Arial"/>
        </w:rPr>
        <w:t>Předmětem této smlouvy je závazek poskytovatele</w:t>
      </w:r>
      <w:r w:rsidR="00225D99">
        <w:rPr>
          <w:rFonts w:ascii="Arial" w:hAnsi="Arial" w:cs="Arial"/>
        </w:rPr>
        <w:t xml:space="preserve"> </w:t>
      </w:r>
      <w:r w:rsidR="0059450F">
        <w:rPr>
          <w:rFonts w:ascii="Arial" w:hAnsi="Arial" w:cs="Arial"/>
        </w:rPr>
        <w:t xml:space="preserve">poskytnout objednateli formou subskripce </w:t>
      </w:r>
      <w:r w:rsidR="00225D99">
        <w:rPr>
          <w:rFonts w:ascii="Arial" w:hAnsi="Arial" w:cs="Arial"/>
          <w:b/>
        </w:rPr>
        <w:t>750</w:t>
      </w:r>
      <w:r w:rsidRPr="00225D99">
        <w:rPr>
          <w:rFonts w:ascii="Arial" w:hAnsi="Arial" w:cs="Arial"/>
          <w:b/>
        </w:rPr>
        <w:t xml:space="preserve"> kus</w:t>
      </w:r>
      <w:r w:rsidR="00225D99">
        <w:rPr>
          <w:rFonts w:ascii="Arial" w:hAnsi="Arial" w:cs="Arial"/>
          <w:b/>
        </w:rPr>
        <w:t>ů</w:t>
      </w:r>
      <w:r w:rsidRPr="00225D99">
        <w:rPr>
          <w:rFonts w:ascii="Arial" w:hAnsi="Arial" w:cs="Arial"/>
          <w:b/>
        </w:rPr>
        <w:t xml:space="preserve"> licencí</w:t>
      </w:r>
      <w:r w:rsidRPr="00225D99">
        <w:rPr>
          <w:rFonts w:ascii="Arial" w:hAnsi="Arial" w:cs="Arial"/>
        </w:rPr>
        <w:t xml:space="preserve"> </w:t>
      </w:r>
      <w:r w:rsidR="0059450F">
        <w:rPr>
          <w:rFonts w:ascii="Arial" w:hAnsi="Arial" w:cs="Arial"/>
        </w:rPr>
        <w:t>k produktu „</w:t>
      </w:r>
      <w:r w:rsidRPr="00DA6D56" w:rsidR="00DA6D56">
        <w:rPr>
          <w:rFonts w:ascii="Arial" w:hAnsi="Arial" w:cs="Arial"/>
          <w:i/>
          <w:iCs/>
        </w:rPr>
        <w:t>Veeam Backup for Microsoft 365</w:t>
      </w:r>
      <w:r w:rsidR="0059450F">
        <w:rPr>
          <w:rFonts w:ascii="Arial" w:hAnsi="Arial" w:cs="Arial"/>
          <w:i/>
          <w:iCs/>
        </w:rPr>
        <w:t xml:space="preserve">“ </w:t>
      </w:r>
      <w:r w:rsidRPr="0059450F" w:rsidR="0059450F">
        <w:rPr>
          <w:rFonts w:ascii="Arial" w:hAnsi="Arial" w:cs="Arial"/>
        </w:rPr>
        <w:t xml:space="preserve">a to včetně podpory za podmínek a v rozsahu blíže specifikovaných v této smlouvě. </w:t>
      </w:r>
      <w:r w:rsidRPr="0059450F">
        <w:rPr>
          <w:rFonts w:ascii="Arial" w:hAnsi="Arial" w:cs="Arial"/>
        </w:rPr>
        <w:t xml:space="preserve"> </w:t>
      </w:r>
      <w:r w:rsidRPr="002850D9" w:rsidR="002850D9">
        <w:rPr>
          <w:rFonts w:ascii="Arial" w:hAnsi="Arial" w:cs="Arial"/>
        </w:rPr>
        <w:t xml:space="preserve">Rozsah podpory včetně podmínek, za kterých bude tato služba poskytována, je dále specifikován na on-line portále </w:t>
      </w:r>
      <w:r w:rsidR="002850D9">
        <w:rPr>
          <w:rFonts w:ascii="Arial" w:hAnsi="Arial" w:cs="Arial"/>
        </w:rPr>
        <w:t>v</w:t>
      </w:r>
      <w:r w:rsidRPr="002850D9" w:rsidR="002850D9">
        <w:rPr>
          <w:rFonts w:ascii="Arial" w:hAnsi="Arial" w:cs="Arial"/>
        </w:rPr>
        <w:t xml:space="preserve">ýrobce: </w:t>
      </w:r>
      <w:hyperlink r:id="rId8" w:history="1">
        <w:r w:rsidRPr="000E76D4" w:rsidR="00DA6D56">
          <w:rPr>
            <w:rStyle w:val="Hyperlink"/>
            <w:rFonts w:ascii="Arial" w:hAnsi="Arial" w:cs="Arial"/>
            <w:i/>
            <w:iCs/>
          </w:rPr>
          <w:t>https://www.veeam.com/legal/licensing-policy.html</w:t>
        </w:r>
      </w:hyperlink>
      <w:r w:rsidRPr="002850D9" w:rsidR="002850D9">
        <w:rPr>
          <w:rFonts w:ascii="Arial" w:hAnsi="Arial" w:cs="Arial"/>
        </w:rPr>
        <w:t xml:space="preserve">, přičemž tyto podmínky ke dni podpisu této </w:t>
      </w:r>
      <w:r w:rsidR="002850D9">
        <w:rPr>
          <w:rFonts w:ascii="Arial" w:hAnsi="Arial" w:cs="Arial"/>
        </w:rPr>
        <w:t>s</w:t>
      </w:r>
      <w:r w:rsidRPr="002850D9" w:rsidR="002850D9">
        <w:rPr>
          <w:rFonts w:ascii="Arial" w:hAnsi="Arial" w:cs="Arial"/>
        </w:rPr>
        <w:t>mlouvy jsou uvedeny i v</w:t>
      </w:r>
      <w:r w:rsidR="002850D9">
        <w:rPr>
          <w:rFonts w:ascii="Arial" w:hAnsi="Arial" w:cs="Arial"/>
          <w:b/>
        </w:rPr>
        <w:t> </w:t>
      </w:r>
      <w:r w:rsidRPr="002850D9" w:rsidR="002850D9">
        <w:rPr>
          <w:rFonts w:ascii="Arial" w:hAnsi="Arial" w:cs="Arial"/>
          <w:bCs/>
        </w:rPr>
        <w:t xml:space="preserve">příloze č. </w:t>
      </w:r>
      <w:r w:rsidR="001D35E6">
        <w:rPr>
          <w:rFonts w:ascii="Arial" w:hAnsi="Arial" w:cs="Arial"/>
          <w:bCs/>
        </w:rPr>
        <w:t>3</w:t>
      </w:r>
      <w:r w:rsidR="002850D9">
        <w:rPr>
          <w:rFonts w:ascii="Arial" w:hAnsi="Arial" w:cs="Arial"/>
          <w:b/>
        </w:rPr>
        <w:t xml:space="preserve">  </w:t>
      </w:r>
      <w:r w:rsidRPr="002850D9" w:rsidR="002850D9">
        <w:rPr>
          <w:rFonts w:ascii="Arial" w:hAnsi="Arial" w:cs="Arial"/>
        </w:rPr>
        <w:t xml:space="preserve"> této </w:t>
      </w:r>
      <w:r w:rsidR="002850D9">
        <w:rPr>
          <w:rFonts w:ascii="Arial" w:hAnsi="Arial" w:cs="Arial"/>
        </w:rPr>
        <w:t>s</w:t>
      </w:r>
      <w:r w:rsidRPr="002850D9" w:rsidR="002850D9">
        <w:rPr>
          <w:rFonts w:ascii="Arial" w:hAnsi="Arial" w:cs="Arial"/>
        </w:rPr>
        <w:t>mlouvy</w:t>
      </w:r>
      <w:r w:rsidR="002850D9">
        <w:rPr>
          <w:rFonts w:ascii="Arial" w:hAnsi="Arial" w:cs="Arial"/>
        </w:rPr>
        <w:t xml:space="preserve">. </w:t>
      </w:r>
      <w:r w:rsidRPr="0059450F" w:rsidR="00225D99">
        <w:rPr>
          <w:rFonts w:ascii="Arial" w:hAnsi="Arial" w:cs="Arial"/>
        </w:rPr>
        <w:t>Licence a p</w:t>
      </w:r>
      <w:r w:rsidRPr="0059450F">
        <w:rPr>
          <w:rFonts w:ascii="Arial" w:hAnsi="Arial" w:cs="Arial"/>
        </w:rPr>
        <w:t>odpora</w:t>
      </w:r>
      <w:r w:rsidRPr="0059450F" w:rsidR="00225D99">
        <w:rPr>
          <w:rFonts w:ascii="Arial" w:hAnsi="Arial" w:cs="Arial"/>
        </w:rPr>
        <w:t xml:space="preserve"> k nim </w:t>
      </w:r>
      <w:r w:rsidRPr="0059450F">
        <w:rPr>
          <w:rFonts w:ascii="Arial" w:hAnsi="Arial" w:cs="Arial"/>
        </w:rPr>
        <w:t xml:space="preserve">bude poskytována v rámci oficiálního servisního programu poskytovatele licencí, a to </w:t>
      </w:r>
      <w:r w:rsidRPr="0059450F">
        <w:rPr>
          <w:rFonts w:ascii="Arial" w:hAnsi="Arial" w:cs="Arial"/>
          <w:b/>
        </w:rPr>
        <w:t>po dobu 36 měsíců</w:t>
      </w:r>
      <w:r w:rsidRPr="0059450F">
        <w:rPr>
          <w:rFonts w:ascii="Arial" w:hAnsi="Arial" w:cs="Arial"/>
        </w:rPr>
        <w:t xml:space="preserve"> počínající dnem nabytí účinnosti této smlouvy.</w:t>
      </w:r>
    </w:p>
    <w:p w:rsidR="00DD4323" w:rsidRPr="00A87B8D" w:rsidP="00923247" w14:paraId="52F034AB" w14:textId="77777777">
      <w:pPr>
        <w:pStyle w:val="ListParagraph"/>
        <w:spacing w:after="120" w:line="240" w:lineRule="auto"/>
        <w:ind w:left="426"/>
        <w:contextualSpacing w:val="0"/>
        <w:jc w:val="both"/>
        <w:rPr>
          <w:rFonts w:ascii="Arial" w:hAnsi="Arial" w:cs="Arial"/>
        </w:rPr>
      </w:pPr>
      <w:r w:rsidRPr="00A87B8D">
        <w:rPr>
          <w:rFonts w:ascii="Arial" w:hAnsi="Arial" w:cs="Arial"/>
        </w:rPr>
        <w:t>Objednatel se zavazuje za řádně a včas poskytnuté plnění zaplatit poskytovateli sjednanou cenu za podmínek stanovených v této smlouvě</w:t>
      </w:r>
      <w:r w:rsidRPr="00A87B8D">
        <w:rPr>
          <w:rFonts w:ascii="Arial" w:eastAsia="Times New Roman" w:hAnsi="Arial" w:cs="Arial"/>
          <w:color w:val="000000"/>
        </w:rPr>
        <w:t>.</w:t>
      </w:r>
    </w:p>
    <w:p w:rsidR="00DD4323" w:rsidRPr="00A87B8D" w:rsidP="008F684F" w14:paraId="64216B4C" w14:textId="60CB87FE">
      <w:pPr>
        <w:pStyle w:val="ListParagraph"/>
        <w:numPr>
          <w:ilvl w:val="0"/>
          <w:numId w:val="6"/>
        </w:numPr>
        <w:spacing w:after="120" w:line="240" w:lineRule="auto"/>
        <w:ind w:left="425" w:hanging="425"/>
        <w:contextualSpacing w:val="0"/>
        <w:jc w:val="both"/>
        <w:rPr>
          <w:rFonts w:ascii="Arial" w:hAnsi="Arial" w:cs="Arial"/>
        </w:rPr>
      </w:pPr>
      <w:r>
        <w:rPr>
          <w:rFonts w:ascii="Arial" w:hAnsi="Arial" w:cs="Arial"/>
        </w:rPr>
        <w:t xml:space="preserve">Poskytovatel </w:t>
      </w:r>
      <w:r w:rsidRPr="00A87B8D">
        <w:rPr>
          <w:rFonts w:ascii="Arial" w:hAnsi="Arial" w:cs="Arial"/>
        </w:rPr>
        <w:t xml:space="preserve">odpovídá za to, že veškeré plnění dle této smlouvy: </w:t>
      </w:r>
    </w:p>
    <w:p w:rsidR="00DD4323" w:rsidRPr="00A87B8D" w:rsidP="008F684F" w14:paraId="711E2104" w14:textId="77777777">
      <w:pPr>
        <w:pStyle w:val="ListParagraph"/>
        <w:numPr>
          <w:ilvl w:val="0"/>
          <w:numId w:val="18"/>
        </w:numPr>
        <w:spacing w:after="120" w:line="240" w:lineRule="auto"/>
        <w:ind w:left="851" w:hanging="425"/>
        <w:contextualSpacing w:val="0"/>
        <w:jc w:val="both"/>
        <w:rPr>
          <w:rFonts w:ascii="Arial" w:hAnsi="Arial" w:cs="Arial"/>
        </w:rPr>
      </w:pPr>
      <w:r w:rsidRPr="00A87B8D">
        <w:rPr>
          <w:rFonts w:ascii="Arial" w:hAnsi="Arial" w:cs="Arial"/>
        </w:rPr>
        <w:t>pochází z autorizovaného obchodního kanálu výrobce,</w:t>
      </w:r>
    </w:p>
    <w:p w:rsidR="00DD4323" w:rsidRPr="00A87B8D" w:rsidP="008F684F" w14:paraId="2BE59190" w14:textId="77777777">
      <w:pPr>
        <w:pStyle w:val="ListParagraph"/>
        <w:numPr>
          <w:ilvl w:val="0"/>
          <w:numId w:val="18"/>
        </w:numPr>
        <w:spacing w:after="120" w:line="240" w:lineRule="auto"/>
        <w:ind w:left="850" w:hanging="425"/>
        <w:contextualSpacing w:val="0"/>
        <w:jc w:val="both"/>
        <w:rPr>
          <w:rFonts w:ascii="Arial" w:hAnsi="Arial" w:cs="Arial"/>
        </w:rPr>
      </w:pPr>
      <w:r w:rsidRPr="00A87B8D">
        <w:rPr>
          <w:rFonts w:ascii="Arial" w:hAnsi="Arial" w:cs="Arial"/>
        </w:rPr>
        <w:t xml:space="preserve">je registrováno a licencováno u výrobce na jméno objednatele, </w:t>
      </w:r>
    </w:p>
    <w:p w:rsidR="00DD4323" w:rsidP="008F684F" w14:paraId="210E0593" w14:textId="77777777">
      <w:pPr>
        <w:pStyle w:val="ListParagraph"/>
        <w:numPr>
          <w:ilvl w:val="0"/>
          <w:numId w:val="18"/>
        </w:numPr>
        <w:spacing w:after="120" w:line="240" w:lineRule="auto"/>
        <w:ind w:left="850" w:hanging="425"/>
        <w:contextualSpacing w:val="0"/>
        <w:jc w:val="both"/>
        <w:rPr>
          <w:rFonts w:ascii="Arial" w:hAnsi="Arial" w:cs="Arial"/>
        </w:rPr>
      </w:pPr>
      <w:r w:rsidRPr="00A87B8D">
        <w:rPr>
          <w:rFonts w:ascii="Arial" w:hAnsi="Arial" w:cs="Arial"/>
        </w:rPr>
        <w:t>nachází se v oblasti Evropské unie v souladu s pravidly Evropské unie o paralelním trhu.</w:t>
      </w:r>
    </w:p>
    <w:p w:rsidR="0043270E" w:rsidRPr="0043270E" w:rsidP="008F684F" w14:paraId="77FA64A8" w14:textId="2853C9A5">
      <w:pPr>
        <w:spacing w:after="120" w:line="240" w:lineRule="auto"/>
        <w:ind w:left="426"/>
        <w:jc w:val="both"/>
        <w:rPr>
          <w:rFonts w:ascii="Arial" w:hAnsi="Arial" w:cs="Arial"/>
        </w:rPr>
      </w:pPr>
      <w:r w:rsidRPr="0043270E">
        <w:rPr>
          <w:rFonts w:ascii="Arial" w:hAnsi="Arial" w:cs="Arial"/>
        </w:rPr>
        <w:t>Poskytovatel odpovídá za to, že objednatel bude uveden v databázi výrobce či jeho autorizovaného partnera a poskytovatele služeb, jako konečný uživatel.</w:t>
      </w:r>
    </w:p>
    <w:p w:rsidR="00075D9B" w:rsidRPr="00075D9B" w:rsidP="008F684F" w14:paraId="3D390168" w14:textId="71DB0A9B">
      <w:pPr>
        <w:pStyle w:val="ListParagraph"/>
        <w:numPr>
          <w:ilvl w:val="0"/>
          <w:numId w:val="6"/>
        </w:numPr>
        <w:spacing w:after="120" w:line="240" w:lineRule="auto"/>
        <w:ind w:left="425" w:hanging="425"/>
        <w:contextualSpacing w:val="0"/>
        <w:jc w:val="both"/>
        <w:rPr>
          <w:rFonts w:ascii="Arial" w:hAnsi="Arial" w:cs="Arial"/>
        </w:rPr>
      </w:pPr>
      <w:r w:rsidRPr="00075D9B">
        <w:rPr>
          <w:rFonts w:ascii="Arial" w:hAnsi="Arial" w:cs="Arial"/>
        </w:rPr>
        <w:t>Poskytovatel prohlašuje, že je oprávněn k poskytování licencí a standardizované podpory k softwarovým produktům</w:t>
      </w:r>
      <w:r w:rsidR="00B47D42">
        <w:rPr>
          <w:rFonts w:ascii="Arial" w:hAnsi="Arial" w:cs="Arial"/>
        </w:rPr>
        <w:t xml:space="preserve"> specifikovaným</w:t>
      </w:r>
      <w:r w:rsidRPr="00075D9B">
        <w:rPr>
          <w:rFonts w:ascii="Arial" w:hAnsi="Arial" w:cs="Arial"/>
        </w:rPr>
        <w:t xml:space="preserve"> v příloze č. </w:t>
      </w:r>
      <w:r w:rsidR="00B47D42">
        <w:rPr>
          <w:rFonts w:ascii="Arial" w:hAnsi="Arial" w:cs="Arial"/>
        </w:rPr>
        <w:t>2</w:t>
      </w:r>
      <w:r w:rsidRPr="00075D9B">
        <w:rPr>
          <w:rFonts w:ascii="Arial" w:hAnsi="Arial" w:cs="Arial"/>
        </w:rPr>
        <w:t xml:space="preserve"> této smlouvy a disponuje platným certifikátem, popřípadě jiným platným smluvním dokumentem uzavřeným s výrobcem těchto produktů. Poskytovatel je schopen zajistit a za stejných podmínek jako u sebe doložit oprávnění svých případných poddodavatelů. Poskytovatel se zavazuje udržovat tato oprávnění v platnosti po celou dobu plnění předmětu této smlouvy a kdykoli na písemné vyzvání předložit objednateli originály nebo ověřené kopie dokladů prokazujících aktuálnost těchto oprávnění.</w:t>
      </w:r>
    </w:p>
    <w:p w:rsidR="00075D9B" w:rsidP="00075D9B" w14:paraId="4EF7D2B0" w14:textId="5F8BB5DC">
      <w:pPr>
        <w:pStyle w:val="ListParagraph"/>
        <w:numPr>
          <w:ilvl w:val="0"/>
          <w:numId w:val="6"/>
        </w:numPr>
        <w:spacing w:after="240" w:line="240" w:lineRule="auto"/>
        <w:ind w:left="426" w:hanging="426"/>
        <w:contextualSpacing w:val="0"/>
        <w:jc w:val="both"/>
        <w:rPr>
          <w:rFonts w:ascii="Arial" w:hAnsi="Arial" w:cs="Arial"/>
        </w:rPr>
      </w:pPr>
      <w:r>
        <w:rPr>
          <w:rFonts w:ascii="Arial" w:hAnsi="Arial" w:cs="Arial"/>
        </w:rPr>
        <w:t xml:space="preserve">Poskytovatel taktéž prohlašuje, že on, popřípadě jeho poddodavatelé jsou subjekty oprávněnými k poskytnutí subskripcí licencí (subskripčních licencí) dále specifikovaných v této smlouvě na základě tzv. subskripce (předplatného) popsaného v příloze č. </w:t>
      </w:r>
      <w:r w:rsidR="004B439F">
        <w:rPr>
          <w:rFonts w:ascii="Arial" w:hAnsi="Arial" w:cs="Arial"/>
        </w:rPr>
        <w:t>3</w:t>
      </w:r>
      <w:r>
        <w:rPr>
          <w:rFonts w:ascii="Arial" w:hAnsi="Arial" w:cs="Arial"/>
        </w:rPr>
        <w:t xml:space="preserve"> této smlouvy a že toto poskytnutí licencí, resp. podpory objednateli zaručuje, že neporuší práva duševního vlastnictví poskytovatele, resp. výrobce a společností s ním propojených a ani jiných třetích osob.</w:t>
      </w:r>
    </w:p>
    <w:p w:rsidR="00DD4323" w:rsidRPr="00923247" w:rsidP="00595981" w14:paraId="7FF500F6" w14:textId="38E6ECF3">
      <w:pPr>
        <w:pStyle w:val="Heading4"/>
        <w:keepNext/>
        <w:tabs>
          <w:tab w:val="clear" w:pos="360"/>
        </w:tabs>
        <w:spacing w:after="120"/>
        <w:contextualSpacing w:val="0"/>
      </w:pPr>
      <w:r w:rsidRPr="00A87B8D">
        <w:br/>
        <w:t>Doba a místo plnění, způsob předání</w:t>
      </w:r>
    </w:p>
    <w:p w:rsidR="00DD4323" w:rsidRPr="00A87B8D" w:rsidP="008F684F" w14:paraId="7532E044" w14:textId="0B0A4005">
      <w:pPr>
        <w:pStyle w:val="ListParagraph"/>
        <w:numPr>
          <w:ilvl w:val="0"/>
          <w:numId w:val="7"/>
        </w:numPr>
        <w:spacing w:after="120" w:line="240" w:lineRule="auto"/>
        <w:ind w:left="425" w:hanging="425"/>
        <w:contextualSpacing w:val="0"/>
        <w:jc w:val="both"/>
        <w:rPr>
          <w:rFonts w:ascii="Arial" w:hAnsi="Arial" w:cs="Arial"/>
        </w:rPr>
      </w:pPr>
      <w:r w:rsidRPr="00A87B8D">
        <w:rPr>
          <w:rFonts w:ascii="Arial" w:hAnsi="Arial" w:cs="Arial"/>
        </w:rPr>
        <w:t>Místem plnění je sídlo objednatele na adrese nábř. E. Beneše 128/4, 118 0</w:t>
      </w:r>
      <w:r w:rsidR="00923247">
        <w:rPr>
          <w:rFonts w:ascii="Arial" w:hAnsi="Arial" w:cs="Arial"/>
        </w:rPr>
        <w:t>0</w:t>
      </w:r>
      <w:r w:rsidRPr="00A87B8D">
        <w:rPr>
          <w:rFonts w:ascii="Arial" w:hAnsi="Arial" w:cs="Arial"/>
        </w:rPr>
        <w:t xml:space="preserve"> Praha 1 - Malá Strana.</w:t>
      </w:r>
    </w:p>
    <w:p w:rsidR="00DD4323" w:rsidRPr="00A87B8D" w:rsidP="008F684F" w14:paraId="3BD27721" w14:textId="2421A1B2">
      <w:pPr>
        <w:pStyle w:val="ListParagraph"/>
        <w:numPr>
          <w:ilvl w:val="0"/>
          <w:numId w:val="7"/>
        </w:numPr>
        <w:spacing w:after="120" w:line="240" w:lineRule="auto"/>
        <w:ind w:left="425" w:hanging="425"/>
        <w:contextualSpacing w:val="0"/>
        <w:jc w:val="both"/>
        <w:rPr>
          <w:rFonts w:ascii="Arial" w:hAnsi="Arial" w:cs="Arial"/>
        </w:rPr>
      </w:pPr>
      <w:r w:rsidRPr="00A87B8D">
        <w:rPr>
          <w:rFonts w:ascii="Arial" w:hAnsi="Arial" w:cs="Arial"/>
        </w:rPr>
        <w:t>Objednatel není povinen převzít plnění, které vykazuje zjevné vady či odchylky od popisu dle této smlouvy, od dokumentace k němu nebo od nabídky poskytovatele podané ve</w:t>
      </w:r>
      <w:r w:rsidR="00B51A46">
        <w:rPr>
          <w:rFonts w:ascii="Arial" w:hAnsi="Arial" w:cs="Arial"/>
        </w:rPr>
        <w:t> </w:t>
      </w:r>
      <w:r w:rsidRPr="00A87B8D">
        <w:rPr>
          <w:rFonts w:ascii="Arial" w:hAnsi="Arial" w:cs="Arial"/>
        </w:rPr>
        <w:t>výběrovém řízení, v němž byla jeho nabídka vybrána jako nejvýhodnější. V</w:t>
      </w:r>
      <w:r w:rsidR="00B51A46">
        <w:rPr>
          <w:rFonts w:ascii="Arial" w:hAnsi="Arial" w:cs="Arial"/>
        </w:rPr>
        <w:t> </w:t>
      </w:r>
      <w:r w:rsidRPr="00A87B8D">
        <w:rPr>
          <w:rFonts w:ascii="Arial" w:hAnsi="Arial" w:cs="Arial"/>
        </w:rPr>
        <w:t xml:space="preserve">takovém případě je objednatel povinen sepsat zápis o zjištěných vadách a předat jej poskytovateli. </w:t>
      </w:r>
      <w:r w:rsidRPr="00A87B8D">
        <w:rPr>
          <w:rFonts w:ascii="Arial" w:hAnsi="Arial" w:cs="Arial"/>
        </w:rPr>
        <w:t>Do odstranění vad není objednatel povinen podepsat předávací protokol a zaplatit cenu. Vady zjištěné objednatelem při převzetí plnění je poskytovatel povinen odstranit nejpozději do 3 pracovních dnů ode dne doručení (předání) zápisu objednatele o těchto vadách.</w:t>
      </w:r>
    </w:p>
    <w:p w:rsidR="00DD4323" w:rsidRPr="00A87B8D" w:rsidP="00595981" w14:paraId="14311285" w14:textId="77777777">
      <w:pPr>
        <w:pStyle w:val="Heading4"/>
        <w:tabs>
          <w:tab w:val="clear" w:pos="360"/>
        </w:tabs>
        <w:spacing w:after="120"/>
        <w:contextualSpacing w:val="0"/>
      </w:pPr>
      <w:bookmarkStart w:id="1" w:name="_Hlk192600338"/>
      <w:r w:rsidRPr="00A87B8D">
        <w:br/>
        <w:t>Podmínky poskytování služby, odpovědnost za vady, náhrada škody</w:t>
      </w:r>
    </w:p>
    <w:bookmarkEnd w:id="1"/>
    <w:p w:rsidR="00DD4323" w:rsidRPr="00A87B8D" w:rsidP="007A1E3C" w14:paraId="39A03083" w14:textId="031809AD">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Poskytovatel je při poskytování služeb povinen postupovat s odbornou péčí, podle svých nejlepších znalostí a schopností, přičemž je při své činnosti povinen sledovat a chránit zájmy</w:t>
      </w:r>
      <w:r w:rsidR="00923247">
        <w:rPr>
          <w:rFonts w:ascii="Arial" w:hAnsi="Arial" w:cs="Arial"/>
        </w:rPr>
        <w:t xml:space="preserve"> </w:t>
      </w:r>
      <w:r w:rsidRPr="00A87B8D">
        <w:rPr>
          <w:rFonts w:ascii="Arial" w:hAnsi="Arial" w:cs="Arial"/>
        </w:rPr>
        <w:t>a dobré jméno objednatele a postupovat v souladu s jeho pokyny. Objednatel je povinen poskytovat poskytovateli součinnost nezbytnou k řádnému plnění povinností poskytovatele</w:t>
      </w:r>
      <w:r w:rsidR="00923247">
        <w:rPr>
          <w:rFonts w:ascii="Arial" w:hAnsi="Arial" w:cs="Arial"/>
        </w:rPr>
        <w:t xml:space="preserve"> </w:t>
      </w:r>
      <w:r w:rsidRPr="00A87B8D">
        <w:rPr>
          <w:rFonts w:ascii="Arial" w:hAnsi="Arial" w:cs="Arial"/>
        </w:rPr>
        <w:t>dle této smlouvy. V případě nevhodných pokynů objednatele je poskytovatel povinen</w:t>
      </w:r>
      <w:r w:rsidR="004A3943">
        <w:rPr>
          <w:rFonts w:ascii="Arial" w:hAnsi="Arial" w:cs="Arial"/>
        </w:rPr>
        <w:t xml:space="preserve"> </w:t>
      </w:r>
      <w:r w:rsidRPr="00A87B8D">
        <w:rPr>
          <w:rFonts w:ascii="Arial" w:hAnsi="Arial" w:cs="Arial"/>
        </w:rPr>
        <w:t>na nevhodnost těchto pokynů objednatele písemně upozornit, v</w:t>
      </w:r>
      <w:r w:rsidR="00923247">
        <w:rPr>
          <w:rFonts w:ascii="Arial" w:hAnsi="Arial" w:cs="Arial"/>
        </w:rPr>
        <w:t> </w:t>
      </w:r>
      <w:r w:rsidRPr="00A87B8D">
        <w:rPr>
          <w:rFonts w:ascii="Arial" w:hAnsi="Arial" w:cs="Arial"/>
        </w:rPr>
        <w:t>opačném případě nese poskytovatel odpovědnost za vady a za škodu, které v důsledku nevhodných pokynů vznikly.</w:t>
      </w:r>
    </w:p>
    <w:p w:rsidR="00DD4323" w:rsidRPr="00A87B8D" w:rsidP="007A1E3C" w14:paraId="5171F445" w14:textId="77777777">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Poskytovatel odpovídá za řádné poskytování podpory dle této smlouvy po dobu účinnosti této smlouvy.</w:t>
      </w:r>
    </w:p>
    <w:p w:rsidR="00DD4323" w:rsidRPr="00A87B8D" w:rsidP="007A1E3C" w14:paraId="1BB4DD60" w14:textId="3F312C24">
      <w:pPr>
        <w:pStyle w:val="ListParagraph"/>
        <w:numPr>
          <w:ilvl w:val="0"/>
          <w:numId w:val="8"/>
        </w:numPr>
        <w:spacing w:before="120" w:after="120" w:line="240" w:lineRule="auto"/>
        <w:ind w:left="425" w:hanging="425"/>
        <w:contextualSpacing w:val="0"/>
        <w:jc w:val="both"/>
        <w:rPr>
          <w:rFonts w:ascii="Arial" w:hAnsi="Arial" w:cs="Arial"/>
        </w:rPr>
      </w:pPr>
      <w:r w:rsidRPr="00A87B8D">
        <w:rPr>
          <w:rFonts w:ascii="Arial" w:hAnsi="Arial" w:cs="Arial"/>
        </w:rPr>
        <w:t xml:space="preserve">Objednatel je povinen uplatňovat vady na předmětu plnění v co nejkratší lhůtě po jejich zjištění. Uplatnění vad se provede e-mailovou formou na e-mail poskytovatele </w:t>
      </w:r>
      <w:r w:rsidRPr="00B55ECC" w:rsidR="00B55ECC">
        <w:rPr>
          <w:rFonts w:ascii="Arial" w:hAnsi="Arial" w:cs="Arial"/>
        </w:rPr>
        <w:t>customer-support.cz@softwareone.com</w:t>
      </w:r>
      <w:r w:rsidRPr="00A87B8D">
        <w:rPr>
          <w:rFonts w:ascii="Arial" w:hAnsi="Arial" w:cs="Arial"/>
        </w:rPr>
        <w:t xml:space="preserve"> nebo prostřednictvím helpdesk systému poskytovatele, a to v době pracovních dnů od 09:00 hod. do 17:00 hod. s tím, že poskytovatel je povinen potvrdit objednateli nahlášení závady do 4 hodin od odeslání předmětného nahlášení, dále zahájit práce na odstranění vad nejpozději do druhého pracovního dne od nahlášení závady, a dále odstranit vady do 5 pracovních dnů ode dne jejich nahlášení, nestanoví-li objednatel lhůtu delší. V případě, že poskytovatel nezahájí odstraňování vad nebo neodstraní vady ve lhůtách dle předchozí věty, je objednatel oprávněn odstranit vady na vlastní náklady, které je poskytovatel povinen následně objednateli uhradit do 14 dnů ode dne obdržení faktury. Tímto ujednáním není dotčeno právo objednatele na náhradu škody.</w:t>
      </w:r>
    </w:p>
    <w:p w:rsidR="00DD4323" w:rsidRPr="00A87B8D" w:rsidP="00C97FE1" w14:paraId="049D6B58" w14:textId="77777777">
      <w:pPr>
        <w:pStyle w:val="ListParagraph"/>
        <w:numPr>
          <w:ilvl w:val="0"/>
          <w:numId w:val="8"/>
        </w:numPr>
        <w:spacing w:before="120" w:after="120" w:line="240" w:lineRule="auto"/>
        <w:ind w:left="425" w:hanging="425"/>
        <w:contextualSpacing w:val="0"/>
        <w:jc w:val="both"/>
        <w:rPr>
          <w:rFonts w:ascii="Arial" w:hAnsi="Arial" w:cs="Arial"/>
        </w:rPr>
      </w:pPr>
      <w:r w:rsidRPr="00A87B8D">
        <w:rPr>
          <w:rFonts w:ascii="Arial" w:hAnsi="Arial" w:cs="Arial"/>
        </w:rPr>
        <w:t>Uplatněním odpovědnosti za vady nejsou dotčeny nároky na náhradu škody nebo na uplatnění smluvní pokuty.</w:t>
      </w:r>
    </w:p>
    <w:p w:rsidR="00DD4323" w:rsidRPr="00A87B8D" w:rsidP="00DD4323" w14:paraId="262BBCAD" w14:textId="77777777">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Poskytovatel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p>
    <w:p w:rsidR="00DD4323" w:rsidRPr="00A87B8D" w:rsidP="00DD4323" w14:paraId="76F20B0A" w14:textId="1745D440">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V případě sporu o oprávněnost reklamace budou smluvní strany respektovat vyjádření a konečné stanovisko soudního znalce vybraného objednatelem. Náklady na vypracování znaleckého posudku nese v plné výši smluvní strana, která nebude ve sporu o</w:t>
      </w:r>
      <w:r w:rsidR="00923247">
        <w:rPr>
          <w:rFonts w:ascii="Arial" w:hAnsi="Arial" w:cs="Arial"/>
        </w:rPr>
        <w:t> </w:t>
      </w:r>
      <w:r w:rsidRPr="00A87B8D">
        <w:rPr>
          <w:rFonts w:ascii="Arial" w:hAnsi="Arial" w:cs="Arial"/>
        </w:rPr>
        <w:t>oprávněnost reklamace úspěšná.</w:t>
      </w:r>
    </w:p>
    <w:p w:rsidR="00DD4323" w:rsidRPr="00A87B8D" w:rsidP="00DD4323" w14:paraId="3E9E88CD" w14:textId="77777777">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DD4323" w:rsidRPr="00A87B8D" w:rsidP="00DD4323" w14:paraId="62F2F836" w14:textId="4501944A">
      <w:pPr>
        <w:pStyle w:val="ListParagraph"/>
        <w:numPr>
          <w:ilvl w:val="0"/>
          <w:numId w:val="8"/>
        </w:numPr>
        <w:spacing w:after="120" w:line="240" w:lineRule="auto"/>
        <w:ind w:left="425" w:hanging="425"/>
        <w:contextualSpacing w:val="0"/>
        <w:jc w:val="both"/>
        <w:rPr>
          <w:rFonts w:ascii="Arial" w:hAnsi="Arial" w:cs="Arial"/>
        </w:rPr>
      </w:pPr>
      <w:r w:rsidRPr="00A87B8D">
        <w:rPr>
          <w:rFonts w:ascii="Arial" w:hAnsi="Arial" w:cs="Arial"/>
        </w:rPr>
        <w:t>Žádná ze stran neodpovídá za škodu, která vznikla v důsledku věcně nesprávného nebo jinak chybného zadání, které obdržela od druhé smluvní strany. V případě, že jedna ze</w:t>
      </w:r>
      <w:r w:rsidR="00923247">
        <w:rPr>
          <w:rFonts w:ascii="Arial" w:hAnsi="Arial" w:cs="Arial"/>
        </w:rPr>
        <w:t> </w:t>
      </w:r>
      <w:r w:rsidRPr="00A87B8D">
        <w:rPr>
          <w:rFonts w:ascii="Arial" w:hAnsi="Arial" w:cs="Arial"/>
        </w:rPr>
        <w:t>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4A3943" w:rsidP="004E3315" w14:paraId="2B6490C0" w14:textId="3F7E1FCD">
      <w:pPr>
        <w:pStyle w:val="ListParagraph"/>
        <w:numPr>
          <w:ilvl w:val="0"/>
          <w:numId w:val="8"/>
        </w:numPr>
        <w:spacing w:after="240" w:line="240" w:lineRule="auto"/>
        <w:ind w:left="425" w:hanging="425"/>
        <w:contextualSpacing w:val="0"/>
        <w:jc w:val="both"/>
        <w:rPr>
          <w:rFonts w:ascii="Arial" w:hAnsi="Arial" w:cs="Arial"/>
        </w:rPr>
      </w:pPr>
      <w:r w:rsidRPr="00A87B8D">
        <w:rPr>
          <w:rFonts w:ascii="Arial" w:hAnsi="Arial" w:cs="Arial"/>
        </w:rPr>
        <w:t xml:space="preserve">Případná náhrada škody bude nahrazena uvedením do původního stavu a v případě nemožnosti uvedení do původního stavu bude náhrada škody uhrazena v měně platné </w:t>
      </w:r>
      <w:r w:rsidRPr="00A87B8D">
        <w:rPr>
          <w:rFonts w:ascii="Arial" w:hAnsi="Arial" w:cs="Arial"/>
        </w:rPr>
        <w:t>na území České republiky, přičemž pro propočet na tuto měnu je rozhodný kurz České národní banky ke dni vzniku škody.</w:t>
      </w:r>
    </w:p>
    <w:p w:rsidR="00C97FE1" w:rsidRPr="00C97FE1" w:rsidP="00595981" w14:paraId="3AB9B1C7" w14:textId="40285483">
      <w:pPr>
        <w:pStyle w:val="Heading4"/>
        <w:tabs>
          <w:tab w:val="clear" w:pos="360"/>
        </w:tabs>
        <w:spacing w:after="120"/>
        <w:contextualSpacing w:val="0"/>
      </w:pPr>
      <w:r w:rsidRPr="00A87B8D">
        <w:br/>
      </w:r>
      <w:r>
        <w:t>Cena a platební podmínky</w:t>
      </w:r>
    </w:p>
    <w:p w:rsidR="00DD4323" w:rsidRPr="00C97FE1" w:rsidP="00C97FE1" w14:paraId="6F511FAF" w14:textId="12CFBD67">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 xml:space="preserve">Objednatel se zavazuje zaplatit poskytovateli za předmět plnění dle této smlouvy celkovou cenu ve výši </w:t>
      </w:r>
      <w:r w:rsidRPr="00203D2C" w:rsidR="00203D2C">
        <w:rPr>
          <w:rFonts w:ascii="Arial" w:hAnsi="Arial" w:cs="Arial"/>
        </w:rPr>
        <w:t>795 000,00</w:t>
      </w:r>
      <w:r w:rsidR="00B47D42">
        <w:rPr>
          <w:rFonts w:ascii="Arial" w:hAnsi="Arial" w:cs="Arial"/>
        </w:rPr>
        <w:t xml:space="preserve"> </w:t>
      </w:r>
      <w:r w:rsidR="008C0D77">
        <w:rPr>
          <w:rFonts w:ascii="Arial" w:hAnsi="Arial" w:cs="Arial"/>
        </w:rPr>
        <w:t xml:space="preserve">Kč </w:t>
      </w:r>
      <w:r w:rsidRPr="00A87B8D">
        <w:rPr>
          <w:rFonts w:ascii="Arial" w:hAnsi="Arial" w:cs="Arial"/>
        </w:rPr>
        <w:t xml:space="preserve">bez DPH, tj. </w:t>
      </w:r>
      <w:r w:rsidRPr="00203D2C" w:rsidR="00203D2C">
        <w:rPr>
          <w:rFonts w:ascii="Arial" w:hAnsi="Arial" w:cs="Arial"/>
        </w:rPr>
        <w:t>961 950,00</w:t>
      </w:r>
      <w:r w:rsidRPr="00A87B8D" w:rsidR="00B47D42">
        <w:rPr>
          <w:rFonts w:ascii="Arial" w:hAnsi="Arial" w:cs="Arial"/>
        </w:rPr>
        <w:t xml:space="preserve"> </w:t>
      </w:r>
      <w:r w:rsidR="00F830E7">
        <w:rPr>
          <w:rFonts w:ascii="Arial" w:hAnsi="Arial" w:cs="Arial"/>
        </w:rPr>
        <w:t>Kč</w:t>
      </w:r>
      <w:r w:rsidRPr="00A87B8D">
        <w:rPr>
          <w:rFonts w:ascii="Arial" w:hAnsi="Arial" w:cs="Arial"/>
        </w:rPr>
        <w:t xml:space="preserve"> včetně DPH. </w:t>
      </w:r>
    </w:p>
    <w:p w:rsidR="00DD4323" w:rsidRPr="00C97FE1" w:rsidP="00C97FE1" w14:paraId="35667C33" w14:textId="63CF3E18">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Podrobná kalkulace ceny v položkovém členění je uvedena v Příloze č. 1 této smlouvy.</w:t>
      </w:r>
    </w:p>
    <w:p w:rsidR="00DD4323" w:rsidRPr="00C97FE1" w:rsidP="00C97FE1" w14:paraId="130E1A52" w14:textId="648C48FB">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eastAsia="Times New Roman" w:hAnsi="Arial" w:cs="Arial"/>
          <w:spacing w:val="1"/>
        </w:rPr>
        <w:t>V případě, že poskytovatel není ke dni uzavření této smlouvy plátcem DPH a v průběhu realizace plnění se plátcem DPH stane, nemá tato skutečnost vliv na výši ceny za plnění. Poskytovatel nemá nárok na navýšení ceny za plnění o výši DPH, kterou je povinen zaplatit.</w:t>
      </w:r>
    </w:p>
    <w:p w:rsidR="00DD4323" w:rsidRPr="00A87B8D" w:rsidP="00C97FE1" w14:paraId="1F1479AF" w14:textId="4726BABE">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Celková cena dle čl. IV. odst. 1 této smlouvy je stanovena jako cena nejvýše přípustná</w:t>
      </w:r>
      <w:r w:rsidR="004A3943">
        <w:rPr>
          <w:rFonts w:ascii="Arial" w:hAnsi="Arial" w:cs="Arial"/>
        </w:rPr>
        <w:t xml:space="preserve"> </w:t>
      </w:r>
      <w:r w:rsidRPr="00A87B8D">
        <w:rPr>
          <w:rFonts w:ascii="Arial" w:hAnsi="Arial" w:cs="Arial"/>
        </w:rPr>
        <w:t>a nepřekročitelná a zahrnuje zejména veškeré náklady poskytovatele spojené s plněním předmětu smlouvy. Cenu je možné měnit pouze v případě změny sazby DPH; v takovém případě není třeba uzavírat dodatek k této smlouvě, ale bude aplikována sazba DPH vždy v</w:t>
      </w:r>
      <w:r w:rsidR="00923247">
        <w:rPr>
          <w:rFonts w:ascii="Arial" w:hAnsi="Arial" w:cs="Arial"/>
        </w:rPr>
        <w:t> </w:t>
      </w:r>
      <w:r w:rsidRPr="00A87B8D">
        <w:rPr>
          <w:rFonts w:ascii="Arial" w:hAnsi="Arial" w:cs="Arial"/>
        </w:rPr>
        <w:t>aktuální výši dle platných právních předpisů.</w:t>
      </w:r>
    </w:p>
    <w:p w:rsidR="00DD4323" w:rsidRPr="00A87B8D" w:rsidP="003067AB" w14:paraId="6F8CE365" w14:textId="77777777">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Poskytovatel je oprávněn vystavit fakturu po převzetí plnění objednatelem dle čl. II. odst. 4 této smlouvy. Cenu za poskytnuté plnění uhradí objednatel na základě faktury poskytovatele bezhotovostním převodem, přičemž splatnost faktury je 21 dnů ode dne jejího doručení objednateli.</w:t>
      </w:r>
    </w:p>
    <w:p w:rsidR="00DD4323" w:rsidRPr="00A87B8D" w:rsidP="003067AB" w14:paraId="0AFC9C12" w14:textId="3405E8CF">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Faktura poskytovatele musí vždy obsahovat náležitosti obchodní listiny dle § 435 občanského zákoníku a daňového dokladu dle zákona č. 563/1991 Sb., o účetnictví, ve</w:t>
      </w:r>
      <w:r w:rsidR="00923247">
        <w:rPr>
          <w:rFonts w:ascii="Arial" w:hAnsi="Arial" w:cs="Arial"/>
        </w:rPr>
        <w:t> </w:t>
      </w:r>
      <w:r w:rsidRPr="00A87B8D">
        <w:rPr>
          <w:rFonts w:ascii="Arial" w:hAnsi="Arial" w:cs="Arial"/>
        </w:rPr>
        <w:t>znění pozdějších předpisů a dle zákona č. 235/2004 Sb., o dani z přidané hodnoty, ve</w:t>
      </w:r>
      <w:r w:rsidR="00923247">
        <w:rPr>
          <w:rFonts w:ascii="Arial" w:hAnsi="Arial" w:cs="Arial"/>
        </w:rPr>
        <w:t> </w:t>
      </w:r>
      <w:r w:rsidRPr="00A87B8D">
        <w:rPr>
          <w:rFonts w:ascii="Arial" w:hAnsi="Arial" w:cs="Arial"/>
        </w:rPr>
        <w:t>znění pozdějších předpisů (dále jen „ZDPH“). Na faktuře musí být uvedeno evidenční číslo této smlouvy uvedené objednatelem v záhlaví této smlouvy a přílohou faktury musí být kopie předávacího protokolu</w:t>
      </w:r>
      <w:r w:rsidR="004A3943">
        <w:rPr>
          <w:rFonts w:ascii="Arial" w:hAnsi="Arial" w:cs="Arial"/>
        </w:rPr>
        <w:t xml:space="preserve"> </w:t>
      </w:r>
      <w:r w:rsidRPr="00A87B8D">
        <w:rPr>
          <w:rFonts w:ascii="Arial" w:hAnsi="Arial" w:cs="Arial"/>
        </w:rPr>
        <w:t>dle čl. II. odst. 4 této smlouvy.</w:t>
      </w:r>
    </w:p>
    <w:p w:rsidR="00DD4323" w:rsidRPr="00A87B8D" w:rsidP="003067AB" w14:paraId="17FC141E" w14:textId="72173DAA">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V případě, že faktura nebude mít stanovené náležitosti nebo bude obsahovat chybné údaje,</w:t>
      </w:r>
      <w:r w:rsidR="003067AB">
        <w:rPr>
          <w:rFonts w:ascii="Arial" w:hAnsi="Arial" w:cs="Arial"/>
        </w:rPr>
        <w:t xml:space="preserve"> </w:t>
      </w:r>
      <w:r w:rsidRPr="00A87B8D">
        <w:rPr>
          <w:rFonts w:ascii="Arial" w:hAnsi="Arial" w:cs="Arial"/>
        </w:rPr>
        <w:t>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rsidR="00DD4323" w:rsidRPr="00A87B8D" w:rsidP="003067AB" w14:paraId="3C9C7181" w14:textId="00B24EA0">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Poskytovatel je oprávněn fakturu včetně všech jejích příloh vystavit v elektronické formě dle § 26 ZDPH,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w:t>
      </w:r>
      <w:r w:rsidR="00923247">
        <w:rPr>
          <w:rFonts w:ascii="Arial" w:hAnsi="Arial" w:cs="Arial"/>
        </w:rPr>
        <w:t> </w:t>
      </w:r>
      <w:r w:rsidRPr="00A87B8D">
        <w:rPr>
          <w:rFonts w:ascii="Arial" w:hAnsi="Arial" w:cs="Arial"/>
        </w:rPr>
        <w:t>adresu posta@vlada.</w:t>
      </w:r>
      <w:r w:rsidR="00923247">
        <w:rPr>
          <w:rFonts w:ascii="Arial" w:hAnsi="Arial" w:cs="Arial"/>
        </w:rPr>
        <w:t>gov.</w:t>
      </w:r>
      <w:r w:rsidRPr="00A87B8D">
        <w:rPr>
          <w:rFonts w:ascii="Arial" w:hAnsi="Arial" w:cs="Arial"/>
        </w:rPr>
        <w:t>cz.</w:t>
      </w:r>
    </w:p>
    <w:p w:rsidR="00DD4323" w:rsidRPr="00A87B8D" w:rsidP="003067AB" w14:paraId="58BB3AF4" w14:textId="77777777">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poskytovatele uvedené v této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DD4323" w:rsidRPr="00A87B8D" w:rsidP="003067AB" w14:paraId="21D17B5C" w14:textId="77777777">
      <w:pPr>
        <w:pStyle w:val="ListParagraph"/>
        <w:numPr>
          <w:ilvl w:val="0"/>
          <w:numId w:val="4"/>
        </w:numPr>
        <w:spacing w:before="120" w:after="120" w:line="240" w:lineRule="auto"/>
        <w:ind w:left="425" w:hanging="425"/>
        <w:contextualSpacing w:val="0"/>
        <w:jc w:val="both"/>
        <w:rPr>
          <w:rFonts w:ascii="Arial" w:hAnsi="Arial" w:cs="Arial"/>
        </w:rPr>
      </w:pPr>
      <w:r w:rsidRPr="00A87B8D">
        <w:rPr>
          <w:rFonts w:ascii="Arial" w:hAnsi="Arial" w:cs="Arial"/>
        </w:rPr>
        <w:t>Povinnost objednatele zaplatit fakturovanou částku dle této smlouvy je splněna odepsáním příslušné částky z účtu objednatele ve prospěch účtu poskytovatele.</w:t>
      </w:r>
    </w:p>
    <w:p w:rsidR="00DD4323" w:rsidRPr="00A87B8D" w:rsidP="00595981" w14:paraId="7C762E4B" w14:textId="77777777">
      <w:pPr>
        <w:pStyle w:val="Heading4"/>
        <w:keepNext/>
        <w:tabs>
          <w:tab w:val="clear" w:pos="360"/>
        </w:tabs>
        <w:spacing w:before="240" w:after="120"/>
        <w:contextualSpacing w:val="0"/>
      </w:pPr>
      <w:r w:rsidRPr="00A87B8D">
        <w:br/>
        <w:t>Ochrana informací</w:t>
      </w:r>
    </w:p>
    <w:p w:rsidR="00DD4323" w:rsidRPr="00A87B8D" w:rsidP="000A1888" w14:paraId="5CDAE416"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Smluvní strany jsou si vědomy toho, že v rámci plnění závazků z této smlouvy</w:t>
      </w:r>
    </w:p>
    <w:p w:rsidR="00DD4323" w:rsidRPr="00A87B8D" w:rsidP="00DD4323" w14:paraId="546D0F1C" w14:textId="37B1A75F">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Pr>
          <w:rFonts w:ascii="Arial" w:eastAsia="@Arial Unicode MS" w:hAnsi="Arial" w:cs="Arial"/>
          <w:color w:val="000000"/>
          <w:lang w:eastAsia="cs-CZ"/>
        </w:rPr>
        <w:t>s</w:t>
      </w:r>
      <w:r w:rsidRPr="00A87B8D">
        <w:rPr>
          <w:rFonts w:ascii="Arial" w:eastAsia="@Arial Unicode MS" w:hAnsi="Arial" w:cs="Arial"/>
          <w:color w:val="000000"/>
          <w:lang w:eastAsia="cs-CZ"/>
        </w:rPr>
        <w:t>i mohou vzájemně vědomě nebo opomenutím poskytnout informace, které budou považovány za důvěrné (dále jen „důvěrné informace“),</w:t>
      </w:r>
    </w:p>
    <w:p w:rsidR="00DD4323" w:rsidRPr="00A87B8D" w:rsidP="000A1888" w14:paraId="76E98D52" w14:textId="77777777">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DD4323" w:rsidRPr="00A87B8D" w:rsidP="000A1888" w14:paraId="78DF6F0F"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Smluvní strany se zavazují, že žádná z nich nezpřístupní třetí osobě důvěrné informace</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DD4323" w:rsidRPr="00A87B8D" w:rsidP="000A1888" w14:paraId="2EB47E6C"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Za třetí osoby dle odst. 2 tohoto článku se nepovažují:</w:t>
      </w:r>
    </w:p>
    <w:p w:rsidR="00DD4323" w:rsidRPr="00A87B8D" w:rsidP="00DD4323" w14:paraId="5D62C555"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zaměstnanci smluvních stran a osoby v obdobném postavení,</w:t>
      </w:r>
    </w:p>
    <w:p w:rsidR="00DD4323" w:rsidRPr="00A87B8D" w:rsidP="00DD4323" w14:paraId="31392E63"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orgány smluvních stran a jejich členové,</w:t>
      </w:r>
    </w:p>
    <w:p w:rsidR="00DD4323" w:rsidRPr="00A87B8D" w:rsidP="00DD4323" w14:paraId="79B56401"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ve vztahu k důvěrným informacím objednatele subdodavatelé poskytovatele,</w:t>
      </w:r>
    </w:p>
    <w:p w:rsidR="00DD4323" w:rsidRPr="00A87B8D" w:rsidP="000A1888" w14:paraId="3ECA649D"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ve vztahu k důvěrným informacím poskytovatele externí dodavatelé objednatele,</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a to i potenciální,</w:t>
      </w:r>
    </w:p>
    <w:p w:rsidR="00DD4323" w:rsidRPr="00A87B8D" w:rsidP="000A1888" w14:paraId="7582A463" w14:textId="77777777">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A87B8D">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DD4323" w:rsidRPr="00A87B8D" w:rsidP="000A1888" w14:paraId="2FE96380" w14:textId="6EE4FE04">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 xml:space="preserve">Smluvní strany se zavazují v plném rozsahu zachovávat povinnost mlčenlivosti a povinnost chránit důvěrné informace vyplývající z této smlouvy a z příslušných </w:t>
      </w:r>
      <w:r w:rsidRPr="00A87B8D" w:rsidR="000A1888">
        <w:rPr>
          <w:rFonts w:ascii="Arial" w:eastAsia="@Arial Unicode MS" w:hAnsi="Arial" w:cs="Arial"/>
          <w:color w:val="000000"/>
          <w:lang w:eastAsia="cs-CZ"/>
        </w:rPr>
        <w:t>právních předpisů</w:t>
      </w:r>
      <w:r w:rsidRPr="00A87B8D">
        <w:rPr>
          <w:rFonts w:ascii="Arial" w:eastAsia="@Arial Unicode MS" w:hAnsi="Arial" w:cs="Arial"/>
          <w:color w:val="000000"/>
          <w:lang w:eastAsia="cs-CZ"/>
        </w:rPr>
        <w:t>,</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 xml:space="preserve">zejména povinnosti vyplývající z </w:t>
      </w:r>
      <w:r w:rsidRPr="00A87B8D">
        <w:rPr>
          <w:rFonts w:ascii="Arial" w:eastAsia="Calibri" w:hAnsi="Arial" w:cs="Arial"/>
          <w:lang w:eastAsia="cs-CZ"/>
        </w:rPr>
        <w:t>Nařízení Evropského parlamentu a Rady (EU) 2016/679</w:t>
      </w:r>
      <w:r w:rsidR="004A3943">
        <w:rPr>
          <w:rFonts w:ascii="Arial" w:eastAsia="Calibri" w:hAnsi="Arial" w:cs="Arial"/>
          <w:lang w:eastAsia="cs-CZ"/>
        </w:rPr>
        <w:t xml:space="preserve"> </w:t>
      </w:r>
      <w:r w:rsidRPr="00A87B8D">
        <w:rPr>
          <w:rFonts w:ascii="Arial" w:eastAsia="Calibri" w:hAnsi="Arial" w:cs="Arial"/>
          <w:lang w:eastAsia="cs-CZ"/>
        </w:rPr>
        <w:t>ze dne 27. dubna 2016 o ochraně fyzických osob v souvislosti se zpracováním osobních údajů</w:t>
      </w:r>
      <w:r w:rsidR="004A3943">
        <w:rPr>
          <w:rFonts w:ascii="Arial" w:eastAsia="Calibri" w:hAnsi="Arial" w:cs="Arial"/>
          <w:lang w:eastAsia="cs-CZ"/>
        </w:rPr>
        <w:t xml:space="preserve"> </w:t>
      </w:r>
      <w:r w:rsidRPr="00A87B8D">
        <w:rPr>
          <w:rFonts w:ascii="Arial" w:eastAsia="Calibri" w:hAnsi="Arial" w:cs="Arial"/>
          <w:lang w:eastAsia="cs-CZ"/>
        </w:rPr>
        <w:t>a o volném pohybu těchto údajů a o zrušení směrnice 95/46/ES (dále jen „obecné nařízení“).</w:t>
      </w:r>
    </w:p>
    <w:p w:rsidR="00DD4323" w:rsidRPr="00A87B8D" w:rsidP="000A1888" w14:paraId="279AF0F4"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DD4323" w:rsidRPr="00A87B8D" w:rsidP="000A1888" w14:paraId="7E1A971B"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DD4323" w:rsidRPr="00A87B8D" w:rsidP="000A1888" w14:paraId="5D23D82C" w14:textId="5C71EDAD">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 xml:space="preserve">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r w:rsidRPr="00A87B8D" w:rsidR="000A1888">
        <w:rPr>
          <w:rFonts w:ascii="Arial" w:eastAsia="@Arial Unicode MS" w:hAnsi="Arial" w:cs="Arial"/>
          <w:color w:val="000000"/>
          <w:lang w:eastAsia="cs-CZ"/>
        </w:rPr>
        <w:t>jinak</w:t>
      </w:r>
      <w:r w:rsidRPr="00A87B8D">
        <w:rPr>
          <w:rFonts w:ascii="Arial" w:eastAsia="@Arial Unicode MS" w:hAnsi="Arial" w:cs="Arial"/>
          <w:color w:val="000000"/>
          <w:lang w:eastAsia="cs-CZ"/>
        </w:rPr>
        <w:t xml:space="preserve"> než za účelem plnění této smlouvy.</w:t>
      </w:r>
    </w:p>
    <w:p w:rsidR="00DD4323" w:rsidRPr="00A87B8D" w:rsidP="000A1888" w14:paraId="43290971" w14:textId="3E2153B4">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 xml:space="preserve">Nedohodnou-li se smluvní strany výslovně písemnou formou jinak, považují se za důvěrné implicitně všechny informace, které jsou anebo by mohly být součástí obchodního </w:t>
      </w:r>
      <w:r w:rsidRPr="00A87B8D">
        <w:rPr>
          <w:rFonts w:ascii="Arial" w:eastAsia="@Arial Unicode MS" w:hAnsi="Arial" w:cs="Arial"/>
          <w:color w:val="000000"/>
          <w:lang w:eastAsia="cs-CZ"/>
        </w:rPr>
        <w:t>tajemství, tj. například, ale nejenom, popisy nebo části popisů technologických procesů a vzorců, technických vzorců a technického know-how, informace o provozních metodách, procedurách</w:t>
      </w:r>
      <w:r w:rsidR="000A1888">
        <w:rPr>
          <w:rFonts w:ascii="Arial" w:eastAsia="@Arial Unicode MS" w:hAnsi="Arial" w:cs="Arial"/>
          <w:color w:val="000000"/>
          <w:lang w:eastAsia="cs-CZ"/>
        </w:rPr>
        <w:t xml:space="preserve"> </w:t>
      </w:r>
      <w:r w:rsidRPr="00A87B8D">
        <w:rPr>
          <w:rFonts w:ascii="Arial" w:eastAsia="@Arial Unicode MS" w:hAnsi="Arial" w:cs="Arial"/>
          <w:color w:val="000000"/>
          <w:lang w:eastAsia="cs-CZ"/>
        </w:rPr>
        <w:t>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DD4323" w:rsidRPr="00A87B8D" w:rsidP="000A1888" w14:paraId="185C1EC0"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DD4323" w:rsidRPr="00A87B8D" w:rsidP="000A1888" w14:paraId="21147867"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Bez ohledu na výše uvedená ustanovení se za důvěrné nepovažují informace, které:</w:t>
      </w:r>
    </w:p>
    <w:p w:rsidR="00DD4323" w:rsidRPr="00A87B8D" w:rsidP="00DD4323" w14:paraId="295BDA4A" w14:textId="77777777">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se staly veřejně známými, aniž by jejich zveřejněním došlo k porušení závazků přijímající smluvní strany či právních předpisů,</w:t>
      </w:r>
    </w:p>
    <w:p w:rsidR="00DD4323" w:rsidRPr="00A87B8D" w:rsidP="00DD4323" w14:paraId="43D21EAD" w14:textId="77777777">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o ochraně informací,</w:t>
      </w:r>
    </w:p>
    <w:p w:rsidR="00DD4323" w:rsidRPr="00A87B8D" w:rsidP="00DD4323" w14:paraId="6EEFABDC" w14:textId="426D8A8D">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 xml:space="preserve">jsou výsledkem postupu, při kterém k nim přijímající strana dospěje </w:t>
      </w:r>
      <w:r w:rsidRPr="00A87B8D" w:rsidR="000A1888">
        <w:rPr>
          <w:rFonts w:ascii="Arial" w:eastAsia="@Arial Unicode MS" w:hAnsi="Arial" w:cs="Arial"/>
          <w:color w:val="000000"/>
          <w:lang w:eastAsia="cs-CZ"/>
        </w:rPr>
        <w:t>nezávisle,</w:t>
      </w:r>
      <w:r w:rsidRPr="00A87B8D">
        <w:rPr>
          <w:rFonts w:ascii="Arial" w:eastAsia="@Arial Unicode MS" w:hAnsi="Arial" w:cs="Arial"/>
          <w:color w:val="000000"/>
          <w:lang w:eastAsia="cs-CZ"/>
        </w:rPr>
        <w:t xml:space="preserve"> a to je schopna doložit svými záznamy nebo informacemi, včetně důvěrných, třetí strany,</w:t>
      </w:r>
    </w:p>
    <w:p w:rsidR="00DD4323" w:rsidRPr="00A87B8D" w:rsidP="00DD4323" w14:paraId="7BA10F07" w14:textId="77777777">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po podpisu této smlouvy poskytne přijímající straně třetí osoba, jež není omezena v takovém nakládání s informacemi,</w:t>
      </w:r>
    </w:p>
    <w:p w:rsidR="00DD4323" w:rsidRPr="00A87B8D" w:rsidP="00DD4323" w14:paraId="6CCA8656" w14:textId="77777777">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DD4323" w:rsidRPr="00A87B8D" w:rsidP="000A1888" w14:paraId="309088C1" w14:textId="77777777">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A87B8D">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w:t>
      </w:r>
      <w:r w:rsidR="004A3943">
        <w:rPr>
          <w:rFonts w:ascii="Arial" w:eastAsia="@Arial Unicode MS" w:hAnsi="Arial" w:cs="Arial"/>
          <w:color w:val="000000"/>
          <w:lang w:eastAsia="cs-CZ"/>
        </w:rPr>
        <w:t xml:space="preserve"> </w:t>
      </w:r>
      <w:r w:rsidRPr="00A87B8D">
        <w:rPr>
          <w:rFonts w:ascii="Arial" w:eastAsia="@Arial Unicode MS" w:hAnsi="Arial" w:cs="Arial"/>
          <w:color w:val="000000"/>
          <w:lang w:eastAsia="cs-CZ"/>
        </w:rPr>
        <w:t>a o registru smluv, ve znění pozdějš</w:t>
      </w:r>
      <w:r w:rsidR="004A3943">
        <w:rPr>
          <w:rFonts w:ascii="Arial" w:eastAsia="@Arial Unicode MS" w:hAnsi="Arial" w:cs="Arial"/>
          <w:color w:val="000000"/>
          <w:lang w:eastAsia="cs-CZ"/>
        </w:rPr>
        <w:t>ích předpisů (dále jen „zákon o </w:t>
      </w:r>
      <w:r w:rsidRPr="00A87B8D">
        <w:rPr>
          <w:rFonts w:ascii="Arial" w:eastAsia="@Arial Unicode MS" w:hAnsi="Arial" w:cs="Arial"/>
          <w:color w:val="000000"/>
          <w:lang w:eastAsia="cs-CZ"/>
        </w:rPr>
        <w:t>registru smluv“).</w:t>
      </w:r>
    </w:p>
    <w:p w:rsidR="00DD4323" w:rsidRPr="00A87B8D" w:rsidP="000A1888" w14:paraId="33DB232A"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A87B8D">
        <w:rPr>
          <w:rFonts w:ascii="Arial" w:eastAsia="@Arial Unicode MS" w:hAnsi="Arial" w:cs="Arial"/>
          <w:color w:val="000000"/>
          <w:lang w:eastAsia="cs-CZ"/>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rsidR="00DD4323" w:rsidRPr="00A87B8D" w:rsidP="000A1888" w14:paraId="78E0CDEF" w14:textId="77777777">
      <w:pPr>
        <w:numPr>
          <w:ilvl w:val="0"/>
          <w:numId w:val="14"/>
        </w:numPr>
        <w:spacing w:after="120" w:line="240" w:lineRule="auto"/>
        <w:ind w:left="425" w:hanging="425"/>
        <w:jc w:val="both"/>
        <w:rPr>
          <w:rFonts w:ascii="Arial" w:eastAsia="Calibri" w:hAnsi="Arial" w:cs="Arial"/>
          <w:lang w:eastAsia="cs-CZ"/>
        </w:rPr>
      </w:pPr>
      <w:r w:rsidRPr="00A87B8D">
        <w:rPr>
          <w:rFonts w:ascii="Arial" w:eastAsia="Calibri" w:hAnsi="Arial" w:cs="Arial"/>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rsidR="00DD4323" w:rsidRPr="00A87B8D" w:rsidP="000A1888" w14:paraId="63493532" w14:textId="77777777">
      <w:pPr>
        <w:numPr>
          <w:ilvl w:val="0"/>
          <w:numId w:val="14"/>
        </w:numPr>
        <w:spacing w:after="120" w:line="240" w:lineRule="auto"/>
        <w:ind w:left="425" w:hanging="425"/>
        <w:jc w:val="both"/>
        <w:rPr>
          <w:rFonts w:ascii="Arial" w:eastAsia="Calibri" w:hAnsi="Arial" w:cs="Arial"/>
          <w:lang w:eastAsia="cs-CZ"/>
        </w:rPr>
      </w:pPr>
      <w:r w:rsidRPr="00A87B8D">
        <w:rPr>
          <w:rFonts w:ascii="Arial" w:eastAsia="Calibri" w:hAnsi="Arial" w:cs="Arial"/>
          <w:lang w:eastAsia="cs-CZ"/>
        </w:rPr>
        <w:t>Za porušení povinnosti mlčenlivosti osobami, které se budou podílet na plnění předmětu smlouvy, odpovídá poskytovatel, jako by povinnost porušil sám.</w:t>
      </w:r>
    </w:p>
    <w:p w:rsidR="00DD4323" w:rsidRPr="00A87B8D" w:rsidP="00DD4323" w14:paraId="0A8AA43F" w14:textId="77777777">
      <w:pPr>
        <w:numPr>
          <w:ilvl w:val="0"/>
          <w:numId w:val="14"/>
        </w:numPr>
        <w:spacing w:after="240" w:line="240" w:lineRule="auto"/>
        <w:ind w:left="425" w:hanging="425"/>
        <w:jc w:val="both"/>
        <w:rPr>
          <w:rFonts w:ascii="Arial" w:eastAsia="Calibri" w:hAnsi="Arial" w:cs="Arial"/>
          <w:lang w:eastAsia="cs-CZ"/>
        </w:rPr>
      </w:pPr>
      <w:r w:rsidRPr="00A87B8D">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DD4323" w:rsidRPr="00A87B8D" w:rsidP="00595981" w14:paraId="03CBB9A4" w14:textId="77777777">
      <w:pPr>
        <w:pStyle w:val="Heading4"/>
        <w:keepNext/>
        <w:tabs>
          <w:tab w:val="clear" w:pos="360"/>
        </w:tabs>
        <w:spacing w:after="120"/>
        <w:contextualSpacing w:val="0"/>
      </w:pPr>
      <w:r w:rsidRPr="00A87B8D">
        <w:br/>
        <w:t>Práva duševního vlastnictví</w:t>
      </w:r>
    </w:p>
    <w:p w:rsidR="00657383" w:rsidP="00AD5E86" w14:paraId="399D7742" w14:textId="22EE37C9">
      <w:pPr>
        <w:pStyle w:val="Normodsaz"/>
        <w:tabs>
          <w:tab w:val="left" w:pos="426"/>
        </w:tabs>
        <w:spacing w:before="0" w:after="240"/>
        <w:ind w:left="426"/>
        <w:rPr>
          <w:rFonts w:ascii="Arial" w:hAnsi="Arial" w:cs="Arial"/>
          <w:sz w:val="22"/>
          <w:szCs w:val="22"/>
        </w:rPr>
      </w:pPr>
      <w:r>
        <w:rPr>
          <w:rFonts w:ascii="Arial" w:hAnsi="Arial" w:cs="Arial"/>
          <w:sz w:val="22"/>
          <w:szCs w:val="22"/>
        </w:rPr>
        <w:t>viz příloha č. 3 této smlouvy</w:t>
      </w:r>
    </w:p>
    <w:p w:rsidR="00657383" w14:paraId="27DED07F" w14:textId="77777777">
      <w:pPr>
        <w:spacing w:after="160" w:line="259" w:lineRule="auto"/>
        <w:rPr>
          <w:rFonts w:ascii="Arial" w:eastAsia="Calibri" w:hAnsi="Arial" w:cs="Arial"/>
          <w:lang w:eastAsia="cs-CZ"/>
        </w:rPr>
      </w:pPr>
      <w:r>
        <w:rPr>
          <w:rFonts w:ascii="Arial" w:hAnsi="Arial" w:cs="Arial"/>
        </w:rPr>
        <w:br w:type="page"/>
      </w:r>
    </w:p>
    <w:p w:rsidR="00DD4323" w:rsidRPr="00A87B8D" w:rsidP="00595981" w14:paraId="2E38717A" w14:textId="77777777">
      <w:pPr>
        <w:pStyle w:val="Heading4"/>
        <w:tabs>
          <w:tab w:val="clear" w:pos="360"/>
        </w:tabs>
        <w:spacing w:after="120"/>
        <w:contextualSpacing w:val="0"/>
      </w:pPr>
      <w:r w:rsidRPr="00A87B8D">
        <w:br/>
        <w:t>Sleva z ceny, smluvní pokuta, úrok z prodlení</w:t>
      </w:r>
    </w:p>
    <w:p w:rsidR="00DD4323" w:rsidRPr="00A87B8D" w:rsidP="000A1888" w14:paraId="4666262B"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V případě, že poskytovatel nedodrží lhůtu pro odstranění vad plnění podle čl. II. odst. 2 nebo čl. III. odst. 3 této smlouvy, je povinen zaplatit objednateli smluvní pokutu ve výši 0,05 % z celkové ceny vč. DPH dle čl. IV odst. 1 této smlouvy za každý započatý den prodlení.</w:t>
      </w:r>
    </w:p>
    <w:p w:rsidR="00DD4323" w:rsidRPr="00A87B8D" w:rsidP="000A1888" w14:paraId="57D31916"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V případě, že poskytovatel poruší povinnosti uvedené v čl. V. této smlouvy, je povinen zaplatit objednateli smluvní pokutu ve výši 10.000 Kč za každý jednotlivý případ.</w:t>
      </w:r>
    </w:p>
    <w:p w:rsidR="00DD4323" w:rsidRPr="00A87B8D" w:rsidP="000A1888" w14:paraId="5876362F"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V případě, že poskytovatel poruší povinnosti uvedené v čl. VI. této smlouvy, je povinen zaplatit objednateli smluvní pokutu ve výši 5.000 Kč za každý jednotlivý případ.</w:t>
      </w:r>
    </w:p>
    <w:p w:rsidR="00DD4323" w:rsidRPr="00A87B8D" w:rsidP="000A1888" w14:paraId="4A099712"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V případě prodlení objednatele se zaplacením faktury poskytovatele je poskytovatel oprávněn účtovat mu úroky z prodlení v zákonné výši z dlužné částky za každý den prodlení.</w:t>
      </w:r>
    </w:p>
    <w:p w:rsidR="00DD4323" w:rsidRPr="00A87B8D" w:rsidP="000A1888" w14:paraId="6CF559E3"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iCs/>
        </w:rPr>
        <w:t xml:space="preserve">Poskytovatel se zavazuje řádně a včas plnit své povinnosti vztahující se ke správě </w:t>
      </w:r>
      <w:r w:rsidRPr="00A87B8D">
        <w:rPr>
          <w:rFonts w:ascii="Arial" w:hAnsi="Arial" w:cs="Arial"/>
        </w:rPr>
        <w:t>DPH po dobu trvání této smlouvy, zejména tuto daň řádně a včas zaplatit. Pokud v</w:t>
      </w:r>
      <w:r w:rsidRPr="00A87B8D">
        <w:rPr>
          <w:rFonts w:ascii="Arial" w:hAnsi="Arial" w:cs="Arial"/>
          <w:iCs/>
        </w:rPr>
        <w:t xml:space="preserve"> důsledku porušení tohoto závazku příslušný finanční úřad vyzve objednatele k zaplacení DPH z důvodu jeho ručení, zavazuje se poskytovatel zaplatit objednateli jednorázovou smluvní pokutu ve výši DPH</w:t>
      </w:r>
      <w:r w:rsidRPr="00A87B8D">
        <w:rPr>
          <w:rFonts w:ascii="Arial" w:hAnsi="Arial" w:cs="Arial"/>
        </w:rPr>
        <w:t xml:space="preserve"> </w:t>
      </w:r>
      <w:r w:rsidRPr="00A87B8D">
        <w:rPr>
          <w:rFonts w:ascii="Arial" w:hAnsi="Arial" w:cs="Arial"/>
          <w:iCs/>
        </w:rPr>
        <w:t>vztahující se k porušení závazku poskytovatele řádně a včas zaplatit DPH (včetně příslušenství), s níž je spojeno ručení objednatele</w:t>
      </w:r>
      <w:r w:rsidRPr="00A87B8D">
        <w:rPr>
          <w:rFonts w:ascii="Arial" w:hAnsi="Arial" w:cs="Arial"/>
        </w:rPr>
        <w:t>.</w:t>
      </w:r>
    </w:p>
    <w:p w:rsidR="00DD4323" w:rsidRPr="00A87B8D" w:rsidP="000A1888" w14:paraId="1B865D31"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Smluvní pokuta nebo úroky z prodlení jsou splatné do 21 dnů ode dne doručení oznámení o uložení smluvní pokuty objednatelem poskytovateli nebo oznámení o započetí s účtováním úroků z prodlení poskytovatele objednateli. Pro případ pochybností o doručení oznámení o uložení smluvní pokuty nebo oznámení</w:t>
      </w:r>
      <w:r w:rsidR="004A3943">
        <w:rPr>
          <w:rFonts w:ascii="Arial" w:hAnsi="Arial" w:cs="Arial"/>
        </w:rPr>
        <w:t xml:space="preserve"> o započetí s účtováním úroků z </w:t>
      </w:r>
      <w:r w:rsidRPr="00A87B8D">
        <w:rPr>
          <w:rFonts w:ascii="Arial" w:hAnsi="Arial" w:cs="Arial"/>
        </w:rPr>
        <w:t>prodlení se sjednává,</w:t>
      </w:r>
      <w:r w:rsidR="004A3943">
        <w:rPr>
          <w:rFonts w:ascii="Arial" w:hAnsi="Arial" w:cs="Arial"/>
        </w:rPr>
        <w:t xml:space="preserve"> </w:t>
      </w:r>
      <w:r w:rsidRPr="00A87B8D">
        <w:rPr>
          <w:rFonts w:ascii="Arial" w:hAnsi="Arial" w:cs="Arial"/>
        </w:rPr>
        <w:t>že se oznámení považuje za doručené druhé straně třetím dnem od podání zásilky k poštovní přepravě.</w:t>
      </w:r>
    </w:p>
    <w:p w:rsidR="00DD4323" w:rsidRPr="00A87B8D" w:rsidP="000A1888" w14:paraId="0CB1E0DE"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Celková výše smluvních pokut není omezena jakýmkoliv limitem a smluvní pokuty mohou být kombinovány (tzn., že uplatnění jedné smluvní pokuty nevylučuje souběžné uplatnění jakékoliv jiné smluvní pokuty).</w:t>
      </w:r>
    </w:p>
    <w:p w:rsidR="00DD4323" w:rsidRPr="00A87B8D" w:rsidP="000A1888" w14:paraId="1F0C63BE" w14:textId="77777777">
      <w:pPr>
        <w:pStyle w:val="ListParagraph"/>
        <w:numPr>
          <w:ilvl w:val="0"/>
          <w:numId w:val="9"/>
        </w:numPr>
        <w:spacing w:after="120" w:line="240" w:lineRule="auto"/>
        <w:ind w:left="425" w:hanging="425"/>
        <w:contextualSpacing w:val="0"/>
        <w:jc w:val="both"/>
        <w:rPr>
          <w:rFonts w:ascii="Arial" w:hAnsi="Arial" w:cs="Arial"/>
        </w:rPr>
      </w:pPr>
      <w:r w:rsidRPr="00A87B8D">
        <w:rPr>
          <w:rFonts w:ascii="Arial" w:hAnsi="Arial" w:cs="Arial"/>
        </w:rPr>
        <w:t>Zaplacením smluvní pokuty není dotčeno splnění povinnosti, která je prostřednictvím smluvní pokuty zajištěna a nárok smluvních stran na náhradu škody.</w:t>
      </w:r>
    </w:p>
    <w:p w:rsidR="00DD4323" w:rsidRPr="00A87B8D" w:rsidP="00595981" w14:paraId="395B2141" w14:textId="77777777">
      <w:pPr>
        <w:pStyle w:val="Heading4"/>
        <w:tabs>
          <w:tab w:val="clear" w:pos="360"/>
        </w:tabs>
        <w:spacing w:after="120"/>
        <w:contextualSpacing w:val="0"/>
      </w:pPr>
      <w:r w:rsidRPr="00A87B8D">
        <w:br/>
        <w:t>Ukončení smluvního vztahu</w:t>
      </w:r>
    </w:p>
    <w:p w:rsidR="00DD4323" w:rsidRPr="00A87B8D" w:rsidP="000A1888" w14:paraId="78177B0C"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Smluvní vztah vzniklý na základě této smlouvy lze ukončit těmito způsoby:</w:t>
      </w:r>
    </w:p>
    <w:p w:rsidR="00DD4323" w:rsidRPr="00A87B8D" w:rsidP="000A1888" w14:paraId="37D883A8" w14:textId="77777777">
      <w:pPr>
        <w:pStyle w:val="ListParagraph"/>
        <w:numPr>
          <w:ilvl w:val="0"/>
          <w:numId w:val="11"/>
        </w:numPr>
        <w:spacing w:after="120" w:line="240" w:lineRule="auto"/>
        <w:ind w:left="850" w:hanging="425"/>
        <w:contextualSpacing w:val="0"/>
        <w:jc w:val="both"/>
        <w:rPr>
          <w:rFonts w:ascii="Arial" w:hAnsi="Arial" w:cs="Arial"/>
        </w:rPr>
      </w:pPr>
      <w:r w:rsidRPr="00A87B8D">
        <w:rPr>
          <w:rFonts w:ascii="Arial" w:hAnsi="Arial" w:cs="Arial"/>
        </w:rPr>
        <w:t>odstoupením od smlouvy:</w:t>
      </w:r>
    </w:p>
    <w:p w:rsidR="00DD4323" w:rsidRPr="00A87B8D" w:rsidP="000A1888" w14:paraId="083F8719" w14:textId="77777777">
      <w:pPr>
        <w:pStyle w:val="ListParagraph"/>
        <w:numPr>
          <w:ilvl w:val="0"/>
          <w:numId w:val="12"/>
        </w:numPr>
        <w:spacing w:after="120" w:line="240" w:lineRule="auto"/>
        <w:ind w:left="1134" w:hanging="141"/>
        <w:contextualSpacing w:val="0"/>
        <w:jc w:val="both"/>
        <w:rPr>
          <w:rFonts w:ascii="Arial" w:hAnsi="Arial" w:cs="Arial"/>
        </w:rPr>
      </w:pPr>
      <w:r w:rsidRPr="00A87B8D">
        <w:rPr>
          <w:rFonts w:ascii="Arial" w:hAnsi="Arial" w:cs="Arial"/>
        </w:rPr>
        <w:t>za podmínek uvedených v § 2002 a násl. občanského zákoníku v případě porušení smlouvy druhou smluvní stranou podstatným způsobem,</w:t>
      </w:r>
    </w:p>
    <w:p w:rsidR="00DD4323" w:rsidRPr="00A87B8D" w:rsidP="000A1888" w14:paraId="082E6D01" w14:textId="77777777">
      <w:pPr>
        <w:pStyle w:val="ListParagraph"/>
        <w:numPr>
          <w:ilvl w:val="0"/>
          <w:numId w:val="12"/>
        </w:numPr>
        <w:spacing w:after="120" w:line="240" w:lineRule="auto"/>
        <w:ind w:left="1135" w:hanging="141"/>
        <w:contextualSpacing w:val="0"/>
        <w:jc w:val="both"/>
        <w:rPr>
          <w:rFonts w:ascii="Arial" w:hAnsi="Arial" w:cs="Arial"/>
        </w:rPr>
      </w:pPr>
      <w:r w:rsidRPr="00A87B8D">
        <w:rPr>
          <w:rFonts w:ascii="Arial" w:hAnsi="Arial" w:cs="Arial"/>
        </w:rPr>
        <w:t xml:space="preserve">v případech, které si smluvní strany ujednaly dále v tomto článku smlouvy, </w:t>
      </w:r>
    </w:p>
    <w:p w:rsidR="00DD4323" w:rsidRPr="00A87B8D" w:rsidP="000A1888" w14:paraId="78186533" w14:textId="77777777">
      <w:pPr>
        <w:pStyle w:val="ListParagraph"/>
        <w:numPr>
          <w:ilvl w:val="0"/>
          <w:numId w:val="11"/>
        </w:numPr>
        <w:spacing w:after="120" w:line="240" w:lineRule="auto"/>
        <w:ind w:left="850" w:hanging="425"/>
        <w:contextualSpacing w:val="0"/>
        <w:jc w:val="both"/>
        <w:rPr>
          <w:rFonts w:ascii="Arial" w:hAnsi="Arial" w:cs="Arial"/>
        </w:rPr>
      </w:pPr>
      <w:r w:rsidRPr="00A87B8D">
        <w:rPr>
          <w:rFonts w:ascii="Arial" w:hAnsi="Arial" w:cs="Arial"/>
        </w:rPr>
        <w:t>dohodou smluvních stran.</w:t>
      </w:r>
    </w:p>
    <w:p w:rsidR="00DD4323" w:rsidRPr="00A87B8D" w:rsidP="000A1888" w14:paraId="5AEF4B50"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Objednatel je oprávněn odstoupit od smlouvy v případě:</w:t>
      </w:r>
    </w:p>
    <w:p w:rsidR="00DD4323" w:rsidRPr="00A87B8D" w:rsidP="000A1888" w14:paraId="29292A95" w14:textId="77777777">
      <w:pPr>
        <w:pStyle w:val="ListParagraph"/>
        <w:numPr>
          <w:ilvl w:val="0"/>
          <w:numId w:val="13"/>
        </w:numPr>
        <w:spacing w:after="120" w:line="240" w:lineRule="auto"/>
        <w:ind w:left="850" w:hanging="425"/>
        <w:contextualSpacing w:val="0"/>
        <w:jc w:val="both"/>
        <w:rPr>
          <w:rFonts w:ascii="Arial" w:hAnsi="Arial" w:cs="Arial"/>
        </w:rPr>
      </w:pPr>
      <w:r w:rsidRPr="00A87B8D">
        <w:rPr>
          <w:rFonts w:ascii="Arial" w:hAnsi="Arial" w:cs="Arial"/>
        </w:rPr>
        <w:t>prodlení poskytovatele s odstraněním vad plnění podle čl. II. odst. 2 nebo čl. III. odst. 3 této smlouvy delšího než 10 dnů;</w:t>
      </w:r>
    </w:p>
    <w:p w:rsidR="00DD4323" w:rsidRPr="00A87B8D" w:rsidP="000A1888" w14:paraId="2B536CE6" w14:textId="77777777">
      <w:pPr>
        <w:pStyle w:val="ListParagraph"/>
        <w:numPr>
          <w:ilvl w:val="0"/>
          <w:numId w:val="13"/>
        </w:numPr>
        <w:spacing w:after="120" w:line="240" w:lineRule="auto"/>
        <w:ind w:left="850" w:hanging="425"/>
        <w:contextualSpacing w:val="0"/>
        <w:jc w:val="both"/>
        <w:rPr>
          <w:rFonts w:ascii="Arial" w:hAnsi="Arial" w:cs="Arial"/>
        </w:rPr>
      </w:pPr>
      <w:r w:rsidRPr="00A87B8D">
        <w:rPr>
          <w:rFonts w:ascii="Arial" w:hAnsi="Arial" w:cs="Arial"/>
        </w:rPr>
        <w:t>stane-li se poskytovatel nespolehlivým plátcem ve smyslu § 106a ZDPH.</w:t>
      </w:r>
    </w:p>
    <w:p w:rsidR="00DD4323" w:rsidRPr="00A87B8D" w:rsidP="000A1888" w14:paraId="3A857412"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Poskytovatel je oprávněn odstoupit od smlouvy v případě prodlení objednatele se zaplacením ceny delšího než 15 dnů.</w:t>
      </w:r>
    </w:p>
    <w:p w:rsidR="00DD4323" w:rsidRPr="00A87B8D" w:rsidP="000A1888" w14:paraId="2CC29914"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Účinky odstoupení od smlouvy nastávají okamžikem doručení písemného projevu vůle odstoupit od této smlouvy druhé smluvní straně.</w:t>
      </w:r>
    </w:p>
    <w:p w:rsidR="00DD4323" w:rsidRPr="00A87B8D" w:rsidP="000A1888" w14:paraId="40775321"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Odstoupením od smlouvy není dotčen případný nárok na zaplacení sjednaných smluvních pokut nebo úroků z prodlení ani případný nárok na náhradu škody.</w:t>
      </w:r>
    </w:p>
    <w:p w:rsidR="00DD4323" w:rsidRPr="00A87B8D" w:rsidP="000A1888" w14:paraId="3CBD020A" w14:textId="77777777">
      <w:pPr>
        <w:pStyle w:val="ListParagraph"/>
        <w:numPr>
          <w:ilvl w:val="0"/>
          <w:numId w:val="10"/>
        </w:numPr>
        <w:spacing w:after="120" w:line="240" w:lineRule="auto"/>
        <w:ind w:left="425" w:hanging="425"/>
        <w:contextualSpacing w:val="0"/>
        <w:jc w:val="both"/>
        <w:rPr>
          <w:rFonts w:ascii="Arial" w:hAnsi="Arial" w:cs="Arial"/>
        </w:rPr>
      </w:pPr>
      <w:r w:rsidRPr="00A87B8D">
        <w:rPr>
          <w:rFonts w:ascii="Arial" w:hAnsi="Arial" w:cs="Arial"/>
        </w:rPr>
        <w:t>Práva a povinnosti smluvních stran, z jejichž povahy je zřejmé, že mají být zachována i po splnění závazků z této smlouvy vyplývajících, zůstávají zachována i po zániku těchto závazků.</w:t>
      </w:r>
    </w:p>
    <w:p w:rsidR="00DD4323" w:rsidRPr="00A87B8D" w:rsidP="00595981" w14:paraId="3A04066F" w14:textId="77777777">
      <w:pPr>
        <w:pStyle w:val="Heading4"/>
        <w:tabs>
          <w:tab w:val="clear" w:pos="360"/>
        </w:tabs>
        <w:spacing w:after="120"/>
        <w:contextualSpacing w:val="0"/>
      </w:pPr>
      <w:r w:rsidRPr="00A87B8D">
        <w:br/>
        <w:t>Vyšší moc</w:t>
      </w:r>
    </w:p>
    <w:p w:rsidR="00DD4323" w:rsidRPr="00A87B8D" w:rsidP="008F684F" w14:paraId="4777B122" w14:textId="77777777">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DD4323" w:rsidRPr="00A87B8D" w:rsidP="008F684F" w14:paraId="55D332E7" w14:textId="77777777">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DD4323" w:rsidRPr="00A87B8D" w:rsidP="008F684F" w14:paraId="2254A1AF" w14:textId="77777777">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 xml:space="preserve">Pro účely této smlouvy se za vyšší moc dále považuje i situace, které na základě rozhodnutí objednatele znemožní poskytovateli přístup do prostor objednatele.   </w:t>
      </w:r>
    </w:p>
    <w:p w:rsidR="00DD4323" w:rsidRPr="00A87B8D" w:rsidP="008F684F" w14:paraId="23CB8148" w14:textId="384CBC5A">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 xml:space="preserve">Výslovně se stanovuje, že vyšší mocí není stávka zaměstnanců poskytovatele nebo jeho poddodavatelů, ani hospodářské poměry smluvních stran. </w:t>
      </w:r>
      <w:r w:rsidR="0043270E">
        <w:rPr>
          <w:rFonts w:ascii="Arial" w:hAnsi="Arial" w:cs="Arial"/>
        </w:rPr>
        <w:t> </w:t>
      </w:r>
    </w:p>
    <w:p w:rsidR="00DD4323" w:rsidRPr="00A87B8D" w:rsidP="008F684F" w14:paraId="512B5E4E" w14:textId="7C232C32">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V případě, že nastane vyšší moc, prodlužuje se lhůta ke splnění smluvních povinností o</w:t>
      </w:r>
      <w:r w:rsidR="0043270E">
        <w:rPr>
          <w:rFonts w:ascii="Arial" w:hAnsi="Arial" w:cs="Arial"/>
        </w:rPr>
        <w:t> </w:t>
      </w:r>
      <w:r w:rsidRPr="00A87B8D">
        <w:rPr>
          <w:rFonts w:ascii="Arial" w:hAnsi="Arial" w:cs="Arial"/>
        </w:rPr>
        <w:t>dobu, během níž vyšší moc trvá a neuplatní se sankce dle čl. VII. odst. 1 a 2 této smlouvy.</w:t>
      </w:r>
    </w:p>
    <w:p w:rsidR="00DD4323" w:rsidRPr="00A87B8D" w:rsidP="008F684F" w14:paraId="07CDA431" w14:textId="4713763A">
      <w:pPr>
        <w:pStyle w:val="ListParagraph"/>
        <w:numPr>
          <w:ilvl w:val="0"/>
          <w:numId w:val="17"/>
        </w:numPr>
        <w:spacing w:after="120" w:line="240" w:lineRule="auto"/>
        <w:ind w:left="425" w:hanging="425"/>
        <w:contextualSpacing w:val="0"/>
        <w:jc w:val="both"/>
        <w:rPr>
          <w:rFonts w:ascii="Arial" w:hAnsi="Arial" w:cs="Arial"/>
        </w:rPr>
      </w:pPr>
      <w:r w:rsidRPr="00A87B8D">
        <w:rPr>
          <w:rFonts w:ascii="Arial" w:hAnsi="Arial" w:cs="Arial"/>
        </w:rPr>
        <w:t>V případě, že některá smluvní strana nebude schopna plnit své závazky ze smlouvy v</w:t>
      </w:r>
      <w:r w:rsidR="00B51A46">
        <w:rPr>
          <w:rFonts w:ascii="Arial" w:hAnsi="Arial" w:cs="Arial"/>
        </w:rPr>
        <w:t> </w:t>
      </w:r>
      <w:r w:rsidRPr="00A87B8D">
        <w:rPr>
          <w:rFonts w:ascii="Arial" w:hAnsi="Arial" w:cs="Arial"/>
        </w:rPr>
        <w:t>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DD4323" w:rsidRPr="00A87B8D" w:rsidP="00595981" w14:paraId="772094B5" w14:textId="77777777">
      <w:pPr>
        <w:pStyle w:val="Heading4"/>
        <w:tabs>
          <w:tab w:val="clear" w:pos="360"/>
        </w:tabs>
        <w:spacing w:after="120"/>
        <w:contextualSpacing w:val="0"/>
      </w:pPr>
      <w:r w:rsidRPr="00A87B8D">
        <w:br/>
        <w:t>Závěrečná ustanovení</w:t>
      </w:r>
    </w:p>
    <w:p w:rsidR="00DD4323" w:rsidRPr="00A87B8D" w:rsidP="008F684F" w14:paraId="37F5EAB3"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DD4323" w:rsidRPr="00A87B8D" w:rsidP="008F684F" w14:paraId="7039B41C" w14:textId="588E9F37">
      <w:pPr>
        <w:numPr>
          <w:ilvl w:val="0"/>
          <w:numId w:val="5"/>
        </w:numPr>
        <w:spacing w:after="120" w:line="240" w:lineRule="auto"/>
        <w:ind w:left="425" w:hanging="425"/>
        <w:jc w:val="both"/>
        <w:rPr>
          <w:rFonts w:ascii="Arial" w:hAnsi="Arial" w:cs="Arial"/>
          <w:color w:val="000000"/>
        </w:rPr>
      </w:pPr>
      <w:r w:rsidRPr="00A87B8D">
        <w:rPr>
          <w:rFonts w:ascii="Arial" w:hAnsi="Arial" w:cs="Arial"/>
          <w:color w:val="000000"/>
        </w:rPr>
        <w:t>Jednotlivá ustanovení smlouvy jsou oddělitelná v tom smyslu, že neplatnost některého z</w:t>
      </w:r>
      <w:r w:rsidR="00B51A46">
        <w:rPr>
          <w:rFonts w:ascii="Arial" w:hAnsi="Arial" w:cs="Arial"/>
          <w:color w:val="000000"/>
        </w:rPr>
        <w:t> </w:t>
      </w:r>
      <w:r w:rsidRPr="00A87B8D">
        <w:rPr>
          <w:rFonts w:ascii="Arial" w:hAnsi="Arial" w:cs="Arial"/>
          <w:color w:val="000000"/>
        </w:rPr>
        <w:t>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DD4323" w:rsidRPr="00A87B8D" w:rsidP="008F684F" w14:paraId="70BF8344" w14:textId="66D8CE24">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Pokud by se v důsledku změny právní úpravy některé ustanovení smlouvy dostalo do</w:t>
      </w:r>
      <w:r w:rsidR="00595981">
        <w:rPr>
          <w:rFonts w:ascii="Arial" w:hAnsi="Arial" w:cs="Arial"/>
          <w:color w:val="000000"/>
        </w:rPr>
        <w:t> </w:t>
      </w:r>
      <w:r w:rsidRPr="00A87B8D">
        <w:rPr>
          <w:rFonts w:ascii="Arial" w:hAnsi="Arial" w:cs="Arial"/>
          <w:color w:val="000000"/>
        </w:rPr>
        <w:t>rozporu</w:t>
      </w:r>
      <w:r w:rsidR="0043270E">
        <w:rPr>
          <w:rFonts w:ascii="Arial" w:hAnsi="Arial" w:cs="Arial"/>
          <w:color w:val="000000"/>
        </w:rPr>
        <w:t xml:space="preserve"> </w:t>
      </w:r>
      <w:r w:rsidRPr="00A87B8D">
        <w:rPr>
          <w:rFonts w:ascii="Arial" w:hAnsi="Arial" w:cs="Arial"/>
          <w:color w:val="000000"/>
        </w:rPr>
        <w:t xml:space="preserve">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w:t>
      </w:r>
      <w:r w:rsidRPr="00A87B8D">
        <w:rPr>
          <w:rFonts w:ascii="Arial" w:hAnsi="Arial" w:cs="Arial"/>
          <w:color w:val="000000"/>
        </w:rPr>
        <w:t>nového ustanovení, jež by nahradilo kolidující ustanovení tak, aby vystihovalo co nejpřesněji podstatu původního ujednání a aby co nejlépe odpovídalo duchu smlouvy.</w:t>
      </w:r>
    </w:p>
    <w:p w:rsidR="00DD4323" w:rsidRPr="00A87B8D" w:rsidP="008F684F" w14:paraId="7E1BB385" w14:textId="77777777">
      <w:pPr>
        <w:numPr>
          <w:ilvl w:val="0"/>
          <w:numId w:val="5"/>
        </w:numPr>
        <w:spacing w:after="120" w:line="240" w:lineRule="auto"/>
        <w:ind w:left="425" w:hanging="425"/>
        <w:jc w:val="both"/>
        <w:rPr>
          <w:rFonts w:ascii="Arial" w:hAnsi="Arial" w:cs="Arial"/>
          <w:color w:val="000000"/>
        </w:rPr>
      </w:pPr>
      <w:r w:rsidRPr="00A87B8D">
        <w:rPr>
          <w:rFonts w:ascii="Arial" w:hAnsi="Arial" w:cs="Arial"/>
          <w:color w:val="000000"/>
        </w:rPr>
        <w:t>V případě, že je potřeba během plnění přijetí licenčních podmínek, bez ohledu na to,</w:t>
      </w:r>
      <w:r w:rsidR="004A3943">
        <w:rPr>
          <w:rFonts w:ascii="Arial" w:hAnsi="Arial" w:cs="Arial"/>
          <w:color w:val="000000"/>
        </w:rPr>
        <w:t xml:space="preserve"> </w:t>
      </w:r>
      <w:r w:rsidRPr="00A87B8D">
        <w:rPr>
          <w:rFonts w:ascii="Arial" w:hAnsi="Arial" w:cs="Arial"/>
          <w:color w:val="000000"/>
        </w:rPr>
        <w:t>zda takové přijetí licenčních podmínek provede poskytovatel nebo objednatel, má vždy</w:t>
      </w:r>
      <w:r w:rsidR="004A3943">
        <w:rPr>
          <w:rFonts w:ascii="Arial" w:hAnsi="Arial" w:cs="Arial"/>
          <w:color w:val="000000"/>
        </w:rPr>
        <w:t xml:space="preserve"> v </w:t>
      </w:r>
      <w:r w:rsidRPr="00A87B8D">
        <w:rPr>
          <w:rFonts w:ascii="Arial" w:hAnsi="Arial" w:cs="Arial"/>
          <w:color w:val="000000"/>
        </w:rPr>
        <w:t>případě jakéhokoliv rozporu přednost znění smlouvy před zněním takto přijatých licenčních podmínek.</w:t>
      </w:r>
    </w:p>
    <w:p w:rsidR="00DD4323" w:rsidRPr="00A87B8D" w:rsidP="008F684F" w14:paraId="07C30435"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Tato smlouva je v případě jejího listinného vyhotovení vyhotovena ve 3 vyhotoveních s platností originálu, z nichž 2 vyhotovení obdrží objednatel a 1 vyhotovení obdrží poskytovatel.</w:t>
      </w:r>
    </w:p>
    <w:p w:rsidR="00DD4323" w:rsidRPr="00A87B8D" w:rsidP="008F684F" w14:paraId="5F8527B7"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rsidR="00DD4323" w:rsidRPr="00A87B8D" w:rsidP="008F684F" w14:paraId="125175BE"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Obě smluvní strany podpisem této smlouvy vylučují, aby nad rámec jejích výslovných ustanovení a její přílohy byla jakákoliv jejich práva či povinnosti dovozovány z dosavadní či budoucí praxe zavedené mezi smluvními stranami, resp. ze zvyklostí zachovávaných obecně či v odvětví týkajícím se předmětu této smlouvy.</w:t>
      </w:r>
    </w:p>
    <w:p w:rsidR="00DD4323" w:rsidRPr="00A87B8D" w:rsidP="008F684F" w14:paraId="5A1EC0D4"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Poskytovatel převzal na sebe nebezpečí změny okolností po uzavření této smlouvy, a proto mu nepřísluší domáhat se práv uvedených v § 1765 odst. 1 občanského zákoníku.</w:t>
      </w:r>
    </w:p>
    <w:p w:rsidR="00DD4323" w:rsidRPr="00A87B8D" w:rsidP="008F684F" w14:paraId="68D877CE"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Poskytovatel je podle ustanovení § 2 písm. e) zákona č. 320/2001 Sb., o finanční kontrole</w:t>
      </w:r>
      <w:r w:rsidR="004A3943">
        <w:rPr>
          <w:rFonts w:ascii="Arial" w:hAnsi="Arial" w:cs="Arial"/>
          <w:color w:val="000000"/>
        </w:rPr>
        <w:t xml:space="preserve"> </w:t>
      </w:r>
      <w:r w:rsidRPr="00A87B8D">
        <w:rPr>
          <w:rFonts w:ascii="Arial" w:hAnsi="Arial" w:cs="Arial"/>
          <w:color w:val="000000"/>
        </w:rPr>
        <w:t>ve veřejné správě a o změně některých zákonů, ve znění pozdějších předpisů, osobou povinnou spolupůsobit při výkonu finanční kontroly prováděné v souvislosti s úhradou poskytnutého plnění z veřejných výdajů.</w:t>
      </w:r>
    </w:p>
    <w:p w:rsidR="00DD4323" w:rsidRPr="00A87B8D" w:rsidP="008F684F" w14:paraId="5378FE2A" w14:textId="12379F61">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 xml:space="preserve">Objednatel je povinným subjektem ve smyslu zákona o registru smluv. Poskytovatel bere na vědomí, že tato smlouva, včetně všech jejích případných dodatků, bude v plném znění </w:t>
      </w:r>
      <w:r w:rsidRPr="00A87B8D" w:rsidR="00CD3D27">
        <w:rPr>
          <w:rFonts w:ascii="Arial" w:hAnsi="Arial" w:cs="Arial"/>
          <w:color w:val="000000"/>
        </w:rPr>
        <w:t>uveřejněna objednatelem</w:t>
      </w:r>
      <w:r w:rsidRPr="00A87B8D">
        <w:rPr>
          <w:rFonts w:ascii="Arial" w:hAnsi="Arial" w:cs="Arial"/>
          <w:color w:val="000000"/>
        </w:rPr>
        <w:t xml:space="preserve"> v Registru smluv. Objednatel </w:t>
      </w:r>
      <w:r w:rsidRPr="00A87B8D">
        <w:rPr>
          <w:rFonts w:ascii="Arial" w:hAnsi="Arial" w:cs="Arial"/>
          <w:spacing w:val="-5"/>
        </w:rPr>
        <w:t>je dále v souladu se ZZVZ povinen na profilu zadavatele uveřejnit skutečně uhrazenou cenu.</w:t>
      </w:r>
    </w:p>
    <w:p w:rsidR="00DD4323" w:rsidRPr="00A87B8D" w:rsidP="008F684F" w14:paraId="63BB7369"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Tato smlouva nabývá platnosti dnem podpisu poslední ze smluvních stran a účinnosti dnem uveřejnění v Registru smluv.</w:t>
      </w:r>
    </w:p>
    <w:p w:rsidR="00DD4323" w:rsidRPr="00A87B8D" w:rsidP="008F684F" w14:paraId="29478167" w14:textId="77777777">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DD4323" w:rsidRPr="008F684F" w:rsidP="008F684F" w14:paraId="1433A199" w14:textId="3CE9815F">
      <w:pPr>
        <w:pStyle w:val="ListParagraph"/>
        <w:numPr>
          <w:ilvl w:val="0"/>
          <w:numId w:val="5"/>
        </w:numPr>
        <w:spacing w:after="120" w:line="240" w:lineRule="auto"/>
        <w:ind w:left="425" w:hanging="425"/>
        <w:contextualSpacing w:val="0"/>
        <w:jc w:val="both"/>
        <w:rPr>
          <w:rFonts w:ascii="Arial" w:hAnsi="Arial" w:cs="Arial"/>
          <w:color w:val="000000"/>
        </w:rPr>
      </w:pPr>
      <w:r w:rsidRPr="00A87B8D">
        <w:rPr>
          <w:rFonts w:ascii="Arial" w:hAnsi="Arial" w:cs="Arial"/>
          <w:color w:val="000000"/>
        </w:rPr>
        <w:t>Nedílnou součástí této smlouvy jsou níže uvedené přílohy:</w:t>
      </w:r>
    </w:p>
    <w:p w:rsidR="00DD4323" w:rsidP="0043270E" w14:paraId="1BCB2F12" w14:textId="14992D78">
      <w:pPr>
        <w:spacing w:after="0" w:line="240" w:lineRule="auto"/>
        <w:ind w:firstLine="425"/>
        <w:jc w:val="both"/>
        <w:rPr>
          <w:rFonts w:ascii="Arial" w:hAnsi="Arial" w:cs="Arial"/>
          <w:color w:val="000000"/>
        </w:rPr>
      </w:pPr>
      <w:r w:rsidRPr="00A87B8D">
        <w:rPr>
          <w:rFonts w:ascii="Arial" w:hAnsi="Arial" w:cs="Arial"/>
          <w:color w:val="000000"/>
        </w:rPr>
        <w:t>Příloha č. 1</w:t>
      </w:r>
      <w:r w:rsidR="0043270E">
        <w:rPr>
          <w:rFonts w:ascii="Arial" w:hAnsi="Arial" w:cs="Arial"/>
          <w:color w:val="000000"/>
        </w:rPr>
        <w:t xml:space="preserve">   </w:t>
      </w:r>
      <w:r w:rsidRPr="00A87B8D">
        <w:rPr>
          <w:rFonts w:ascii="Arial" w:hAnsi="Arial" w:cs="Arial"/>
          <w:color w:val="000000"/>
        </w:rPr>
        <w:t>Kalkulace ceny</w:t>
      </w:r>
    </w:p>
    <w:p w:rsidR="0043270E" w:rsidP="0043270E" w14:paraId="46FB42E3" w14:textId="596D038B">
      <w:pPr>
        <w:spacing w:after="0" w:line="240" w:lineRule="auto"/>
        <w:ind w:firstLine="425"/>
        <w:jc w:val="both"/>
        <w:rPr>
          <w:rFonts w:ascii="Arial" w:hAnsi="Arial" w:cs="Arial"/>
          <w:color w:val="000000"/>
        </w:rPr>
      </w:pPr>
      <w:r>
        <w:rPr>
          <w:rFonts w:ascii="Arial" w:hAnsi="Arial" w:cs="Arial"/>
          <w:color w:val="000000"/>
        </w:rPr>
        <w:t>Příloha č. 2   Technická specifikace</w:t>
      </w:r>
    </w:p>
    <w:p w:rsidR="002850D9" w:rsidRPr="00A87B8D" w:rsidP="008F684F" w14:paraId="69FE27E8" w14:textId="69847189">
      <w:pPr>
        <w:spacing w:after="0" w:line="240" w:lineRule="auto"/>
        <w:ind w:firstLine="425"/>
        <w:jc w:val="both"/>
        <w:rPr>
          <w:rFonts w:ascii="Arial" w:hAnsi="Arial" w:cs="Arial"/>
          <w:color w:val="000000"/>
        </w:rPr>
      </w:pPr>
      <w:r>
        <w:rPr>
          <w:rFonts w:ascii="Arial" w:hAnsi="Arial" w:cs="Arial"/>
          <w:color w:val="000000"/>
        </w:rPr>
        <w:t xml:space="preserve">Příloha č. </w:t>
      </w:r>
      <w:r w:rsidR="0043270E">
        <w:rPr>
          <w:rFonts w:ascii="Arial" w:hAnsi="Arial" w:cs="Arial"/>
          <w:color w:val="000000"/>
        </w:rPr>
        <w:t>3   Licenční podmínky</w:t>
      </w:r>
    </w:p>
    <w:p w:rsidR="00F43261" w:rsidP="008F684F" w14:paraId="31053578" w14:textId="77777777">
      <w:pPr>
        <w:spacing w:before="240" w:after="120" w:line="240" w:lineRule="auto"/>
        <w:rPr>
          <w:rFonts w:ascii="Arial" w:hAnsi="Arial" w:cs="Arial"/>
        </w:rPr>
      </w:pPr>
    </w:p>
    <w:p w:rsidR="00DD4323" w:rsidRPr="00A87B8D" w:rsidP="008F684F" w14:paraId="5CD979C3" w14:textId="3B29FA50">
      <w:pPr>
        <w:spacing w:before="240" w:after="120" w:line="240" w:lineRule="auto"/>
        <w:rPr>
          <w:rFonts w:ascii="Arial" w:hAnsi="Arial" w:cs="Arial"/>
        </w:rPr>
      </w:pPr>
      <w:r w:rsidRPr="00A87B8D">
        <w:rPr>
          <w:rFonts w:ascii="Arial" w:hAnsi="Arial" w:cs="Arial"/>
        </w:rPr>
        <w:t xml:space="preserve">V </w:t>
      </w:r>
      <w:r w:rsidR="00B55ECC">
        <w:rPr>
          <w:rFonts w:ascii="Arial" w:hAnsi="Arial" w:cs="Arial"/>
          <w:lang w:eastAsia="cs-CZ"/>
        </w:rPr>
        <w:t>Praze</w:t>
      </w:r>
      <w:r w:rsidRPr="00A87B8D">
        <w:rPr>
          <w:rFonts w:ascii="Arial" w:hAnsi="Arial" w:cs="Arial"/>
        </w:rPr>
        <w:t xml:space="preserve"> dne</w:t>
      </w:r>
      <w:r w:rsidR="00576B95">
        <w:rPr>
          <w:rFonts w:ascii="Arial" w:hAnsi="Arial" w:cs="Arial"/>
        </w:rPr>
        <w:t xml:space="preserve"> 27.03.2025</w:t>
      </w:r>
      <w:r w:rsidR="00F43261">
        <w:rPr>
          <w:rFonts w:ascii="Arial" w:hAnsi="Arial" w:cs="Arial"/>
        </w:rPr>
        <w:t xml:space="preserve">                              </w:t>
      </w:r>
      <w:r w:rsidRPr="00A87B8D">
        <w:rPr>
          <w:rFonts w:ascii="Arial" w:hAnsi="Arial" w:cs="Arial"/>
        </w:rPr>
        <w:t>V Praze dne</w:t>
      </w:r>
      <w:r w:rsidR="00576B95">
        <w:rPr>
          <w:rFonts w:ascii="Arial" w:hAnsi="Arial" w:cs="Arial"/>
        </w:rPr>
        <w:t xml:space="preserve"> 28.03.2025</w:t>
      </w:r>
    </w:p>
    <w:p w:rsidR="00DD4323" w:rsidRPr="00A87B8D" w:rsidP="008F684F" w14:paraId="1E211ED6" w14:textId="77777777">
      <w:pPr>
        <w:tabs>
          <w:tab w:val="left" w:pos="0"/>
          <w:tab w:val="left" w:leader="dot" w:pos="3544"/>
          <w:tab w:val="left" w:pos="4253"/>
          <w:tab w:val="left" w:leader="dot" w:pos="7938"/>
        </w:tabs>
        <w:spacing w:before="240" w:after="120" w:line="240" w:lineRule="auto"/>
        <w:rPr>
          <w:rFonts w:ascii="Arial" w:hAnsi="Arial" w:cs="Arial"/>
        </w:rPr>
      </w:pPr>
      <w:r w:rsidRPr="00A87B8D">
        <w:rPr>
          <w:rFonts w:ascii="Arial" w:hAnsi="Arial" w:cs="Arial"/>
        </w:rPr>
        <w:tab/>
      </w:r>
      <w:r w:rsidRPr="00A87B8D">
        <w:rPr>
          <w:rFonts w:ascii="Arial" w:hAnsi="Arial" w:cs="Arial"/>
        </w:rPr>
        <w:tab/>
      </w:r>
      <w:r w:rsidRPr="00A87B8D">
        <w:rPr>
          <w:rFonts w:ascii="Arial" w:hAnsi="Arial" w:cs="Arial"/>
        </w:rPr>
        <w:tab/>
      </w:r>
    </w:p>
    <w:p w:rsidR="00DD4323" w:rsidRPr="00A87B8D" w:rsidP="00B55ECC" w14:paraId="77A8A7EB" w14:textId="4CC749B5">
      <w:pPr>
        <w:spacing w:before="120" w:after="120" w:line="240" w:lineRule="auto"/>
        <w:rPr>
          <w:rFonts w:ascii="Arial" w:hAnsi="Arial" w:cs="Arial"/>
        </w:rPr>
      </w:pPr>
      <w:r w:rsidRPr="00A87B8D">
        <w:rPr>
          <w:rFonts w:ascii="Arial" w:hAnsi="Arial" w:cs="Arial"/>
        </w:rPr>
        <w:t xml:space="preserve">za </w:t>
      </w:r>
      <w:r w:rsidR="00B55ECC">
        <w:rPr>
          <w:rFonts w:ascii="Arial" w:hAnsi="Arial" w:cs="Arial"/>
          <w:lang w:eastAsia="cs-CZ"/>
        </w:rPr>
        <w:t xml:space="preserve">SoftwareONE Czech Republic s.r.o. </w:t>
      </w:r>
      <w:r w:rsidRPr="00A87B8D">
        <w:rPr>
          <w:rFonts w:ascii="Arial" w:hAnsi="Arial" w:cs="Arial"/>
        </w:rPr>
        <w:tab/>
        <w:t xml:space="preserve">za Českou republiku – Úřad vlády České </w:t>
      </w:r>
      <w:r w:rsidR="008F684F">
        <w:rPr>
          <w:rFonts w:ascii="Arial" w:hAnsi="Arial" w:cs="Arial"/>
        </w:rPr>
        <w:t xml:space="preserve">                </w:t>
      </w:r>
      <w:r w:rsidR="00B55ECC">
        <w:rPr>
          <w:rFonts w:ascii="Arial" w:hAnsi="Arial" w:cs="Arial"/>
        </w:rPr>
        <w:t xml:space="preserve">Petr Pánek </w:t>
      </w:r>
      <w:r w:rsidR="00742CC0">
        <w:rPr>
          <w:rFonts w:ascii="Arial" w:hAnsi="Arial" w:cs="Arial"/>
        </w:rPr>
        <w:t xml:space="preserve">v. r. </w:t>
      </w:r>
      <w:r w:rsidR="00B55ECC">
        <w:rPr>
          <w:rFonts w:ascii="Arial" w:hAnsi="Arial" w:cs="Arial"/>
        </w:rPr>
        <w:t>a Lukáš Zima</w:t>
      </w:r>
      <w:r w:rsidR="00742CC0">
        <w:rPr>
          <w:rFonts w:ascii="Arial" w:hAnsi="Arial" w:cs="Arial"/>
        </w:rPr>
        <w:t xml:space="preserve"> v. r.</w:t>
      </w:r>
      <w:r w:rsidR="00B55ECC">
        <w:rPr>
          <w:rFonts w:ascii="Arial" w:hAnsi="Arial" w:cs="Arial"/>
        </w:rPr>
        <w:tab/>
      </w:r>
      <w:r w:rsidR="00B55ECC">
        <w:rPr>
          <w:rFonts w:ascii="Arial" w:hAnsi="Arial" w:cs="Arial"/>
        </w:rPr>
        <w:tab/>
      </w:r>
      <w:r w:rsidRPr="00A87B8D">
        <w:rPr>
          <w:rFonts w:ascii="Arial" w:hAnsi="Arial" w:cs="Arial"/>
        </w:rPr>
        <w:t>republiky</w:t>
      </w:r>
    </w:p>
    <w:p w:rsidR="002E5555" w:rsidP="008F684F" w14:paraId="1C3EDAB5" w14:textId="1EF8E072">
      <w:pPr>
        <w:spacing w:after="0" w:line="240" w:lineRule="auto"/>
        <w:rPr>
          <w:rFonts w:ascii="Arial" w:hAnsi="Arial" w:cs="Arial"/>
        </w:rPr>
      </w:pPr>
      <w:r>
        <w:rPr>
          <w:rFonts w:ascii="Arial" w:hAnsi="Arial" w:cs="Arial"/>
        </w:rPr>
        <w:t>prokuristé</w:t>
      </w:r>
      <w:r w:rsidRPr="00A87B8D" w:rsidR="00DD4323">
        <w:rPr>
          <w:rFonts w:ascii="Arial" w:hAnsi="Arial" w:cs="Arial"/>
        </w:rPr>
        <w:tab/>
      </w:r>
      <w:r w:rsidRPr="00A87B8D" w:rsidR="00DD4323">
        <w:rPr>
          <w:rFonts w:ascii="Arial" w:hAnsi="Arial" w:cs="Arial"/>
        </w:rPr>
        <w:tab/>
      </w:r>
      <w:r w:rsidRPr="00A87B8D" w:rsidR="00DD4323">
        <w:rPr>
          <w:rFonts w:ascii="Arial" w:hAnsi="Arial" w:cs="Arial"/>
        </w:rPr>
        <w:tab/>
      </w:r>
      <w:r w:rsidRPr="00A87B8D" w:rsidR="00DD4323">
        <w:rPr>
          <w:rFonts w:ascii="Arial" w:hAnsi="Arial" w:cs="Arial"/>
        </w:rPr>
        <w:tab/>
      </w:r>
      <w:r w:rsidRPr="00A87B8D" w:rsidR="00DD4323">
        <w:rPr>
          <w:rFonts w:ascii="Arial" w:hAnsi="Arial" w:cs="Arial"/>
        </w:rPr>
        <w:tab/>
        <w:t>Ing. Jitka Křupková</w:t>
      </w:r>
      <w:r w:rsidR="00742CC0">
        <w:rPr>
          <w:rFonts w:ascii="Arial" w:hAnsi="Arial" w:cs="Arial"/>
        </w:rPr>
        <w:t xml:space="preserve"> v. r.</w:t>
      </w:r>
    </w:p>
    <w:p w:rsidR="009A1654" w:rsidP="008F684F" w14:paraId="2BDC915B" w14:textId="77777777">
      <w:pPr>
        <w:spacing w:after="0" w:line="240" w:lineRule="auto"/>
        <w:ind w:left="3538" w:firstLine="709"/>
        <w:rPr>
          <w:rFonts w:ascii="Arial" w:hAnsi="Arial" w:cs="Arial"/>
        </w:rPr>
        <w:sectPr>
          <w:headerReference w:type="default" r:id="rId9"/>
          <w:pgSz w:w="11906" w:h="16838"/>
          <w:pgMar w:top="1417" w:right="1417" w:bottom="1417" w:left="1417" w:header="708" w:footer="708" w:gutter="0"/>
          <w:cols w:space="708"/>
          <w:docGrid w:linePitch="360"/>
        </w:sectPr>
      </w:pPr>
      <w:r w:rsidRPr="00A87B8D">
        <w:rPr>
          <w:rFonts w:ascii="Arial" w:hAnsi="Arial" w:cs="Arial"/>
        </w:rPr>
        <w:t>ředitelka Odboru informatiky</w:t>
      </w:r>
      <w:r w:rsidRPr="00A87B8D" w:rsidR="00DD4323">
        <w:rPr>
          <w:rFonts w:ascii="Arial" w:hAnsi="Arial" w:cs="Arial"/>
        </w:rPr>
        <w:br/>
      </w:r>
    </w:p>
    <w:p w:rsidR="00FC482F" w:rsidP="00FC482F" w14:paraId="061E1502" w14:textId="77777777">
      <w:pPr>
        <w:spacing w:after="0" w:line="240" w:lineRule="auto"/>
        <w:rPr>
          <w:rFonts w:ascii="Arial" w:eastAsia="Times New Roman" w:hAnsi="Arial" w:cs="Arial"/>
          <w:b/>
          <w:bCs/>
          <w:lang w:eastAsia="cs-CZ"/>
        </w:rPr>
        <w:sectPr w:rsidSect="00203D2C">
          <w:headerReference w:type="default" r:id="rId10"/>
          <w:type w:val="continuous"/>
          <w:pgSz w:w="11906" w:h="16838"/>
          <w:pgMar w:top="1417" w:right="1417" w:bottom="1417" w:left="1417" w:header="708" w:footer="708" w:gutter="0"/>
          <w:cols w:space="708"/>
          <w:docGrid w:linePitch="360"/>
        </w:sectPr>
      </w:pPr>
      <w:bookmarkStart w:id="2" w:name="RANGE!A1:G8"/>
    </w:p>
    <w:tbl>
      <w:tblPr>
        <w:tblW w:w="10774" w:type="dxa"/>
        <w:tblInd w:w="-851" w:type="dxa"/>
        <w:tblCellMar>
          <w:left w:w="70" w:type="dxa"/>
          <w:right w:w="70" w:type="dxa"/>
        </w:tblCellMar>
        <w:tblLook w:val="04A0"/>
      </w:tblPr>
      <w:tblGrid>
        <w:gridCol w:w="2552"/>
        <w:gridCol w:w="2410"/>
        <w:gridCol w:w="1119"/>
        <w:gridCol w:w="1418"/>
        <w:gridCol w:w="719"/>
        <w:gridCol w:w="1275"/>
        <w:gridCol w:w="1281"/>
      </w:tblGrid>
      <w:tr w14:paraId="4A334666" w14:textId="77777777" w:rsidTr="00110D1C">
        <w:tblPrEx>
          <w:tblW w:w="10774" w:type="dxa"/>
          <w:tblInd w:w="-851" w:type="dxa"/>
          <w:tblCellMar>
            <w:left w:w="70" w:type="dxa"/>
            <w:right w:w="70" w:type="dxa"/>
          </w:tblCellMar>
          <w:tblLook w:val="04A0"/>
        </w:tblPrEx>
        <w:trPr>
          <w:trHeight w:val="288"/>
        </w:trPr>
        <w:tc>
          <w:tcPr>
            <w:tcW w:w="10774" w:type="dxa"/>
            <w:gridSpan w:val="7"/>
            <w:tcBorders>
              <w:top w:val="nil"/>
              <w:left w:val="nil"/>
              <w:bottom w:val="nil"/>
              <w:right w:val="nil"/>
            </w:tcBorders>
            <w:shd w:val="clear" w:color="auto" w:fill="auto"/>
            <w:noWrap/>
            <w:vAlign w:val="bottom"/>
            <w:hideMark/>
          </w:tcPr>
          <w:p w:rsidR="006E356C" w:rsidP="00FC482F" w14:paraId="03888E1B" w14:textId="77777777">
            <w:pPr>
              <w:spacing w:after="0" w:line="240" w:lineRule="auto"/>
              <w:rPr>
                <w:rFonts w:ascii="Arial" w:eastAsia="Times New Roman" w:hAnsi="Arial" w:cs="Arial"/>
                <w:b/>
                <w:bCs/>
                <w:lang w:eastAsia="cs-CZ"/>
              </w:rPr>
            </w:pPr>
          </w:p>
          <w:p w:rsidR="006E356C" w:rsidP="00FC482F" w14:paraId="758EE372" w14:textId="77777777">
            <w:pPr>
              <w:spacing w:after="0" w:line="240" w:lineRule="auto"/>
              <w:rPr>
                <w:rFonts w:ascii="Arial" w:eastAsia="Times New Roman" w:hAnsi="Arial" w:cs="Arial"/>
                <w:b/>
                <w:bCs/>
                <w:lang w:eastAsia="cs-CZ"/>
              </w:rPr>
            </w:pPr>
          </w:p>
          <w:p w:rsidR="00110D1C" w:rsidRPr="00110D1C" w:rsidP="00110D1C" w14:paraId="32A04992" w14:textId="28C05523">
            <w:pPr>
              <w:spacing w:after="0" w:line="240" w:lineRule="auto"/>
              <w:jc w:val="center"/>
              <w:rPr>
                <w:rFonts w:ascii="Arial" w:eastAsia="Times New Roman" w:hAnsi="Arial" w:cs="Arial"/>
                <w:b/>
                <w:bCs/>
                <w:lang w:eastAsia="cs-CZ"/>
              </w:rPr>
            </w:pPr>
            <w:r w:rsidRPr="00110D1C">
              <w:rPr>
                <w:rFonts w:ascii="Arial" w:eastAsia="Times New Roman" w:hAnsi="Arial" w:cs="Arial"/>
                <w:b/>
                <w:bCs/>
                <w:lang w:eastAsia="cs-CZ"/>
              </w:rPr>
              <w:t>Kalkulace ceny</w:t>
            </w:r>
            <w:bookmarkEnd w:id="2"/>
          </w:p>
        </w:tc>
      </w:tr>
      <w:tr w14:paraId="036B10D1" w14:textId="77777777" w:rsidTr="007B485F">
        <w:tblPrEx>
          <w:tblW w:w="10774" w:type="dxa"/>
          <w:tblInd w:w="-851" w:type="dxa"/>
          <w:tblCellMar>
            <w:left w:w="70" w:type="dxa"/>
            <w:right w:w="70" w:type="dxa"/>
          </w:tblCellMar>
          <w:tblLook w:val="04A0"/>
        </w:tblPrEx>
        <w:trPr>
          <w:trHeight w:val="288"/>
        </w:trPr>
        <w:tc>
          <w:tcPr>
            <w:tcW w:w="2552" w:type="dxa"/>
            <w:tcBorders>
              <w:top w:val="nil"/>
              <w:left w:val="nil"/>
              <w:bottom w:val="nil"/>
              <w:right w:val="nil"/>
            </w:tcBorders>
            <w:shd w:val="clear" w:color="000000" w:fill="FFFFFF"/>
            <w:noWrap/>
            <w:vAlign w:val="bottom"/>
            <w:hideMark/>
          </w:tcPr>
          <w:p w:rsidR="00110D1C" w:rsidRPr="00110D1C" w:rsidP="00110D1C" w14:paraId="247784A3" w14:textId="77777777">
            <w:pPr>
              <w:spacing w:after="0" w:line="240" w:lineRule="auto"/>
              <w:rPr>
                <w:rFonts w:ascii="Arial" w:eastAsia="Times New Roman" w:hAnsi="Arial" w:cs="Arial"/>
                <w:lang w:eastAsia="cs-CZ"/>
              </w:rPr>
            </w:pPr>
            <w:r w:rsidRPr="00110D1C">
              <w:rPr>
                <w:rFonts w:ascii="Arial" w:eastAsia="Times New Roman" w:hAnsi="Arial" w:cs="Arial"/>
                <w:lang w:eastAsia="cs-CZ"/>
              </w:rPr>
              <w:t> </w:t>
            </w:r>
          </w:p>
        </w:tc>
        <w:tc>
          <w:tcPr>
            <w:tcW w:w="2410" w:type="dxa"/>
            <w:tcBorders>
              <w:top w:val="nil"/>
              <w:left w:val="nil"/>
              <w:bottom w:val="nil"/>
              <w:right w:val="nil"/>
            </w:tcBorders>
            <w:shd w:val="clear" w:color="000000" w:fill="FFFFFF"/>
            <w:vAlign w:val="center"/>
            <w:hideMark/>
          </w:tcPr>
          <w:p w:rsidR="00110D1C" w:rsidRPr="00110D1C" w:rsidP="00110D1C" w14:paraId="18282D92" w14:textId="77777777">
            <w:pPr>
              <w:spacing w:after="0" w:line="240" w:lineRule="auto"/>
              <w:rPr>
                <w:rFonts w:ascii="Arial" w:eastAsia="Times New Roman" w:hAnsi="Arial" w:cs="Arial"/>
                <w:b/>
                <w:bCs/>
                <w:color w:val="000000"/>
                <w:lang w:eastAsia="cs-CZ"/>
              </w:rPr>
            </w:pPr>
            <w:r w:rsidRPr="00110D1C">
              <w:rPr>
                <w:rFonts w:ascii="Arial" w:eastAsia="Times New Roman" w:hAnsi="Arial" w:cs="Arial"/>
                <w:b/>
                <w:bCs/>
                <w:color w:val="000000"/>
                <w:lang w:eastAsia="cs-CZ"/>
              </w:rPr>
              <w:t> </w:t>
            </w:r>
          </w:p>
        </w:tc>
        <w:tc>
          <w:tcPr>
            <w:tcW w:w="1119" w:type="dxa"/>
            <w:tcBorders>
              <w:top w:val="nil"/>
              <w:left w:val="nil"/>
              <w:bottom w:val="nil"/>
              <w:right w:val="nil"/>
            </w:tcBorders>
            <w:shd w:val="clear" w:color="000000" w:fill="FFFFFF"/>
            <w:vAlign w:val="center"/>
            <w:hideMark/>
          </w:tcPr>
          <w:p w:rsidR="00110D1C" w:rsidRPr="00110D1C" w:rsidP="00110D1C" w14:paraId="5868F109" w14:textId="77777777">
            <w:pPr>
              <w:spacing w:after="0" w:line="240" w:lineRule="auto"/>
              <w:rPr>
                <w:rFonts w:ascii="Arial" w:eastAsia="Times New Roman" w:hAnsi="Arial" w:cs="Arial"/>
                <w:color w:val="000000"/>
                <w:lang w:eastAsia="cs-CZ"/>
              </w:rPr>
            </w:pPr>
            <w:r w:rsidRPr="00110D1C">
              <w:rPr>
                <w:rFonts w:ascii="Arial" w:eastAsia="Times New Roman" w:hAnsi="Arial" w:cs="Arial"/>
                <w:color w:val="000000"/>
                <w:lang w:eastAsia="cs-CZ"/>
              </w:rPr>
              <w:t> </w:t>
            </w:r>
          </w:p>
        </w:tc>
        <w:tc>
          <w:tcPr>
            <w:tcW w:w="1418" w:type="dxa"/>
            <w:tcBorders>
              <w:top w:val="nil"/>
              <w:left w:val="nil"/>
              <w:bottom w:val="nil"/>
              <w:right w:val="nil"/>
            </w:tcBorders>
            <w:shd w:val="clear" w:color="000000" w:fill="FFFFFF"/>
            <w:vAlign w:val="center"/>
            <w:hideMark/>
          </w:tcPr>
          <w:p w:rsidR="00110D1C" w:rsidRPr="00110D1C" w:rsidP="00110D1C" w14:paraId="4CF3CC8C" w14:textId="77777777">
            <w:pPr>
              <w:spacing w:after="0" w:line="240" w:lineRule="auto"/>
              <w:rPr>
                <w:rFonts w:ascii="Arial" w:eastAsia="Times New Roman" w:hAnsi="Arial" w:cs="Arial"/>
                <w:color w:val="000000"/>
                <w:lang w:eastAsia="cs-CZ"/>
              </w:rPr>
            </w:pPr>
            <w:r w:rsidRPr="00110D1C">
              <w:rPr>
                <w:rFonts w:ascii="Arial" w:eastAsia="Times New Roman" w:hAnsi="Arial" w:cs="Arial"/>
                <w:color w:val="000000"/>
                <w:lang w:eastAsia="cs-CZ"/>
              </w:rPr>
              <w:t> </w:t>
            </w:r>
          </w:p>
        </w:tc>
        <w:tc>
          <w:tcPr>
            <w:tcW w:w="719" w:type="dxa"/>
            <w:tcBorders>
              <w:top w:val="nil"/>
              <w:left w:val="nil"/>
              <w:bottom w:val="nil"/>
              <w:right w:val="nil"/>
            </w:tcBorders>
            <w:shd w:val="clear" w:color="000000" w:fill="FFFFFF"/>
            <w:vAlign w:val="center"/>
            <w:hideMark/>
          </w:tcPr>
          <w:p w:rsidR="00110D1C" w:rsidRPr="00110D1C" w:rsidP="00110D1C" w14:paraId="3FFAEE60" w14:textId="77777777">
            <w:pPr>
              <w:spacing w:after="0" w:line="240" w:lineRule="auto"/>
              <w:rPr>
                <w:rFonts w:ascii="Arial" w:eastAsia="Times New Roman" w:hAnsi="Arial" w:cs="Arial"/>
                <w:color w:val="000000"/>
                <w:lang w:eastAsia="cs-CZ"/>
              </w:rPr>
            </w:pPr>
            <w:r w:rsidRPr="00110D1C">
              <w:rPr>
                <w:rFonts w:ascii="Arial" w:eastAsia="Times New Roman" w:hAnsi="Arial" w:cs="Arial"/>
                <w:color w:val="000000"/>
                <w:lang w:eastAsia="cs-CZ"/>
              </w:rPr>
              <w:t> </w:t>
            </w:r>
          </w:p>
        </w:tc>
        <w:tc>
          <w:tcPr>
            <w:tcW w:w="1275" w:type="dxa"/>
            <w:tcBorders>
              <w:top w:val="nil"/>
              <w:left w:val="nil"/>
              <w:bottom w:val="nil"/>
              <w:right w:val="nil"/>
            </w:tcBorders>
            <w:shd w:val="clear" w:color="000000" w:fill="FFFFFF"/>
            <w:vAlign w:val="center"/>
            <w:hideMark/>
          </w:tcPr>
          <w:p w:rsidR="00110D1C" w:rsidRPr="00110D1C" w:rsidP="00110D1C" w14:paraId="1897B8B6" w14:textId="77777777">
            <w:pPr>
              <w:spacing w:after="0" w:line="240" w:lineRule="auto"/>
              <w:rPr>
                <w:rFonts w:ascii="Arial" w:eastAsia="Times New Roman" w:hAnsi="Arial" w:cs="Arial"/>
                <w:color w:val="000000"/>
                <w:lang w:eastAsia="cs-CZ"/>
              </w:rPr>
            </w:pPr>
            <w:r w:rsidRPr="00110D1C">
              <w:rPr>
                <w:rFonts w:ascii="Arial" w:eastAsia="Times New Roman" w:hAnsi="Arial" w:cs="Arial"/>
                <w:color w:val="000000"/>
                <w:lang w:eastAsia="cs-CZ"/>
              </w:rPr>
              <w:t> </w:t>
            </w:r>
          </w:p>
        </w:tc>
        <w:tc>
          <w:tcPr>
            <w:tcW w:w="1281" w:type="dxa"/>
            <w:tcBorders>
              <w:top w:val="nil"/>
              <w:left w:val="nil"/>
              <w:bottom w:val="nil"/>
              <w:right w:val="nil"/>
            </w:tcBorders>
            <w:shd w:val="clear" w:color="000000" w:fill="FFFFFF"/>
            <w:vAlign w:val="center"/>
            <w:hideMark/>
          </w:tcPr>
          <w:p w:rsidR="00110D1C" w:rsidRPr="00110D1C" w:rsidP="00110D1C" w14:paraId="0F95DDCF" w14:textId="77777777">
            <w:pPr>
              <w:spacing w:after="0" w:line="240" w:lineRule="auto"/>
              <w:rPr>
                <w:rFonts w:ascii="Arial" w:eastAsia="Times New Roman" w:hAnsi="Arial" w:cs="Arial"/>
                <w:color w:val="000000"/>
                <w:lang w:eastAsia="cs-CZ"/>
              </w:rPr>
            </w:pPr>
            <w:r w:rsidRPr="00110D1C">
              <w:rPr>
                <w:rFonts w:ascii="Arial" w:eastAsia="Times New Roman" w:hAnsi="Arial" w:cs="Arial"/>
                <w:color w:val="000000"/>
                <w:lang w:eastAsia="cs-CZ"/>
              </w:rPr>
              <w:t> </w:t>
            </w:r>
          </w:p>
        </w:tc>
      </w:tr>
      <w:tr w14:paraId="1F331D64" w14:textId="77777777" w:rsidTr="007B485F">
        <w:tblPrEx>
          <w:tblW w:w="10774" w:type="dxa"/>
          <w:tblInd w:w="-851" w:type="dxa"/>
          <w:tblCellMar>
            <w:left w:w="70" w:type="dxa"/>
            <w:right w:w="70" w:type="dxa"/>
          </w:tblCellMar>
          <w:tblLook w:val="04A0"/>
        </w:tblPrEx>
        <w:trPr>
          <w:trHeight w:val="792"/>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10D1C" w:rsidRPr="00110D1C" w:rsidP="00110D1C" w14:paraId="3D70C165"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Typ licence/kod</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rsidR="00110D1C" w:rsidRPr="00110D1C" w:rsidP="00110D1C" w14:paraId="29B8249F"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Popis</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rsidR="00110D1C" w:rsidRPr="00110D1C" w:rsidP="00110D1C" w14:paraId="1861B4F1"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Počet licenčních jednotek</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7B485F" w:rsidP="00110D1C" w14:paraId="7931C87F"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 xml:space="preserve">Cena za jednotku </w:t>
            </w:r>
          </w:p>
          <w:p w:rsidR="00110D1C" w:rsidRPr="00110D1C" w:rsidP="00110D1C" w14:paraId="77673878" w14:textId="05E5B07E">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(Kč bez DPH)</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rsidR="00110D1C" w:rsidRPr="00110D1C" w:rsidP="00110D1C" w14:paraId="4DEE5944"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 xml:space="preserve">Sazba DPH </w:t>
            </w:r>
            <w:r w:rsidRPr="00110D1C">
              <w:rPr>
                <w:rFonts w:ascii="Arial" w:eastAsia="Times New Roman" w:hAnsi="Arial" w:cs="Arial"/>
                <w:b/>
                <w:bCs/>
                <w:sz w:val="20"/>
                <w:szCs w:val="20"/>
                <w:lang w:eastAsia="cs-CZ"/>
              </w:rPr>
              <w:br/>
              <w:t>v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110D1C" w:rsidRPr="00110D1C" w:rsidP="00110D1C" w14:paraId="4BE36157"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 xml:space="preserve">Cena celkem </w:t>
            </w:r>
            <w:r w:rsidRPr="00110D1C">
              <w:rPr>
                <w:rFonts w:ascii="Arial" w:eastAsia="Times New Roman" w:hAnsi="Arial" w:cs="Arial"/>
                <w:b/>
                <w:bCs/>
                <w:sz w:val="20"/>
                <w:szCs w:val="20"/>
                <w:lang w:eastAsia="cs-CZ"/>
              </w:rPr>
              <w:br/>
              <w:t xml:space="preserve">v Kč </w:t>
            </w:r>
            <w:r w:rsidRPr="00110D1C">
              <w:rPr>
                <w:rFonts w:ascii="Arial" w:eastAsia="Times New Roman" w:hAnsi="Arial" w:cs="Arial"/>
                <w:b/>
                <w:bCs/>
                <w:sz w:val="20"/>
                <w:szCs w:val="20"/>
                <w:lang w:eastAsia="cs-CZ"/>
              </w:rPr>
              <w:br/>
              <w:t>bez DPH</w:t>
            </w:r>
          </w:p>
        </w:tc>
        <w:tc>
          <w:tcPr>
            <w:tcW w:w="1281" w:type="dxa"/>
            <w:tcBorders>
              <w:top w:val="single" w:sz="4" w:space="0" w:color="auto"/>
              <w:left w:val="nil"/>
              <w:bottom w:val="single" w:sz="4" w:space="0" w:color="auto"/>
              <w:right w:val="single" w:sz="4" w:space="0" w:color="auto"/>
            </w:tcBorders>
            <w:shd w:val="clear" w:color="000000" w:fill="D9D9D9"/>
            <w:vAlign w:val="center"/>
            <w:hideMark/>
          </w:tcPr>
          <w:p w:rsidR="007B485F" w:rsidP="00110D1C" w14:paraId="713B4D37"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 xml:space="preserve">Cena celkem </w:t>
            </w:r>
            <w:r w:rsidRPr="00110D1C">
              <w:rPr>
                <w:rFonts w:ascii="Arial" w:eastAsia="Times New Roman" w:hAnsi="Arial" w:cs="Arial"/>
                <w:b/>
                <w:bCs/>
                <w:sz w:val="20"/>
                <w:szCs w:val="20"/>
                <w:lang w:eastAsia="cs-CZ"/>
              </w:rPr>
              <w:br/>
              <w:t xml:space="preserve">v Kč </w:t>
            </w:r>
          </w:p>
          <w:p w:rsidR="00110D1C" w:rsidRPr="00110D1C" w:rsidP="00110D1C" w14:paraId="6D1A2610" w14:textId="7D6A4739">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včetně DPH</w:t>
            </w:r>
          </w:p>
        </w:tc>
      </w:tr>
      <w:tr w14:paraId="669F4849" w14:textId="77777777" w:rsidTr="007B485F">
        <w:tblPrEx>
          <w:tblW w:w="10774" w:type="dxa"/>
          <w:tblInd w:w="-851" w:type="dxa"/>
          <w:tblCellMar>
            <w:left w:w="70" w:type="dxa"/>
            <w:right w:w="70" w:type="dxa"/>
          </w:tblCellMar>
          <w:tblLook w:val="04A0"/>
        </w:tblPrEx>
        <w:trPr>
          <w:trHeight w:val="79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D1C" w:rsidRPr="00110D1C" w:rsidP="00110D1C" w14:paraId="06FB3643" w14:textId="77777777">
            <w:pPr>
              <w:spacing w:after="0" w:line="240" w:lineRule="auto"/>
              <w:rPr>
                <w:rFonts w:ascii="Arial" w:eastAsia="Times New Roman" w:hAnsi="Arial" w:cs="Arial"/>
                <w:sz w:val="20"/>
                <w:szCs w:val="20"/>
                <w:lang w:eastAsia="cs-CZ"/>
              </w:rPr>
            </w:pPr>
            <w:r w:rsidRPr="00110D1C">
              <w:rPr>
                <w:rFonts w:ascii="Arial" w:eastAsia="Times New Roman" w:hAnsi="Arial" w:cs="Arial"/>
                <w:sz w:val="20"/>
                <w:szCs w:val="20"/>
                <w:lang w:eastAsia="cs-CZ"/>
              </w:rPr>
              <w:t xml:space="preserve">P-VBO365-0U-SU3YP-00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6E5D4CE7" w14:textId="77777777">
            <w:pPr>
              <w:spacing w:after="0" w:line="240" w:lineRule="auto"/>
              <w:rPr>
                <w:rFonts w:ascii="Arial" w:eastAsia="Times New Roman" w:hAnsi="Arial" w:cs="Arial"/>
                <w:sz w:val="20"/>
                <w:szCs w:val="20"/>
                <w:lang w:eastAsia="cs-CZ"/>
              </w:rPr>
            </w:pPr>
            <w:r w:rsidRPr="00110D1C">
              <w:rPr>
                <w:rFonts w:ascii="Arial" w:eastAsia="Times New Roman" w:hAnsi="Arial" w:cs="Arial"/>
                <w:sz w:val="20"/>
                <w:szCs w:val="20"/>
                <w:lang w:eastAsia="cs-CZ"/>
              </w:rPr>
              <w:t>licence k užívání zálohovacího software prostředí vládního tenantu O365 na dobu 36 měsíců</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0C5C2C56" w14:textId="77777777">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471DA0CE" w14:textId="4A50B9F9">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1060</w:t>
            </w:r>
            <w:r>
              <w:rPr>
                <w:rFonts w:ascii="Arial" w:eastAsia="Times New Roman" w:hAnsi="Arial" w:cs="Arial"/>
                <w:sz w:val="20"/>
                <w:szCs w:val="20"/>
                <w:lang w:eastAsia="cs-CZ"/>
              </w:rPr>
              <w:t>,00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56AED634" w14:textId="77777777">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0C5C5ACA" w14:textId="77777777">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795 000,00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10D1C" w:rsidRPr="00110D1C" w:rsidP="00110D1C" w14:paraId="4E13BF50" w14:textId="77777777">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961 950,00</w:t>
            </w:r>
          </w:p>
        </w:tc>
      </w:tr>
      <w:tr w14:paraId="49A00C22" w14:textId="77777777" w:rsidTr="007B485F">
        <w:tblPrEx>
          <w:tblW w:w="10774" w:type="dxa"/>
          <w:tblInd w:w="-851" w:type="dxa"/>
          <w:tblCellMar>
            <w:left w:w="70" w:type="dxa"/>
            <w:right w:w="70" w:type="dxa"/>
          </w:tblCellMar>
          <w:tblLook w:val="04A0"/>
        </w:tblPrEx>
        <w:trPr>
          <w:trHeight w:val="288"/>
        </w:trPr>
        <w:tc>
          <w:tcPr>
            <w:tcW w:w="8218" w:type="dxa"/>
            <w:gridSpan w:val="5"/>
            <w:tcBorders>
              <w:top w:val="single" w:sz="4" w:space="0" w:color="auto"/>
              <w:left w:val="single" w:sz="4" w:space="0" w:color="auto"/>
              <w:bottom w:val="single" w:sz="4" w:space="0" w:color="auto"/>
              <w:right w:val="nil"/>
            </w:tcBorders>
            <w:shd w:val="clear" w:color="auto" w:fill="auto"/>
            <w:noWrap/>
            <w:vAlign w:val="bottom"/>
            <w:hideMark/>
          </w:tcPr>
          <w:p w:rsidR="00110D1C" w:rsidRPr="00110D1C" w:rsidP="00110D1C" w14:paraId="07A50BC3" w14:textId="34CE5A3D">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C</w:t>
            </w:r>
            <w:r w:rsidRPr="00110D1C">
              <w:rPr>
                <w:rFonts w:ascii="Arial" w:eastAsia="Times New Roman" w:hAnsi="Arial" w:cs="Arial"/>
                <w:b/>
                <w:bCs/>
                <w:sz w:val="20"/>
                <w:szCs w:val="20"/>
                <w:lang w:eastAsia="cs-CZ"/>
              </w:rPr>
              <w:t>ena celkem</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10D1C" w:rsidRPr="00110D1C" w:rsidP="00110D1C" w14:paraId="61C0F940" w14:textId="77777777">
            <w:pPr>
              <w:spacing w:after="0" w:line="240" w:lineRule="auto"/>
              <w:jc w:val="center"/>
              <w:rPr>
                <w:rFonts w:ascii="Arial" w:eastAsia="Times New Roman" w:hAnsi="Arial" w:cs="Arial"/>
                <w:sz w:val="20"/>
                <w:szCs w:val="20"/>
                <w:lang w:eastAsia="cs-CZ"/>
              </w:rPr>
            </w:pPr>
            <w:r w:rsidRPr="00110D1C">
              <w:rPr>
                <w:rFonts w:ascii="Arial" w:eastAsia="Times New Roman" w:hAnsi="Arial" w:cs="Arial"/>
                <w:sz w:val="20"/>
                <w:szCs w:val="20"/>
                <w:lang w:eastAsia="cs-CZ"/>
              </w:rPr>
              <w:t>795 000,00</w:t>
            </w:r>
          </w:p>
        </w:tc>
        <w:tc>
          <w:tcPr>
            <w:tcW w:w="1281" w:type="dxa"/>
            <w:tcBorders>
              <w:top w:val="nil"/>
              <w:left w:val="nil"/>
              <w:bottom w:val="single" w:sz="4" w:space="0" w:color="auto"/>
              <w:right w:val="single" w:sz="4" w:space="0" w:color="auto"/>
            </w:tcBorders>
            <w:shd w:val="clear" w:color="auto" w:fill="auto"/>
            <w:vAlign w:val="bottom"/>
            <w:hideMark/>
          </w:tcPr>
          <w:p w:rsidR="00110D1C" w:rsidRPr="00110D1C" w:rsidP="00110D1C" w14:paraId="4326FC0B" w14:textId="77777777">
            <w:pPr>
              <w:spacing w:after="0" w:line="240" w:lineRule="auto"/>
              <w:jc w:val="center"/>
              <w:rPr>
                <w:rFonts w:ascii="Arial" w:eastAsia="Times New Roman" w:hAnsi="Arial" w:cs="Arial"/>
                <w:b/>
                <w:bCs/>
                <w:sz w:val="20"/>
                <w:szCs w:val="20"/>
                <w:lang w:eastAsia="cs-CZ"/>
              </w:rPr>
            </w:pPr>
            <w:r w:rsidRPr="00110D1C">
              <w:rPr>
                <w:rFonts w:ascii="Arial" w:eastAsia="Times New Roman" w:hAnsi="Arial" w:cs="Arial"/>
                <w:b/>
                <w:bCs/>
                <w:sz w:val="20"/>
                <w:szCs w:val="20"/>
                <w:lang w:eastAsia="cs-CZ"/>
              </w:rPr>
              <w:t>961 950,00</w:t>
            </w:r>
          </w:p>
        </w:tc>
      </w:tr>
      <w:tr w14:paraId="2E885D34" w14:textId="77777777" w:rsidTr="007B485F">
        <w:tblPrEx>
          <w:tblW w:w="10774" w:type="dxa"/>
          <w:tblInd w:w="-851" w:type="dxa"/>
          <w:tblCellMar>
            <w:left w:w="70" w:type="dxa"/>
            <w:right w:w="70" w:type="dxa"/>
          </w:tblCellMar>
          <w:tblLook w:val="04A0"/>
        </w:tblPrEx>
        <w:trPr>
          <w:trHeight w:val="288"/>
        </w:trPr>
        <w:tc>
          <w:tcPr>
            <w:tcW w:w="2552" w:type="dxa"/>
            <w:tcBorders>
              <w:top w:val="nil"/>
              <w:left w:val="nil"/>
              <w:bottom w:val="nil"/>
              <w:right w:val="nil"/>
            </w:tcBorders>
            <w:shd w:val="clear" w:color="auto" w:fill="auto"/>
            <w:noWrap/>
            <w:vAlign w:val="bottom"/>
            <w:hideMark/>
          </w:tcPr>
          <w:p w:rsidR="00110D1C" w:rsidRPr="00110D1C" w:rsidP="00110D1C" w14:paraId="1BFE61E6" w14:textId="77777777">
            <w:pPr>
              <w:spacing w:after="0" w:line="240" w:lineRule="auto"/>
              <w:jc w:val="center"/>
              <w:rPr>
                <w:rFonts w:ascii="Arial" w:eastAsia="Times New Roman" w:hAnsi="Arial" w:cs="Arial"/>
                <w:b/>
                <w:bCs/>
                <w:sz w:val="20"/>
                <w:szCs w:val="20"/>
                <w:lang w:eastAsia="cs-CZ"/>
              </w:rPr>
            </w:pPr>
          </w:p>
        </w:tc>
        <w:tc>
          <w:tcPr>
            <w:tcW w:w="2410" w:type="dxa"/>
            <w:tcBorders>
              <w:top w:val="nil"/>
              <w:left w:val="nil"/>
              <w:bottom w:val="nil"/>
              <w:right w:val="nil"/>
            </w:tcBorders>
            <w:shd w:val="clear" w:color="auto" w:fill="auto"/>
            <w:noWrap/>
            <w:vAlign w:val="bottom"/>
            <w:hideMark/>
          </w:tcPr>
          <w:p w:rsidR="00110D1C" w:rsidRPr="00110D1C" w:rsidP="00110D1C" w14:paraId="08FE7D77" w14:textId="77777777">
            <w:pPr>
              <w:spacing w:after="0" w:line="240" w:lineRule="auto"/>
              <w:jc w:val="center"/>
              <w:rPr>
                <w:rFonts w:ascii="Times New Roman" w:eastAsia="Times New Roman" w:hAnsi="Times New Roman" w:cs="Times New Roman"/>
                <w:sz w:val="20"/>
                <w:szCs w:val="20"/>
                <w:lang w:eastAsia="cs-CZ"/>
              </w:rPr>
            </w:pPr>
          </w:p>
        </w:tc>
        <w:tc>
          <w:tcPr>
            <w:tcW w:w="1119" w:type="dxa"/>
            <w:tcBorders>
              <w:top w:val="nil"/>
              <w:left w:val="nil"/>
              <w:bottom w:val="nil"/>
              <w:right w:val="nil"/>
            </w:tcBorders>
            <w:shd w:val="clear" w:color="auto" w:fill="auto"/>
            <w:noWrap/>
            <w:vAlign w:val="bottom"/>
            <w:hideMark/>
          </w:tcPr>
          <w:p w:rsidR="00110D1C" w:rsidRPr="00110D1C" w:rsidP="00110D1C" w14:paraId="261FE798" w14:textId="77777777">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rsidR="00110D1C" w:rsidRPr="00110D1C" w:rsidP="00110D1C" w14:paraId="31046FE3" w14:textId="77777777">
            <w:pPr>
              <w:spacing w:after="0" w:line="240" w:lineRule="auto"/>
              <w:jc w:val="center"/>
              <w:rPr>
                <w:rFonts w:ascii="Times New Roman" w:eastAsia="Times New Roman" w:hAnsi="Times New Roman" w:cs="Times New Roman"/>
                <w:sz w:val="20"/>
                <w:szCs w:val="20"/>
                <w:lang w:eastAsia="cs-CZ"/>
              </w:rPr>
            </w:pPr>
          </w:p>
        </w:tc>
        <w:tc>
          <w:tcPr>
            <w:tcW w:w="719" w:type="dxa"/>
            <w:tcBorders>
              <w:top w:val="nil"/>
              <w:left w:val="nil"/>
              <w:bottom w:val="nil"/>
              <w:right w:val="nil"/>
            </w:tcBorders>
            <w:shd w:val="clear" w:color="auto" w:fill="auto"/>
            <w:noWrap/>
            <w:vAlign w:val="bottom"/>
            <w:hideMark/>
          </w:tcPr>
          <w:p w:rsidR="00110D1C" w:rsidRPr="00110D1C" w:rsidP="00110D1C" w14:paraId="12451DC0" w14:textId="77777777">
            <w:pPr>
              <w:spacing w:after="0" w:line="240" w:lineRule="auto"/>
              <w:jc w:val="center"/>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rsidR="00110D1C" w:rsidRPr="00110D1C" w:rsidP="00110D1C" w14:paraId="009310C4" w14:textId="77777777">
            <w:pPr>
              <w:spacing w:after="0" w:line="240" w:lineRule="auto"/>
              <w:jc w:val="center"/>
              <w:rPr>
                <w:rFonts w:ascii="Times New Roman" w:eastAsia="Times New Roman" w:hAnsi="Times New Roman" w:cs="Times New Roman"/>
                <w:sz w:val="20"/>
                <w:szCs w:val="20"/>
                <w:lang w:eastAsia="cs-CZ"/>
              </w:rPr>
            </w:pPr>
          </w:p>
        </w:tc>
        <w:tc>
          <w:tcPr>
            <w:tcW w:w="1281" w:type="dxa"/>
            <w:tcBorders>
              <w:top w:val="nil"/>
              <w:left w:val="nil"/>
              <w:bottom w:val="nil"/>
              <w:right w:val="nil"/>
            </w:tcBorders>
            <w:shd w:val="clear" w:color="auto" w:fill="auto"/>
            <w:vAlign w:val="bottom"/>
            <w:hideMark/>
          </w:tcPr>
          <w:p w:rsidR="00110D1C" w:rsidRPr="00110D1C" w:rsidP="00110D1C" w14:paraId="24F6E3A8" w14:textId="77777777">
            <w:pPr>
              <w:spacing w:after="0" w:line="240" w:lineRule="auto"/>
              <w:rPr>
                <w:rFonts w:ascii="Times New Roman" w:eastAsia="Times New Roman" w:hAnsi="Times New Roman" w:cs="Times New Roman"/>
                <w:sz w:val="20"/>
                <w:szCs w:val="20"/>
                <w:lang w:eastAsia="cs-CZ"/>
              </w:rPr>
            </w:pPr>
          </w:p>
        </w:tc>
      </w:tr>
      <w:tr w14:paraId="1A1AE7C9" w14:textId="77777777" w:rsidTr="00110D1C">
        <w:tblPrEx>
          <w:tblW w:w="10774" w:type="dxa"/>
          <w:tblInd w:w="-851" w:type="dxa"/>
          <w:tblCellMar>
            <w:left w:w="70" w:type="dxa"/>
            <w:right w:w="70" w:type="dxa"/>
          </w:tblCellMar>
          <w:tblLook w:val="04A0"/>
        </w:tblPrEx>
        <w:trPr>
          <w:trHeight w:val="795"/>
        </w:trPr>
        <w:tc>
          <w:tcPr>
            <w:tcW w:w="10774" w:type="dxa"/>
            <w:gridSpan w:val="7"/>
            <w:tcBorders>
              <w:top w:val="nil"/>
              <w:left w:val="nil"/>
              <w:bottom w:val="nil"/>
              <w:right w:val="nil"/>
            </w:tcBorders>
            <w:shd w:val="clear" w:color="auto" w:fill="auto"/>
            <w:vAlign w:val="bottom"/>
            <w:hideMark/>
          </w:tcPr>
          <w:p w:rsidR="00110D1C" w:rsidRPr="00110D1C" w:rsidP="00110D1C" w14:paraId="406C6992" w14:textId="0228122B">
            <w:pPr>
              <w:spacing w:after="0" w:line="240" w:lineRule="auto"/>
              <w:rPr>
                <w:rFonts w:ascii="Arial" w:eastAsia="Times New Roman" w:hAnsi="Arial" w:cs="Arial"/>
                <w:sz w:val="20"/>
                <w:szCs w:val="20"/>
                <w:lang w:eastAsia="cs-CZ"/>
              </w:rPr>
            </w:pPr>
            <w:r w:rsidRPr="00110D1C">
              <w:rPr>
                <w:rFonts w:ascii="Arial" w:eastAsia="Times New Roman" w:hAnsi="Arial" w:cs="Arial"/>
                <w:sz w:val="20"/>
                <w:szCs w:val="20"/>
                <w:lang w:eastAsia="cs-CZ"/>
              </w:rPr>
              <w:t xml:space="preserve">Cena bez DPH zahrnuje veškeré náklady dodavatele na realizaci předmětu plnění této veřejné zakázky v rozsahu dle čl. 2.3 výzvy k podání nabídky a </w:t>
            </w:r>
            <w:r w:rsidR="00825E02">
              <w:rPr>
                <w:rFonts w:ascii="Arial" w:eastAsia="Times New Roman" w:hAnsi="Arial" w:cs="Arial"/>
                <w:sz w:val="20"/>
                <w:szCs w:val="20"/>
                <w:lang w:eastAsia="cs-CZ"/>
              </w:rPr>
              <w:t xml:space="preserve">této </w:t>
            </w:r>
            <w:r w:rsidRPr="00110D1C">
              <w:rPr>
                <w:rFonts w:ascii="Arial" w:eastAsia="Times New Roman" w:hAnsi="Arial" w:cs="Arial"/>
                <w:sz w:val="20"/>
                <w:szCs w:val="20"/>
                <w:lang w:eastAsia="cs-CZ"/>
              </w:rPr>
              <w:t>smlouvy</w:t>
            </w:r>
            <w:r w:rsidR="00825E02">
              <w:rPr>
                <w:rFonts w:ascii="Arial" w:eastAsia="Times New Roman" w:hAnsi="Arial" w:cs="Arial"/>
                <w:sz w:val="20"/>
                <w:szCs w:val="20"/>
                <w:lang w:eastAsia="cs-CZ"/>
              </w:rPr>
              <w:t>.</w:t>
            </w:r>
          </w:p>
        </w:tc>
      </w:tr>
    </w:tbl>
    <w:p w:rsidR="00844349" w:rsidP="008A5149" w14:paraId="204C4A84" w14:textId="77777777">
      <w:pPr>
        <w:rPr>
          <w:rFonts w:ascii="Arial" w:hAnsi="Arial" w:cs="Arial"/>
        </w:rPr>
      </w:pPr>
    </w:p>
    <w:p w:rsidR="00844349" w:rsidP="008A5149" w14:paraId="29D36EF7" w14:textId="77777777">
      <w:pPr>
        <w:rPr>
          <w:rFonts w:ascii="Arial" w:hAnsi="Arial" w:cs="Arial"/>
        </w:rPr>
      </w:pPr>
    </w:p>
    <w:p w:rsidR="00844349" w:rsidP="008A5149" w14:paraId="2F54B85F" w14:textId="77777777">
      <w:pPr>
        <w:rPr>
          <w:rFonts w:ascii="Arial" w:hAnsi="Arial" w:cs="Arial"/>
        </w:rPr>
      </w:pPr>
    </w:p>
    <w:p w:rsidR="00CD0C6C" w:rsidP="008A5149" w14:paraId="3D27D977" w14:textId="77777777">
      <w:pPr>
        <w:rPr>
          <w:rFonts w:ascii="Arial" w:hAnsi="Arial" w:cs="Arial"/>
        </w:rPr>
      </w:pPr>
    </w:p>
    <w:p w:rsidR="00CD0C6C" w:rsidP="008A5149" w14:paraId="5806EB38" w14:textId="77777777">
      <w:pPr>
        <w:rPr>
          <w:rFonts w:ascii="Arial" w:hAnsi="Arial" w:cs="Arial"/>
        </w:rPr>
      </w:pPr>
    </w:p>
    <w:p w:rsidR="00CD0C6C" w:rsidP="008A5149" w14:paraId="2B67D226" w14:textId="77777777">
      <w:pPr>
        <w:rPr>
          <w:rFonts w:ascii="Arial" w:hAnsi="Arial" w:cs="Arial"/>
        </w:rPr>
      </w:pPr>
    </w:p>
    <w:p w:rsidR="00CD0C6C" w:rsidP="008A5149" w14:paraId="150D066D" w14:textId="77777777">
      <w:pPr>
        <w:rPr>
          <w:rFonts w:ascii="Arial" w:hAnsi="Arial" w:cs="Arial"/>
        </w:rPr>
      </w:pPr>
    </w:p>
    <w:p w:rsidR="00CD0C6C" w:rsidP="008A5149" w14:paraId="62A2452F" w14:textId="77777777">
      <w:pPr>
        <w:rPr>
          <w:rFonts w:ascii="Arial" w:hAnsi="Arial" w:cs="Arial"/>
        </w:rPr>
      </w:pPr>
    </w:p>
    <w:p w:rsidR="00CD0C6C" w:rsidP="008A5149" w14:paraId="226F1795" w14:textId="77777777">
      <w:pPr>
        <w:rPr>
          <w:rFonts w:ascii="Arial" w:hAnsi="Arial" w:cs="Arial"/>
        </w:rPr>
      </w:pPr>
    </w:p>
    <w:p w:rsidR="00CD0C6C" w:rsidP="008A5149" w14:paraId="6229AE50" w14:textId="77777777">
      <w:pPr>
        <w:rPr>
          <w:rFonts w:ascii="Arial" w:hAnsi="Arial" w:cs="Arial"/>
        </w:rPr>
      </w:pPr>
    </w:p>
    <w:p w:rsidR="00CD0C6C" w:rsidP="008A5149" w14:paraId="4F0E95BC" w14:textId="77777777">
      <w:pPr>
        <w:rPr>
          <w:rFonts w:ascii="Arial" w:hAnsi="Arial" w:cs="Arial"/>
        </w:rPr>
      </w:pPr>
    </w:p>
    <w:p w:rsidR="00CD0C6C" w:rsidP="008A5149" w14:paraId="105FC641" w14:textId="77777777">
      <w:pPr>
        <w:rPr>
          <w:rFonts w:ascii="Arial" w:hAnsi="Arial" w:cs="Arial"/>
        </w:rPr>
      </w:pPr>
    </w:p>
    <w:p w:rsidR="00CD0C6C" w:rsidP="008A5149" w14:paraId="1174C5FF" w14:textId="77777777">
      <w:pPr>
        <w:rPr>
          <w:rFonts w:ascii="Arial" w:hAnsi="Arial" w:cs="Arial"/>
        </w:rPr>
      </w:pPr>
    </w:p>
    <w:p w:rsidR="00CD0C6C" w:rsidP="008A5149" w14:paraId="712990AB" w14:textId="77777777">
      <w:pPr>
        <w:rPr>
          <w:rFonts w:ascii="Arial" w:hAnsi="Arial" w:cs="Arial"/>
        </w:rPr>
      </w:pPr>
    </w:p>
    <w:p w:rsidR="007B485F" w:rsidP="008A5149" w14:paraId="49E619EF" w14:textId="77777777">
      <w:pPr>
        <w:rPr>
          <w:rFonts w:ascii="Arial" w:hAnsi="Arial" w:cs="Arial"/>
        </w:rPr>
        <w:sectPr w:rsidSect="00FC482F">
          <w:pgSz w:w="11906" w:h="16838"/>
          <w:pgMar w:top="1417" w:right="1417" w:bottom="1417" w:left="1417" w:header="708" w:footer="708" w:gutter="0"/>
          <w:cols w:space="708"/>
          <w:docGrid w:linePitch="360"/>
        </w:sectPr>
      </w:pPr>
    </w:p>
    <w:p w:rsidR="00CD0C6C" w:rsidP="008A5149" w14:paraId="16515CDC" w14:textId="77777777">
      <w:pPr>
        <w:rPr>
          <w:rFonts w:ascii="Arial" w:hAnsi="Arial" w:cs="Arial"/>
        </w:rPr>
      </w:pPr>
    </w:p>
    <w:p w:rsidR="00110D1C" w:rsidRPr="00110D1C" w:rsidP="00110D1C" w14:paraId="0B40C19F" w14:textId="77777777">
      <w:pPr>
        <w:keepNext/>
        <w:spacing w:after="120" w:line="240" w:lineRule="auto"/>
        <w:jc w:val="center"/>
        <w:outlineLvl w:val="0"/>
        <w:rPr>
          <w:rFonts w:ascii="Arial" w:eastAsia="Calibri" w:hAnsi="Arial" w:cs="Arial"/>
          <w:b/>
          <w:bCs/>
          <w:kern w:val="32"/>
          <w:sz w:val="26"/>
          <w:szCs w:val="26"/>
          <w:lang w:eastAsia="cs-CZ"/>
        </w:rPr>
      </w:pPr>
      <w:r w:rsidRPr="00110D1C">
        <w:rPr>
          <w:rFonts w:ascii="Arial" w:eastAsia="Calibri" w:hAnsi="Arial" w:cs="Arial"/>
          <w:b/>
          <w:bCs/>
          <w:kern w:val="32"/>
          <w:sz w:val="26"/>
          <w:szCs w:val="26"/>
          <w:lang w:eastAsia="cs-CZ"/>
        </w:rPr>
        <w:t>Technická specifikace</w:t>
      </w:r>
    </w:p>
    <w:p w:rsidR="00110D1C" w:rsidRPr="00110D1C" w:rsidP="00110D1C" w14:paraId="072C84AA" w14:textId="77777777">
      <w:pPr>
        <w:spacing w:after="0" w:line="240" w:lineRule="auto"/>
        <w:jc w:val="both"/>
        <w:rPr>
          <w:rFonts w:ascii="Arial" w:eastAsia="Times New Roman" w:hAnsi="Arial" w:cs="Arial"/>
          <w:i/>
          <w:color w:val="000000"/>
          <w:lang w:eastAsia="cs-CZ"/>
        </w:rPr>
      </w:pPr>
    </w:p>
    <w:p w:rsidR="00110D1C" w:rsidRPr="00110D1C" w:rsidP="00110D1C" w14:paraId="51EA1565" w14:textId="77777777">
      <w:pPr>
        <w:spacing w:after="0" w:line="240" w:lineRule="auto"/>
        <w:jc w:val="both"/>
        <w:rPr>
          <w:rFonts w:ascii="Arial" w:eastAsia="MS Mincho" w:hAnsi="Arial" w:cs="Arial"/>
          <w:bCs/>
          <w:iCs/>
          <w:lang w:eastAsia="ja-JP"/>
        </w:rPr>
      </w:pPr>
      <w:r w:rsidRPr="00110D1C">
        <w:rPr>
          <w:rFonts w:ascii="Arial" w:eastAsia="MS Mincho" w:hAnsi="Arial" w:cs="Arial"/>
          <w:bCs/>
          <w:iCs/>
          <w:lang w:eastAsia="ja-JP"/>
        </w:rPr>
        <w:t xml:space="preserve">Předmětem veřejné zakázky je pořízení časově a množstevně omezené </w:t>
      </w:r>
      <w:r w:rsidRPr="00110D1C">
        <w:rPr>
          <w:rFonts w:ascii="Arial" w:eastAsia="MS Mincho" w:hAnsi="Arial" w:cs="Arial"/>
          <w:b/>
          <w:iCs/>
          <w:lang w:eastAsia="ja-JP"/>
        </w:rPr>
        <w:t>licence k užívání zálohovacího software prostředí vládního tenantu O365</w:t>
      </w:r>
      <w:r w:rsidRPr="00110D1C">
        <w:rPr>
          <w:rFonts w:ascii="Arial" w:eastAsia="MS Mincho" w:hAnsi="Arial" w:cs="Arial"/>
          <w:bCs/>
          <w:iCs/>
          <w:lang w:eastAsia="ja-JP"/>
        </w:rPr>
        <w:t xml:space="preserve">, a to </w:t>
      </w:r>
      <w:r w:rsidRPr="00110D1C">
        <w:rPr>
          <w:rFonts w:ascii="Arial" w:eastAsia="MS Mincho" w:hAnsi="Arial" w:cs="Arial"/>
          <w:b/>
          <w:iCs/>
          <w:lang w:eastAsia="ja-JP"/>
        </w:rPr>
        <w:t>na dobu 36 měsíců pro 750 uživatelů</w:t>
      </w:r>
      <w:r w:rsidRPr="00110D1C">
        <w:rPr>
          <w:rFonts w:ascii="Arial" w:eastAsia="MS Mincho" w:hAnsi="Arial" w:cs="Arial"/>
          <w:bCs/>
          <w:iCs/>
          <w:lang w:eastAsia="ja-JP"/>
        </w:rPr>
        <w:t>.</w:t>
      </w:r>
    </w:p>
    <w:p w:rsidR="00110D1C" w:rsidRPr="00110D1C" w:rsidP="00110D1C" w14:paraId="1C43A0E8" w14:textId="77777777">
      <w:pPr>
        <w:spacing w:after="0" w:line="240" w:lineRule="auto"/>
        <w:jc w:val="both"/>
        <w:rPr>
          <w:rFonts w:ascii="Arial" w:eastAsia="MS Mincho" w:hAnsi="Arial" w:cs="Arial"/>
          <w:bCs/>
          <w:iCs/>
          <w:lang w:eastAsia="ja-JP"/>
        </w:rPr>
      </w:pPr>
    </w:p>
    <w:p w:rsidR="00110D1C" w:rsidRPr="00110D1C" w:rsidP="00110D1C" w14:paraId="69809642" w14:textId="77777777">
      <w:pPr>
        <w:spacing w:after="0" w:line="240" w:lineRule="auto"/>
        <w:jc w:val="both"/>
        <w:rPr>
          <w:rFonts w:ascii="Arial" w:eastAsia="MS Mincho" w:hAnsi="Arial" w:cs="Arial"/>
          <w:bCs/>
          <w:iCs/>
          <w:lang w:eastAsia="ja-JP"/>
        </w:rPr>
      </w:pPr>
      <w:r w:rsidRPr="00110D1C">
        <w:rPr>
          <w:rFonts w:ascii="Arial" w:eastAsia="MS Mincho" w:hAnsi="Arial" w:cs="Arial"/>
          <w:bCs/>
          <w:iCs/>
          <w:lang w:eastAsia="ja-JP"/>
        </w:rPr>
        <w:t>Zálohovací software prostředí vládního tenantu O365 umožní zálohování dat z vládního tenantu O365 do on-premises zálohovacího systému a bude sloužit k ochraně dat a zajištění jejich dostupnosti v případě selhání nebo kybernetického útoku.</w:t>
      </w:r>
    </w:p>
    <w:p w:rsidR="00110D1C" w:rsidRPr="00110D1C" w:rsidP="00110D1C" w14:paraId="051141BD" w14:textId="77777777">
      <w:pPr>
        <w:spacing w:after="0" w:line="240" w:lineRule="auto"/>
        <w:jc w:val="both"/>
        <w:rPr>
          <w:rFonts w:ascii="Arial" w:eastAsia="MS Mincho" w:hAnsi="Arial" w:cs="Arial"/>
          <w:bCs/>
          <w:iCs/>
          <w:lang w:eastAsia="ja-JP"/>
        </w:rPr>
      </w:pPr>
    </w:p>
    <w:p w:rsidR="00110D1C" w:rsidRPr="00110D1C" w:rsidP="00110D1C" w14:paraId="0213A863" w14:textId="77777777">
      <w:pPr>
        <w:spacing w:after="0" w:line="240" w:lineRule="auto"/>
        <w:jc w:val="both"/>
        <w:rPr>
          <w:rFonts w:ascii="Arial" w:eastAsia="MS Mincho" w:hAnsi="Arial" w:cs="Arial"/>
          <w:b/>
          <w:bCs/>
          <w:i/>
          <w:sz w:val="20"/>
          <w:szCs w:val="20"/>
          <w:lang w:eastAsia="ja-JP"/>
        </w:rPr>
      </w:pPr>
      <w:r w:rsidRPr="00110D1C">
        <w:rPr>
          <w:rFonts w:ascii="Arial" w:eastAsia="MS Mincho" w:hAnsi="Arial" w:cs="Arial"/>
          <w:bCs/>
          <w:i/>
          <w:sz w:val="20"/>
          <w:szCs w:val="20"/>
          <w:lang w:eastAsia="ja-JP"/>
        </w:rPr>
        <w:t xml:space="preserve">Součástí plnění veřejné zakázky </w:t>
      </w:r>
      <w:r w:rsidRPr="00110D1C">
        <w:rPr>
          <w:rFonts w:ascii="Arial" w:eastAsia="MS Mincho" w:hAnsi="Arial" w:cs="Arial"/>
          <w:bCs/>
          <w:i/>
          <w:sz w:val="20"/>
          <w:szCs w:val="20"/>
          <w:u w:val="single"/>
          <w:lang w:eastAsia="ja-JP"/>
        </w:rPr>
        <w:t>nebude</w:t>
      </w:r>
      <w:r w:rsidRPr="00110D1C">
        <w:rPr>
          <w:rFonts w:ascii="Arial" w:eastAsia="MS Mincho" w:hAnsi="Arial" w:cs="Arial"/>
          <w:bCs/>
          <w:i/>
          <w:sz w:val="20"/>
          <w:szCs w:val="20"/>
          <w:lang w:eastAsia="ja-JP"/>
        </w:rPr>
        <w:t xml:space="preserve"> úložiště a cloudový server, kam budou zálohy ukládány pro rychlejší obnovu a optimalizaci stahování dat z online do on-premises prostředí. </w:t>
      </w:r>
    </w:p>
    <w:p w:rsidR="00110D1C" w:rsidRPr="00110D1C" w:rsidP="00110D1C" w14:paraId="472F7E55" w14:textId="77777777">
      <w:pPr>
        <w:spacing w:after="0" w:line="240" w:lineRule="auto"/>
        <w:jc w:val="both"/>
        <w:rPr>
          <w:rFonts w:ascii="Calibri" w:eastAsia="MS Mincho" w:hAnsi="Calibri" w:cs="Calibri"/>
          <w:sz w:val="24"/>
          <w:szCs w:val="24"/>
          <w:lang w:eastAsia="ja-JP"/>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1276"/>
        <w:gridCol w:w="2693"/>
      </w:tblGrid>
      <w:tr w14:paraId="38B9C87B" w14:textId="77777777" w:rsidTr="000A08BB">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4"/>
        </w:trPr>
        <w:tc>
          <w:tcPr>
            <w:tcW w:w="9356" w:type="dxa"/>
            <w:gridSpan w:val="3"/>
            <w:shd w:val="clear" w:color="auto" w:fill="A6A6A6"/>
            <w:vAlign w:val="center"/>
          </w:tcPr>
          <w:p w:rsidR="00110D1C" w:rsidRPr="00110D1C" w:rsidP="00110D1C" w14:paraId="040E6EB5" w14:textId="77777777">
            <w:pPr>
              <w:spacing w:after="0" w:line="120" w:lineRule="atLeast"/>
              <w:jc w:val="center"/>
              <w:rPr>
                <w:rFonts w:ascii="Arial" w:eastAsia="Calibri" w:hAnsi="Arial" w:cs="Arial"/>
                <w:b/>
              </w:rPr>
            </w:pPr>
            <w:r w:rsidRPr="00110D1C">
              <w:rPr>
                <w:rFonts w:ascii="Arial" w:eastAsia="Calibri" w:hAnsi="Arial" w:cs="Arial"/>
                <w:b/>
              </w:rPr>
              <w:t>Specifikace zálohovacího software prostředí vládního tenantu O365</w:t>
            </w:r>
          </w:p>
        </w:tc>
      </w:tr>
      <w:tr w14:paraId="3A8FEB2D" w14:textId="77777777" w:rsidTr="00A8765E">
        <w:tblPrEx>
          <w:tblW w:w="9356" w:type="dxa"/>
          <w:tblInd w:w="-5" w:type="dxa"/>
          <w:tblLayout w:type="fixed"/>
          <w:tblLook w:val="04A0"/>
        </w:tblPrEx>
        <w:trPr>
          <w:cantSplit/>
          <w:trHeight w:val="851"/>
        </w:trPr>
        <w:tc>
          <w:tcPr>
            <w:tcW w:w="5387" w:type="dxa"/>
            <w:shd w:val="clear" w:color="auto" w:fill="auto"/>
            <w:vAlign w:val="center"/>
          </w:tcPr>
          <w:p w:rsidR="00110D1C" w:rsidRPr="00110D1C" w:rsidP="00110D1C" w14:paraId="4A4CEF66" w14:textId="77777777">
            <w:pPr>
              <w:spacing w:after="0" w:line="120" w:lineRule="atLeast"/>
              <w:jc w:val="both"/>
              <w:rPr>
                <w:rFonts w:ascii="Arial" w:eastAsia="Calibri" w:hAnsi="Arial" w:cs="Arial"/>
                <w:b/>
                <w:sz w:val="20"/>
                <w:szCs w:val="20"/>
              </w:rPr>
            </w:pPr>
            <w:r w:rsidRPr="00110D1C">
              <w:rPr>
                <w:rFonts w:ascii="Arial" w:eastAsia="Calibri" w:hAnsi="Arial" w:cs="Arial"/>
                <w:sz w:val="20"/>
                <w:szCs w:val="20"/>
              </w:rPr>
              <w:t xml:space="preserve">Uvedení názvu nabízeného SW </w:t>
            </w:r>
          </w:p>
        </w:tc>
        <w:tc>
          <w:tcPr>
            <w:tcW w:w="3969" w:type="dxa"/>
            <w:gridSpan w:val="2"/>
            <w:shd w:val="clear" w:color="auto" w:fill="auto"/>
            <w:vAlign w:val="center"/>
          </w:tcPr>
          <w:p w:rsidR="00110D1C" w:rsidRPr="00110D1C" w:rsidP="00110D1C" w14:paraId="0488F84C" w14:textId="77777777">
            <w:pPr>
              <w:spacing w:after="0" w:line="120" w:lineRule="atLeast"/>
              <w:jc w:val="center"/>
              <w:rPr>
                <w:rFonts w:ascii="Arial" w:eastAsia="Calibri" w:hAnsi="Arial" w:cs="Arial"/>
                <w:b/>
                <w:sz w:val="20"/>
                <w:szCs w:val="20"/>
              </w:rPr>
            </w:pPr>
            <w:bookmarkStart w:id="3" w:name="_Hlk193869173"/>
            <w:r w:rsidRPr="00110D1C">
              <w:rPr>
                <w:rFonts w:ascii="Arial" w:eastAsia="Calibri" w:hAnsi="Arial" w:cs="Arial"/>
                <w:b/>
                <w:sz w:val="20"/>
                <w:szCs w:val="20"/>
              </w:rPr>
              <w:t>Veeam Backup for Microsoft 365</w:t>
            </w:r>
            <w:bookmarkEnd w:id="3"/>
            <w:r w:rsidRPr="00110D1C">
              <w:rPr>
                <w:rFonts w:ascii="Arial" w:eastAsia="Calibri" w:hAnsi="Arial" w:cs="Arial"/>
                <w:b/>
                <w:sz w:val="20"/>
                <w:szCs w:val="20"/>
              </w:rPr>
              <w:t xml:space="preserve"> (VBM365)</w:t>
            </w:r>
          </w:p>
          <w:p w:rsidR="00110D1C" w:rsidRPr="00110D1C" w:rsidP="00110D1C" w14:paraId="15AA1FBA" w14:textId="77777777">
            <w:pPr>
              <w:spacing w:after="0" w:line="120" w:lineRule="atLeast"/>
              <w:jc w:val="center"/>
              <w:rPr>
                <w:rFonts w:ascii="Arial" w:eastAsia="Calibri" w:hAnsi="Arial" w:cs="Arial"/>
                <w:b/>
                <w:sz w:val="20"/>
                <w:szCs w:val="20"/>
              </w:rPr>
            </w:pPr>
            <w:r w:rsidRPr="00110D1C">
              <w:rPr>
                <w:rFonts w:ascii="Arial" w:eastAsia="Calibri" w:hAnsi="Arial" w:cs="Arial"/>
                <w:b/>
                <w:sz w:val="20"/>
                <w:szCs w:val="20"/>
              </w:rPr>
              <w:t xml:space="preserve">3 Years Subscription </w:t>
            </w:r>
            <w:r w:rsidRPr="00110D1C">
              <w:rPr>
                <w:rFonts w:ascii="Arial" w:eastAsia="Calibri" w:hAnsi="Arial" w:cs="Arial"/>
                <w:b/>
                <w:sz w:val="20"/>
                <w:szCs w:val="20"/>
              </w:rPr>
              <w:br/>
              <w:t>Production (24/7) Support</w:t>
            </w:r>
          </w:p>
        </w:tc>
      </w:tr>
      <w:tr w14:paraId="782A2303" w14:textId="77777777" w:rsidTr="00A8765E">
        <w:tblPrEx>
          <w:tblW w:w="9356" w:type="dxa"/>
          <w:tblInd w:w="-5" w:type="dxa"/>
          <w:tblLayout w:type="fixed"/>
          <w:tblLook w:val="04A0"/>
        </w:tblPrEx>
        <w:trPr>
          <w:cantSplit/>
          <w:trHeight w:val="851"/>
        </w:trPr>
        <w:tc>
          <w:tcPr>
            <w:tcW w:w="5387" w:type="dxa"/>
            <w:shd w:val="clear" w:color="auto" w:fill="auto"/>
            <w:vAlign w:val="center"/>
          </w:tcPr>
          <w:p w:rsidR="00110D1C" w:rsidRPr="00110D1C" w:rsidP="00110D1C" w14:paraId="3E3DF790" w14:textId="77777777">
            <w:pPr>
              <w:spacing w:after="0" w:line="120" w:lineRule="atLeast"/>
              <w:jc w:val="both"/>
              <w:rPr>
                <w:rFonts w:ascii="Arial" w:eastAsia="Calibri" w:hAnsi="Arial" w:cs="Arial"/>
                <w:b/>
                <w:sz w:val="20"/>
                <w:szCs w:val="20"/>
              </w:rPr>
            </w:pPr>
            <w:r w:rsidRPr="00110D1C">
              <w:rPr>
                <w:rFonts w:ascii="Arial" w:eastAsia="Calibri" w:hAnsi="Arial" w:cs="Arial"/>
                <w:sz w:val="20"/>
                <w:szCs w:val="20"/>
              </w:rPr>
              <w:t xml:space="preserve">Uvedení odkazu na www stránky výrobce zařízení, kde je k dispozici detailní technická specifikace (DataSheet) v českém nebo anglickém jazyce </w:t>
            </w:r>
          </w:p>
        </w:tc>
        <w:tc>
          <w:tcPr>
            <w:tcW w:w="3969" w:type="dxa"/>
            <w:gridSpan w:val="2"/>
            <w:shd w:val="clear" w:color="auto" w:fill="auto"/>
            <w:vAlign w:val="center"/>
          </w:tcPr>
          <w:p w:rsidR="00110D1C" w:rsidRPr="00110D1C" w:rsidP="00110D1C" w14:paraId="6A4F1D76" w14:textId="77777777">
            <w:pPr>
              <w:spacing w:after="0" w:line="120" w:lineRule="atLeast"/>
              <w:jc w:val="center"/>
              <w:rPr>
                <w:rFonts w:ascii="Arial" w:eastAsia="Calibri" w:hAnsi="Arial" w:cs="Arial"/>
                <w:b/>
                <w:sz w:val="20"/>
                <w:szCs w:val="20"/>
              </w:rPr>
            </w:pPr>
            <w:r w:rsidRPr="00110D1C">
              <w:rPr>
                <w:rFonts w:ascii="Arial" w:eastAsia="Calibri" w:hAnsi="Arial" w:cs="Arial"/>
                <w:b/>
                <w:sz w:val="20"/>
                <w:szCs w:val="20"/>
              </w:rPr>
              <w:t>https://www.veeam.com/veeam_backup_m365_product_overview_ds.pdf?ad=documentation</w:t>
            </w:r>
            <w:r w:rsidRPr="00110D1C">
              <w:rPr>
                <w:rFonts w:ascii="Arial" w:eastAsia="Calibri" w:hAnsi="Arial" w:cs="Arial"/>
                <w:b/>
                <w:sz w:val="20"/>
                <w:szCs w:val="20"/>
              </w:rPr>
              <w:br/>
              <w:t>https://www.veeam.com/products/saas/backup-software-microsoft-office-365.html</w:t>
            </w:r>
          </w:p>
        </w:tc>
      </w:tr>
      <w:tr w14:paraId="1A555699" w14:textId="77777777" w:rsidTr="00A8765E">
        <w:tblPrEx>
          <w:tblW w:w="9356" w:type="dxa"/>
          <w:tblInd w:w="-5" w:type="dxa"/>
          <w:tblLayout w:type="fixed"/>
          <w:tblLook w:val="04A0"/>
        </w:tblPrEx>
        <w:trPr>
          <w:cantSplit/>
          <w:trHeight w:val="567"/>
          <w:tblHeader/>
        </w:trPr>
        <w:tc>
          <w:tcPr>
            <w:tcW w:w="5387" w:type="dxa"/>
            <w:shd w:val="clear" w:color="auto" w:fill="D9D9D9"/>
            <w:vAlign w:val="center"/>
          </w:tcPr>
          <w:p w:rsidR="00110D1C" w:rsidRPr="00110D1C" w:rsidP="00110D1C" w14:paraId="038E208E" w14:textId="77777777">
            <w:pPr>
              <w:spacing w:after="0" w:line="120" w:lineRule="atLeast"/>
              <w:jc w:val="center"/>
              <w:rPr>
                <w:rFonts w:ascii="Arial" w:eastAsia="Calibri" w:hAnsi="Arial" w:cs="Arial"/>
                <w:b/>
                <w:sz w:val="20"/>
                <w:szCs w:val="20"/>
              </w:rPr>
            </w:pPr>
            <w:r w:rsidRPr="00110D1C">
              <w:rPr>
                <w:rFonts w:ascii="Arial" w:eastAsia="Calibri" w:hAnsi="Arial" w:cs="Arial"/>
                <w:b/>
                <w:sz w:val="20"/>
                <w:szCs w:val="20"/>
              </w:rPr>
              <w:t>Požadovaná funkcionalita/vlastnost</w:t>
            </w:r>
          </w:p>
        </w:tc>
        <w:tc>
          <w:tcPr>
            <w:tcW w:w="1276" w:type="dxa"/>
            <w:tcBorders>
              <w:bottom w:val="single" w:sz="4" w:space="0" w:color="auto"/>
            </w:tcBorders>
            <w:shd w:val="clear" w:color="auto" w:fill="D9D9D9"/>
            <w:vAlign w:val="center"/>
          </w:tcPr>
          <w:p w:rsidR="00110D1C" w:rsidRPr="00110D1C" w:rsidP="00110D1C" w14:paraId="7E83A1CD" w14:textId="77777777">
            <w:pPr>
              <w:spacing w:after="0" w:line="120" w:lineRule="atLeast"/>
              <w:jc w:val="center"/>
              <w:rPr>
                <w:rFonts w:ascii="Arial" w:eastAsia="Calibri" w:hAnsi="Arial" w:cs="Arial"/>
                <w:b/>
                <w:sz w:val="20"/>
                <w:szCs w:val="20"/>
              </w:rPr>
            </w:pPr>
            <w:r w:rsidRPr="00110D1C">
              <w:rPr>
                <w:rFonts w:ascii="Arial" w:eastAsia="Calibri" w:hAnsi="Arial" w:cs="Arial"/>
                <w:b/>
                <w:sz w:val="20"/>
                <w:szCs w:val="20"/>
              </w:rPr>
              <w:t>Splňuje (ANO/NE)</w:t>
            </w:r>
          </w:p>
        </w:tc>
        <w:tc>
          <w:tcPr>
            <w:tcW w:w="2693" w:type="dxa"/>
            <w:tcBorders>
              <w:bottom w:val="single" w:sz="4" w:space="0" w:color="auto"/>
            </w:tcBorders>
            <w:shd w:val="clear" w:color="auto" w:fill="D9D9D9"/>
            <w:vAlign w:val="center"/>
          </w:tcPr>
          <w:p w:rsidR="00110D1C" w:rsidRPr="00110D1C" w:rsidP="00110D1C" w14:paraId="1AE33AD9" w14:textId="77777777">
            <w:pPr>
              <w:spacing w:after="0" w:line="120" w:lineRule="atLeast"/>
              <w:jc w:val="center"/>
              <w:rPr>
                <w:rFonts w:ascii="Arial" w:eastAsia="Calibri" w:hAnsi="Arial" w:cs="Arial"/>
                <w:b/>
                <w:sz w:val="20"/>
                <w:szCs w:val="20"/>
              </w:rPr>
            </w:pPr>
            <w:r w:rsidRPr="00110D1C">
              <w:rPr>
                <w:rFonts w:ascii="Arial" w:eastAsia="Calibri" w:hAnsi="Arial" w:cs="Arial"/>
                <w:b/>
                <w:sz w:val="20"/>
                <w:szCs w:val="20"/>
              </w:rPr>
              <w:t>Hodnota daného parametru</w:t>
            </w:r>
          </w:p>
        </w:tc>
      </w:tr>
      <w:tr w14:paraId="0945BAB6"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6E7F529"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zálohovat data Microsoft Exchange Online jako součást služby Office365 a místních instancí Microsoft Exchange</w:t>
            </w:r>
          </w:p>
        </w:tc>
        <w:tc>
          <w:tcPr>
            <w:tcW w:w="1276" w:type="dxa"/>
            <w:shd w:val="clear" w:color="auto" w:fill="auto"/>
            <w:vAlign w:val="center"/>
          </w:tcPr>
          <w:p w:rsidR="00110D1C" w:rsidRPr="00110D1C" w:rsidP="00110D1C" w14:paraId="1BB50DF9"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0BE5C866"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podporuje hybridní režim, tedy umí zálohovat jak lokální instalaci MS Exchange, tak Online verzi v O365</w:t>
            </w:r>
          </w:p>
        </w:tc>
      </w:tr>
      <w:tr w14:paraId="765B5EF3"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318A0CC"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zálohovat data Microsoft Sharepoint Online jako součást služby Office365 a místní instance Microsoft Sharepoint</w:t>
            </w:r>
          </w:p>
        </w:tc>
        <w:tc>
          <w:tcPr>
            <w:tcW w:w="1276" w:type="dxa"/>
            <w:shd w:val="clear" w:color="auto" w:fill="auto"/>
            <w:vAlign w:val="center"/>
          </w:tcPr>
          <w:p w:rsidR="00110D1C" w:rsidRPr="00110D1C" w:rsidP="00110D1C" w14:paraId="72DD934A"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9686E47" w14:textId="5074F56F">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podporuje hybridní režim, tedy umí zálohovat jak lokální instalaci MS</w:t>
            </w:r>
            <w:r w:rsidR="00A8765E">
              <w:rPr>
                <w:rFonts w:ascii="Arial" w:eastAsia="Calibri" w:hAnsi="Arial" w:cs="Arial"/>
                <w:sz w:val="20"/>
                <w:szCs w:val="20"/>
              </w:rPr>
              <w:t xml:space="preserve"> </w:t>
            </w:r>
            <w:r w:rsidRPr="00110D1C">
              <w:rPr>
                <w:rFonts w:ascii="Arial" w:eastAsia="Calibri" w:hAnsi="Arial" w:cs="Arial"/>
                <w:sz w:val="20"/>
                <w:szCs w:val="20"/>
              </w:rPr>
              <w:t>Sharepoint, tak Online verzi v O365</w:t>
            </w:r>
          </w:p>
        </w:tc>
      </w:tr>
      <w:tr w14:paraId="38E885E5"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2A568338"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zálohovat data Microsoft OneDrive for Business jako součást služby Office365</w:t>
            </w:r>
          </w:p>
        </w:tc>
        <w:tc>
          <w:tcPr>
            <w:tcW w:w="1276" w:type="dxa"/>
            <w:shd w:val="clear" w:color="auto" w:fill="auto"/>
            <w:vAlign w:val="center"/>
          </w:tcPr>
          <w:p w:rsidR="00110D1C" w:rsidRPr="00110D1C" w:rsidP="00110D1C" w14:paraId="53F4C765"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7092558A" w14:textId="15F41922">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umí zálohovat MS OneDrive for Business jako součást </w:t>
            </w:r>
            <w:r w:rsidRPr="00110D1C" w:rsidR="00A8765E">
              <w:rPr>
                <w:rFonts w:ascii="Arial" w:eastAsia="Calibri" w:hAnsi="Arial" w:cs="Arial"/>
                <w:sz w:val="20"/>
                <w:szCs w:val="20"/>
              </w:rPr>
              <w:t>služby</w:t>
            </w:r>
            <w:r w:rsidRPr="00110D1C">
              <w:rPr>
                <w:rFonts w:ascii="Arial" w:eastAsia="Calibri" w:hAnsi="Arial" w:cs="Arial"/>
                <w:sz w:val="20"/>
                <w:szCs w:val="20"/>
              </w:rPr>
              <w:t xml:space="preserve"> O365</w:t>
            </w:r>
          </w:p>
        </w:tc>
      </w:tr>
      <w:tr w14:paraId="0DBF3D9F"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B657849"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zálohovat data Microsoft Teams jako součást služby Office365</w:t>
            </w:r>
          </w:p>
        </w:tc>
        <w:tc>
          <w:tcPr>
            <w:tcW w:w="1276" w:type="dxa"/>
            <w:shd w:val="clear" w:color="auto" w:fill="auto"/>
            <w:vAlign w:val="center"/>
          </w:tcPr>
          <w:p w:rsidR="00110D1C" w:rsidRPr="00110D1C" w:rsidP="00110D1C" w14:paraId="0EC4570C"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1D4C28A0" w14:textId="77777777">
            <w:pPr>
              <w:spacing w:after="0" w:line="120" w:lineRule="atLeast"/>
              <w:jc w:val="center"/>
              <w:rPr>
                <w:rFonts w:ascii="Arial" w:eastAsia="Calibri" w:hAnsi="Arial" w:cs="Arial"/>
                <w:sz w:val="20"/>
                <w:szCs w:val="20"/>
                <w:lang w:val="en-US"/>
              </w:rPr>
            </w:pPr>
            <w:r w:rsidRPr="00110D1C">
              <w:rPr>
                <w:rFonts w:ascii="Arial" w:eastAsia="Calibri" w:hAnsi="Arial" w:cs="Arial"/>
                <w:sz w:val="20"/>
                <w:szCs w:val="20"/>
              </w:rPr>
              <w:t>VBM365 umí zálohovat MS Teams jako součást služby O365</w:t>
            </w:r>
          </w:p>
        </w:tc>
      </w:tr>
      <w:tr w14:paraId="7D7A0BE7"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7CABB8C7"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přidání více předplatných sady Office365 a více místních serverů Exchange a Sharepoint.</w:t>
            </w:r>
          </w:p>
        </w:tc>
        <w:tc>
          <w:tcPr>
            <w:tcW w:w="1276" w:type="dxa"/>
            <w:tcBorders>
              <w:bottom w:val="single" w:sz="4" w:space="0" w:color="auto"/>
            </w:tcBorders>
            <w:shd w:val="clear" w:color="auto" w:fill="auto"/>
            <w:vAlign w:val="center"/>
          </w:tcPr>
          <w:p w:rsidR="00110D1C" w:rsidRPr="00110D1C" w:rsidP="00110D1C" w14:paraId="62DC9716"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tcBorders>
              <w:bottom w:val="single" w:sz="4" w:space="0" w:color="auto"/>
            </w:tcBorders>
            <w:shd w:val="clear" w:color="auto" w:fill="auto"/>
            <w:vAlign w:val="center"/>
          </w:tcPr>
          <w:p w:rsidR="00110D1C" w:rsidRPr="00110D1C" w:rsidP="00110D1C" w14:paraId="439D1D4E"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 průběhu času lze přidávat nebo ubírat počet předplatných sad Office365. Servery Exchange a Sharepoint nepodléhají specifickým licenčním ujednáním a lze přidávat libovolný počet lokálních (místních) serverů.</w:t>
            </w:r>
          </w:p>
        </w:tc>
      </w:tr>
      <w:tr w14:paraId="4E29E089"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E27A390" w14:textId="77777777">
            <w:pPr>
              <w:spacing w:after="0" w:line="120" w:lineRule="atLeast"/>
              <w:rPr>
                <w:rFonts w:ascii="Arial" w:eastAsia="Calibri" w:hAnsi="Arial" w:cs="Arial"/>
                <w:sz w:val="20"/>
                <w:szCs w:val="20"/>
                <w:highlight w:val="yellow"/>
              </w:rPr>
            </w:pPr>
            <w:r w:rsidRPr="00110D1C">
              <w:rPr>
                <w:rFonts w:ascii="Arial" w:eastAsia="Times New Roman" w:hAnsi="Arial" w:cs="Arial"/>
                <w:color w:val="000000"/>
                <w:sz w:val="20"/>
                <w:szCs w:val="20"/>
                <w:lang w:eastAsia="cs-CZ"/>
              </w:rPr>
              <w:t>Řešení nesmí nainstalovat žádné agenty v místních instancích Exchange a Sharepoint. Využívá interní aplikační API.</w:t>
            </w:r>
          </w:p>
        </w:tc>
        <w:tc>
          <w:tcPr>
            <w:tcW w:w="1276" w:type="dxa"/>
            <w:shd w:val="clear" w:color="auto" w:fill="auto"/>
            <w:vAlign w:val="center"/>
          </w:tcPr>
          <w:p w:rsidR="00110D1C" w:rsidRPr="00110D1C" w:rsidP="00110D1C" w14:paraId="61BAB4E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52BA3FAE"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má možnost využít interní aplikační API pro zálohování on-premise instancí MS Exchange a MS Sharepoint</w:t>
            </w:r>
          </w:p>
        </w:tc>
      </w:tr>
      <w:tr w14:paraId="3585797E"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3797B7F2"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nesmí vyžadovat vytváření dalších komponent / agentů na straně Office365.</w:t>
            </w:r>
          </w:p>
        </w:tc>
        <w:tc>
          <w:tcPr>
            <w:tcW w:w="1276" w:type="dxa"/>
            <w:shd w:val="clear" w:color="auto" w:fill="auto"/>
            <w:vAlign w:val="center"/>
          </w:tcPr>
          <w:p w:rsidR="00110D1C" w:rsidRPr="00110D1C" w:rsidP="00110D1C" w14:paraId="52788007"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73D46076"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Na straně Office 365 není nutné vytvářet žádné další komponenty nebo instalovat agenty</w:t>
            </w:r>
          </w:p>
        </w:tc>
      </w:tr>
      <w:tr w14:paraId="38886067"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C929C88"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podporovat vícefaktorové ověřování (MFA) do konzole i do webového rozhraní</w:t>
            </w:r>
          </w:p>
        </w:tc>
        <w:tc>
          <w:tcPr>
            <w:tcW w:w="1276" w:type="dxa"/>
            <w:shd w:val="clear" w:color="auto" w:fill="auto"/>
            <w:vAlign w:val="center"/>
          </w:tcPr>
          <w:p w:rsidR="00110D1C" w:rsidRPr="00110D1C" w:rsidP="00110D1C" w14:paraId="7F8BEB5D"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5D1467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plně podporuje MFA jak pro řídící konzoli, tak i pro webové rozhraní zálohovacího serveru</w:t>
            </w:r>
          </w:p>
        </w:tc>
      </w:tr>
      <w:tr w14:paraId="1C30ED44"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62E712DA" w14:textId="77777777">
            <w:pPr>
              <w:spacing w:after="0" w:line="120" w:lineRule="atLeast"/>
              <w:rPr>
                <w:rFonts w:ascii="Arial" w:eastAsia="Calibri" w:hAnsi="Arial" w:cs="Arial"/>
                <w:sz w:val="20"/>
                <w:szCs w:val="20"/>
                <w:lang w:bidi="mr-IN"/>
              </w:rPr>
            </w:pPr>
            <w:r w:rsidRPr="00110D1C">
              <w:rPr>
                <w:rFonts w:ascii="Arial" w:eastAsia="Times New Roman" w:hAnsi="Arial" w:cs="Arial"/>
                <w:color w:val="000000"/>
                <w:sz w:val="20"/>
                <w:szCs w:val="20"/>
                <w:lang w:eastAsia="cs-CZ"/>
              </w:rPr>
              <w:t>Řešení musí být licencováno na uživatele.</w:t>
            </w:r>
          </w:p>
        </w:tc>
        <w:tc>
          <w:tcPr>
            <w:tcW w:w="1276" w:type="dxa"/>
            <w:shd w:val="clear" w:color="auto" w:fill="auto"/>
            <w:vAlign w:val="center"/>
          </w:tcPr>
          <w:p w:rsidR="00110D1C" w:rsidRPr="00110D1C" w:rsidP="00110D1C" w14:paraId="55CB2151"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6CC9FE6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je licencováno per uživatel</w:t>
            </w:r>
          </w:p>
        </w:tc>
      </w:tr>
      <w:tr w14:paraId="579F4617"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1C0B0054" w14:textId="77777777">
            <w:pPr>
              <w:spacing w:after="0" w:line="120" w:lineRule="atLeast"/>
              <w:rPr>
                <w:rFonts w:ascii="Arial" w:eastAsia="Calibri" w:hAnsi="Arial" w:cs="Arial"/>
                <w:sz w:val="20"/>
                <w:szCs w:val="20"/>
                <w:lang w:bidi="mr-IN"/>
              </w:rPr>
            </w:pPr>
            <w:r w:rsidRPr="00110D1C">
              <w:rPr>
                <w:rFonts w:ascii="Arial" w:eastAsia="Times New Roman" w:hAnsi="Arial" w:cs="Arial"/>
                <w:color w:val="000000"/>
                <w:sz w:val="20"/>
                <w:szCs w:val="20"/>
                <w:lang w:eastAsia="cs-CZ"/>
              </w:rPr>
              <w:t>Řešení musí být licencováno v předplatném modelu.</w:t>
            </w:r>
          </w:p>
        </w:tc>
        <w:tc>
          <w:tcPr>
            <w:tcW w:w="1276" w:type="dxa"/>
            <w:shd w:val="clear" w:color="auto" w:fill="auto"/>
            <w:vAlign w:val="center"/>
          </w:tcPr>
          <w:p w:rsidR="00110D1C" w:rsidRPr="00110D1C" w:rsidP="00110D1C" w14:paraId="6D1859F3"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5A3FAB66"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Licence VBM365 jsou dostupné v předplatném modelu (subscription) </w:t>
            </w:r>
          </w:p>
        </w:tc>
      </w:tr>
      <w:tr w14:paraId="572B5A51"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1450B8A0"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mít škálovatelnou architekturu (server pro správu, úložiště). Komponenty zálohovacího systému nesmí být dodatečně licencovány.</w:t>
            </w:r>
          </w:p>
        </w:tc>
        <w:tc>
          <w:tcPr>
            <w:tcW w:w="1276" w:type="dxa"/>
            <w:shd w:val="clear" w:color="auto" w:fill="auto"/>
            <w:vAlign w:val="center"/>
          </w:tcPr>
          <w:p w:rsidR="00110D1C" w:rsidRPr="00110D1C" w:rsidP="00110D1C" w14:paraId="77C7848C"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C34F86E" w14:textId="23655743">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umožňuje škálovat jak </w:t>
            </w:r>
            <w:r w:rsidRPr="00110D1C" w:rsidR="00A8765E">
              <w:rPr>
                <w:rFonts w:ascii="Arial" w:eastAsia="Calibri" w:hAnsi="Arial" w:cs="Arial"/>
                <w:sz w:val="20"/>
                <w:szCs w:val="20"/>
              </w:rPr>
              <w:t>řídící</w:t>
            </w:r>
            <w:r w:rsidRPr="00110D1C">
              <w:rPr>
                <w:rFonts w:ascii="Arial" w:eastAsia="Calibri" w:hAnsi="Arial" w:cs="Arial"/>
                <w:sz w:val="20"/>
                <w:szCs w:val="20"/>
              </w:rPr>
              <w:t xml:space="preserve"> a transportní infrastrukturu, tak i příslušná úložiště. Žádná z těchto komponent se nelicencuje. </w:t>
            </w:r>
          </w:p>
        </w:tc>
      </w:tr>
      <w:tr w14:paraId="60BBB21F"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3534C4C5"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ukládat data v nativním formátu Microsoft Exchange.</w:t>
            </w:r>
          </w:p>
        </w:tc>
        <w:tc>
          <w:tcPr>
            <w:tcW w:w="1276" w:type="dxa"/>
            <w:shd w:val="clear" w:color="auto" w:fill="auto"/>
            <w:vAlign w:val="center"/>
          </w:tcPr>
          <w:p w:rsidR="00110D1C" w:rsidRPr="00110D1C" w:rsidP="00110D1C" w14:paraId="446D904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A4413E3"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umí data ukládat ve formátu stejném jako Extensible Storage Engines, tedy ve stejném, jaký je používán v .EDB </w:t>
            </w:r>
          </w:p>
        </w:tc>
      </w:tr>
      <w:tr w14:paraId="25EB66EB"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1BAD341E"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detekovat typ předplatného M365 (MS SKU)</w:t>
            </w:r>
          </w:p>
        </w:tc>
        <w:tc>
          <w:tcPr>
            <w:tcW w:w="1276" w:type="dxa"/>
            <w:shd w:val="clear" w:color="auto" w:fill="auto"/>
            <w:vAlign w:val="center"/>
          </w:tcPr>
          <w:p w:rsidR="00110D1C" w:rsidRPr="00110D1C" w:rsidP="00110D1C" w14:paraId="5EB5291B"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66F6D237"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umí detekovat, jaký typ předplatného je v daném tenantu. S touto informací se dá později pracovat např. při auditu.</w:t>
            </w:r>
          </w:p>
        </w:tc>
      </w:tr>
      <w:tr w14:paraId="5FD3DE3C"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2D7FE2A"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ukládání dat na místní zdroje nebo na objektové úložiště (Microsoft Azure Blob, AWS S3 a další kompatibilní s protokolem S3)</w:t>
            </w:r>
          </w:p>
        </w:tc>
        <w:tc>
          <w:tcPr>
            <w:tcW w:w="1276" w:type="dxa"/>
            <w:shd w:val="clear" w:color="auto" w:fill="auto"/>
            <w:vAlign w:val="center"/>
          </w:tcPr>
          <w:p w:rsidR="00110D1C" w:rsidRPr="00110D1C" w:rsidP="00110D1C" w14:paraId="433E855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508D827D" w14:textId="597C8240">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podporuje ukládání dat jak na </w:t>
            </w:r>
            <w:r w:rsidRPr="00110D1C" w:rsidR="00A8765E">
              <w:rPr>
                <w:rFonts w:ascii="Arial" w:eastAsia="Calibri" w:hAnsi="Arial" w:cs="Arial"/>
                <w:sz w:val="20"/>
                <w:szCs w:val="20"/>
              </w:rPr>
              <w:t>místní</w:t>
            </w:r>
            <w:r w:rsidRPr="00110D1C">
              <w:rPr>
                <w:rFonts w:ascii="Arial" w:eastAsia="Calibri" w:hAnsi="Arial" w:cs="Arial"/>
                <w:sz w:val="20"/>
                <w:szCs w:val="20"/>
              </w:rPr>
              <w:t xml:space="preserve"> zdroje (LAN, SAN), tak na objektová úložiště (MS Azure Blob, AWS S3 a ostatní S3 kompatibilní úložiště)</w:t>
            </w:r>
          </w:p>
        </w:tc>
      </w:tr>
      <w:tr w14:paraId="4A4B83BF"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E01820E"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podporovat zálohu i obnovu Shared i Private Teams Channels</w:t>
            </w:r>
          </w:p>
        </w:tc>
        <w:tc>
          <w:tcPr>
            <w:tcW w:w="1276" w:type="dxa"/>
            <w:shd w:val="clear" w:color="auto" w:fill="auto"/>
            <w:vAlign w:val="center"/>
          </w:tcPr>
          <w:p w:rsidR="00110D1C" w:rsidRPr="00110D1C" w:rsidP="00110D1C" w14:paraId="7AE74041"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1498F068"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VMB365 umí zálohovat jak Shared, tak i Private Channels v MS Teams</w:t>
            </w:r>
          </w:p>
        </w:tc>
      </w:tr>
      <w:tr w14:paraId="3EF1A33E"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E0A188B"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podrobné obnovy všech položek Microsoft Exchange (poštovní schránka, pošta, kontakt, položka kalendáře, položka složky „Trvale smazané položky“).</w:t>
            </w:r>
          </w:p>
        </w:tc>
        <w:tc>
          <w:tcPr>
            <w:tcW w:w="1276" w:type="dxa"/>
            <w:shd w:val="clear" w:color="auto" w:fill="auto"/>
            <w:vAlign w:val="center"/>
          </w:tcPr>
          <w:p w:rsidR="00110D1C" w:rsidRPr="00110D1C" w:rsidP="00110D1C" w14:paraId="745C646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17840647"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umožňuje obnovu všech položek MS Exchange, jmenovitě poštovní schránku, poštu, kontakt, položky kalendáře a položky ve složce "Trvale smazané položky"</w:t>
            </w:r>
          </w:p>
        </w:tc>
      </w:tr>
      <w:tr w14:paraId="4E9162A1"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7104602"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obnovu Sharepoint do jiného než původního umístění.</w:t>
            </w:r>
          </w:p>
        </w:tc>
        <w:tc>
          <w:tcPr>
            <w:tcW w:w="1276" w:type="dxa"/>
            <w:shd w:val="clear" w:color="auto" w:fill="auto"/>
            <w:vAlign w:val="center"/>
          </w:tcPr>
          <w:p w:rsidR="00110D1C" w:rsidRPr="00110D1C" w:rsidP="00110D1C" w14:paraId="265A9551"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7C1F0F0D"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umí obnovit Sharepoint i do jiného, než původního umístění</w:t>
            </w:r>
          </w:p>
        </w:tc>
      </w:tr>
      <w:tr w14:paraId="10D22C28"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3A818C89"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granulární obnovu všech prvků Microsoft Sharepoint. Možnost obnovit položky, weby.</w:t>
            </w:r>
          </w:p>
        </w:tc>
        <w:tc>
          <w:tcPr>
            <w:tcW w:w="1276" w:type="dxa"/>
            <w:shd w:val="clear" w:color="auto" w:fill="auto"/>
            <w:vAlign w:val="center"/>
          </w:tcPr>
          <w:p w:rsidR="00110D1C" w:rsidRPr="00110D1C" w:rsidP="00110D1C" w14:paraId="16F939A4"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7225023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obnovuje prvky MS Sharepoint s granularitou na úrovni položek nebo webů. </w:t>
            </w:r>
          </w:p>
        </w:tc>
      </w:tr>
      <w:tr w14:paraId="42F9045E"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69F4B4E6" w14:textId="77777777">
            <w:pPr>
              <w:spacing w:after="0" w:line="120" w:lineRule="atLeast"/>
              <w:rPr>
                <w:rFonts w:ascii="Arial" w:eastAsia="Calibri" w:hAnsi="Arial" w:cs="Arial"/>
                <w:sz w:val="20"/>
                <w:szCs w:val="20"/>
                <w:highlight w:val="yellow"/>
              </w:rPr>
            </w:pPr>
            <w:r w:rsidRPr="00110D1C">
              <w:rPr>
                <w:rFonts w:ascii="Arial" w:eastAsia="Times New Roman" w:hAnsi="Arial" w:cs="Arial"/>
                <w:color w:val="000000"/>
                <w:sz w:val="20"/>
                <w:szCs w:val="20"/>
                <w:lang w:eastAsia="cs-CZ"/>
              </w:rPr>
              <w:t>Řešení musí umožňovat granulární obnovu všech součástí Microsoft OneDrive. Možnost obnovit soubory, složky nebo celé účty OneDrive</w:t>
            </w:r>
          </w:p>
        </w:tc>
        <w:tc>
          <w:tcPr>
            <w:tcW w:w="1276" w:type="dxa"/>
            <w:shd w:val="clear" w:color="auto" w:fill="auto"/>
            <w:vAlign w:val="center"/>
          </w:tcPr>
          <w:p w:rsidR="00110D1C" w:rsidRPr="00110D1C" w:rsidP="00110D1C" w14:paraId="6BCCC880" w14:textId="77777777">
            <w:pPr>
              <w:spacing w:after="0" w:line="120" w:lineRule="atLeast"/>
              <w:jc w:val="center"/>
              <w:rPr>
                <w:rFonts w:ascii="Arial" w:eastAsia="Calibri" w:hAnsi="Arial" w:cs="Arial"/>
                <w:sz w:val="20"/>
                <w:szCs w:val="20"/>
                <w:highlight w:val="yellow"/>
              </w:rPr>
            </w:pPr>
            <w:r w:rsidRPr="00110D1C">
              <w:rPr>
                <w:rFonts w:ascii="Arial" w:eastAsia="Calibri" w:hAnsi="Arial" w:cs="Arial"/>
                <w:sz w:val="20"/>
                <w:szCs w:val="20"/>
              </w:rPr>
              <w:t>ANO</w:t>
            </w:r>
          </w:p>
        </w:tc>
        <w:tc>
          <w:tcPr>
            <w:tcW w:w="2693" w:type="dxa"/>
            <w:shd w:val="clear" w:color="auto" w:fill="auto"/>
            <w:vAlign w:val="center"/>
          </w:tcPr>
          <w:p w:rsidR="00110D1C" w:rsidRPr="00A8765E" w:rsidP="00110D1C" w14:paraId="2A34B463" w14:textId="77777777">
            <w:pPr>
              <w:spacing w:after="0" w:line="120" w:lineRule="atLeast"/>
              <w:jc w:val="center"/>
              <w:rPr>
                <w:rFonts w:ascii="Arial" w:eastAsia="Calibri" w:hAnsi="Arial" w:cs="Arial"/>
                <w:sz w:val="20"/>
                <w:szCs w:val="20"/>
              </w:rPr>
            </w:pPr>
            <w:r w:rsidRPr="00A8765E">
              <w:rPr>
                <w:rFonts w:ascii="Arial" w:eastAsia="Calibri" w:hAnsi="Arial" w:cs="Arial"/>
                <w:sz w:val="20"/>
                <w:szCs w:val="20"/>
              </w:rPr>
              <w:t>Položky MS OneDrive lze s VMB365 obnovovat na úrovni souborů, složek nebo celých účtů MS OneDrive</w:t>
            </w:r>
          </w:p>
        </w:tc>
      </w:tr>
      <w:tr w14:paraId="5FF80DDD"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66297226"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granulární obnovu všech součástí Microsoft Teams. Možnost obnovit Team, Channel, conversations, documents…</w:t>
            </w:r>
          </w:p>
        </w:tc>
        <w:tc>
          <w:tcPr>
            <w:tcW w:w="1276" w:type="dxa"/>
            <w:shd w:val="clear" w:color="auto" w:fill="auto"/>
            <w:vAlign w:val="center"/>
          </w:tcPr>
          <w:p w:rsidR="00110D1C" w:rsidRPr="00110D1C" w:rsidP="00110D1C" w14:paraId="5F0CFA23"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A8765E" w:rsidP="00110D1C" w14:paraId="0FE504DB" w14:textId="77777777">
            <w:pPr>
              <w:spacing w:after="0" w:line="120" w:lineRule="atLeast"/>
              <w:jc w:val="center"/>
              <w:rPr>
                <w:rFonts w:ascii="Arial" w:eastAsia="Calibri" w:hAnsi="Arial" w:cs="Arial"/>
                <w:sz w:val="20"/>
                <w:szCs w:val="20"/>
              </w:rPr>
            </w:pPr>
            <w:r w:rsidRPr="00A8765E">
              <w:rPr>
                <w:rFonts w:ascii="Arial" w:eastAsia="Calibri" w:hAnsi="Arial" w:cs="Arial"/>
                <w:sz w:val="20"/>
                <w:szCs w:val="20"/>
              </w:rPr>
              <w:t xml:space="preserve">Položky MS Teams lze s VMB365 obnovovat na úrovni jednotlivých Teamů, Channelů, konverzací a dokumentů </w:t>
            </w:r>
          </w:p>
        </w:tc>
      </w:tr>
      <w:tr w14:paraId="6F431EC6"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A38BBFD"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umožnit obnovení položek do složky Doručená pošta v Office 365, místní složky Doručená pošta Exchange, soubor a ve formátu PST.</w:t>
            </w:r>
          </w:p>
        </w:tc>
        <w:tc>
          <w:tcPr>
            <w:tcW w:w="1276" w:type="dxa"/>
            <w:shd w:val="clear" w:color="auto" w:fill="auto"/>
            <w:vAlign w:val="center"/>
          </w:tcPr>
          <w:p w:rsidR="00110D1C" w:rsidRPr="00110D1C" w:rsidP="00110D1C" w14:paraId="7D90B78B"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3DE3925"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Při obnově poštovní schránky lze tuto obnovit do složky </w:t>
            </w:r>
            <w:r w:rsidRPr="00110D1C">
              <w:rPr>
                <w:rFonts w:ascii="Arial" w:eastAsia="Times New Roman" w:hAnsi="Arial" w:cs="Arial"/>
                <w:color w:val="000000"/>
                <w:sz w:val="20"/>
                <w:szCs w:val="20"/>
                <w:lang w:eastAsia="cs-CZ"/>
              </w:rPr>
              <w:t>Doručená pošta v Office 365, do místní složky Doručená pošta Exchange, do souboru a do formátu PST</w:t>
            </w:r>
          </w:p>
        </w:tc>
      </w:tr>
      <w:tr w14:paraId="0CF1E946"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7D008611"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hybridní scénáře zálohování / obnovy (např. Zálohování provedené z lokální instance Exchange, obnovení na Exchange Online v Office365).</w:t>
            </w:r>
          </w:p>
        </w:tc>
        <w:tc>
          <w:tcPr>
            <w:tcW w:w="1276" w:type="dxa"/>
            <w:shd w:val="clear" w:color="auto" w:fill="auto"/>
            <w:vAlign w:val="center"/>
          </w:tcPr>
          <w:p w:rsidR="00110D1C" w:rsidRPr="00110D1C" w:rsidP="00110D1C" w14:paraId="182428FF"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E458AFD" w14:textId="703A7610">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Řešení VBM365 podporuje plně hybridní </w:t>
            </w:r>
            <w:r w:rsidRPr="00110D1C" w:rsidR="00A8765E">
              <w:rPr>
                <w:rFonts w:ascii="Arial" w:eastAsia="Calibri" w:hAnsi="Arial" w:cs="Arial"/>
                <w:sz w:val="20"/>
                <w:szCs w:val="20"/>
              </w:rPr>
              <w:t>režim</w:t>
            </w:r>
            <w:r w:rsidRPr="00110D1C">
              <w:rPr>
                <w:rFonts w:ascii="Arial" w:eastAsia="Calibri" w:hAnsi="Arial" w:cs="Arial"/>
                <w:sz w:val="20"/>
                <w:szCs w:val="20"/>
              </w:rPr>
              <w:t xml:space="preserve"> záloh a obnovy mezi on-premise a online Exchange prostředími. </w:t>
            </w:r>
          </w:p>
        </w:tc>
      </w:tr>
      <w:tr w14:paraId="54C8AADD"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378EE258"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podrobné vyhledávání zabezpečených dat (eDiscovery)</w:t>
            </w:r>
          </w:p>
        </w:tc>
        <w:tc>
          <w:tcPr>
            <w:tcW w:w="1276" w:type="dxa"/>
            <w:shd w:val="clear" w:color="auto" w:fill="auto"/>
            <w:vAlign w:val="center"/>
          </w:tcPr>
          <w:p w:rsidR="00110D1C" w:rsidRPr="00110D1C" w:rsidP="00110D1C" w14:paraId="7F8E217B"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0AA771E2"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Pokud je využíváno zamykání dat proti přepsání nebo jejich šifrování, pomocí eDiscovery je možné v těchto datech podrobně vyhledávat</w:t>
            </w:r>
          </w:p>
        </w:tc>
      </w:tr>
      <w:tr w14:paraId="4B754A0A"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314FD03B"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být schopno integrace s dalšími řešeními přes PowerShell a RESTful API.</w:t>
            </w:r>
          </w:p>
        </w:tc>
        <w:tc>
          <w:tcPr>
            <w:tcW w:w="1276" w:type="dxa"/>
            <w:shd w:val="clear" w:color="auto" w:fill="auto"/>
            <w:vAlign w:val="center"/>
          </w:tcPr>
          <w:p w:rsidR="00110D1C" w:rsidRPr="00110D1C" w:rsidP="00110D1C" w14:paraId="5DF42925"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7ADB55BE"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se přes PowerShell anebo RESTful API integrovat do dalších řešení (monitoring, alerty atp)</w:t>
            </w:r>
          </w:p>
        </w:tc>
      </w:tr>
      <w:tr w14:paraId="324CA64B"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6DA650C0"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umožnit obnovení položek Exchange, OneDrive a SharePoint Personal Site koncovým uživatelem pomocí webového samoobslužného portálu</w:t>
            </w:r>
          </w:p>
        </w:tc>
        <w:tc>
          <w:tcPr>
            <w:tcW w:w="1276" w:type="dxa"/>
            <w:shd w:val="clear" w:color="auto" w:fill="auto"/>
            <w:vAlign w:val="center"/>
          </w:tcPr>
          <w:p w:rsidR="00110D1C" w:rsidRPr="00110D1C" w:rsidP="00110D1C" w14:paraId="2074BDE7"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9A60CFA"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umožňuje instalaci samoobslužného webovského portálu, přes který si mohou koncoví uživatelé sami obnovovat data z MS Exchange, MS OneDrive a MS SharePoint Personal Site</w:t>
            </w:r>
          </w:p>
        </w:tc>
      </w:tr>
      <w:tr w14:paraId="189DC162"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1944C0F"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umožnit obnovení položek Exchange, OneDrive a SharePoint Site a MS Teams operátorem s přiřazenou rolí pomocí webového portálu</w:t>
            </w:r>
          </w:p>
        </w:tc>
        <w:tc>
          <w:tcPr>
            <w:tcW w:w="1276" w:type="dxa"/>
            <w:shd w:val="clear" w:color="auto" w:fill="auto"/>
            <w:vAlign w:val="center"/>
          </w:tcPr>
          <w:p w:rsidR="00110D1C" w:rsidRPr="00110D1C" w:rsidP="00110D1C" w14:paraId="7136B9DB"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5B8501AA"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Přes webovský portál lze s VBM365 obnovovat položky MS Exchange, MS OneDrive, MS Sharepoint Site a MS Teams operátorem s přiřazenou rolí (restore admin)</w:t>
            </w:r>
          </w:p>
        </w:tc>
      </w:tr>
      <w:tr w14:paraId="2F7E5D23"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77109248" w14:textId="77777777">
            <w:pPr>
              <w:spacing w:after="0" w:line="120" w:lineRule="atLeast"/>
              <w:rPr>
                <w:rFonts w:ascii="Arial" w:eastAsia="Calibri" w:hAnsi="Arial" w:cs="Arial"/>
                <w:sz w:val="20"/>
                <w:szCs w:val="20"/>
                <w:highlight w:val="yellow"/>
              </w:rPr>
            </w:pPr>
            <w:r w:rsidRPr="00110D1C">
              <w:rPr>
                <w:rFonts w:ascii="Arial" w:eastAsia="Times New Roman" w:hAnsi="Arial" w:cs="Arial"/>
                <w:color w:val="000000"/>
                <w:sz w:val="20"/>
                <w:szCs w:val="20"/>
                <w:lang w:eastAsia="cs-CZ"/>
              </w:rPr>
              <w:t>Řešení musí umožnit víceuživatelský přístup pro obnovy na úrovni skupin uživatelů (administrační portál)</w:t>
            </w:r>
          </w:p>
        </w:tc>
        <w:tc>
          <w:tcPr>
            <w:tcW w:w="1276" w:type="dxa"/>
            <w:shd w:val="clear" w:color="auto" w:fill="auto"/>
            <w:vAlign w:val="center"/>
          </w:tcPr>
          <w:p w:rsidR="00110D1C" w:rsidRPr="00110D1C" w:rsidP="00110D1C" w14:paraId="51C8D183" w14:textId="77777777">
            <w:pPr>
              <w:spacing w:after="0" w:line="120" w:lineRule="atLeast"/>
              <w:jc w:val="center"/>
              <w:rPr>
                <w:rFonts w:ascii="Arial" w:eastAsia="Calibri" w:hAnsi="Arial" w:cs="Arial"/>
                <w:sz w:val="20"/>
                <w:szCs w:val="20"/>
                <w:highlight w:val="yellow"/>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201A6416" w14:textId="77777777">
            <w:pPr>
              <w:spacing w:after="0" w:line="120" w:lineRule="atLeast"/>
              <w:jc w:val="center"/>
              <w:rPr>
                <w:rFonts w:ascii="Arial" w:eastAsia="Calibri" w:hAnsi="Arial" w:cs="Arial"/>
                <w:sz w:val="20"/>
                <w:szCs w:val="20"/>
                <w:highlight w:val="yellow"/>
              </w:rPr>
            </w:pPr>
            <w:r w:rsidRPr="00A8765E">
              <w:rPr>
                <w:rFonts w:ascii="Arial" w:eastAsia="Calibri" w:hAnsi="Arial" w:cs="Arial"/>
                <w:sz w:val="20"/>
                <w:szCs w:val="20"/>
              </w:rPr>
              <w:t>VBM365 umožňuje definovat více skupin uživatelů s možností obnovy přes administrační portál</w:t>
            </w:r>
          </w:p>
        </w:tc>
      </w:tr>
      <w:tr w14:paraId="7C184243"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1DC7C396"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podporovat technologii kopie záloh z primárního úložiště typu Object Storage to sekundárního úložiště typu Object Storage Archive, a to i mezi různými typy cloudů (S3 - Azure Blob Archive, S3 - AWS S3 Glacier, Azure Blob - AWS S3 Glacier)</w:t>
            </w:r>
          </w:p>
        </w:tc>
        <w:tc>
          <w:tcPr>
            <w:tcW w:w="1276" w:type="dxa"/>
            <w:shd w:val="clear" w:color="auto" w:fill="auto"/>
            <w:vAlign w:val="center"/>
          </w:tcPr>
          <w:p w:rsidR="00110D1C" w:rsidRPr="00110D1C" w:rsidP="00110D1C" w14:paraId="13A709FE"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0A37071B"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Řešení na VBM365 plně podporuje možnost kopie záloh z primárního objektového úložiště (Object Storage) do sekundárního objektového úložiště, a to i mezi různými typy cloudových prostředí (</w:t>
            </w:r>
            <w:r w:rsidRPr="00110D1C">
              <w:rPr>
                <w:rFonts w:ascii="Arial" w:eastAsia="Times New Roman" w:hAnsi="Arial" w:cs="Arial"/>
                <w:color w:val="000000"/>
                <w:sz w:val="20"/>
                <w:szCs w:val="20"/>
                <w:lang w:eastAsia="cs-CZ"/>
              </w:rPr>
              <w:t>S3 - Azure Blob Archive, S3 - AWS S3 Glacier, Azure Blob - AWS S3 Glacier)</w:t>
            </w:r>
          </w:p>
        </w:tc>
      </w:tr>
      <w:tr w14:paraId="24B8B8DB"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9B31207"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podporovat úložiště se zapnutou technologií immutability - Object Lock - pro S3 Compatible, S3, Azure Blob pro úlohy kopie záloh.</w:t>
            </w:r>
          </w:p>
        </w:tc>
        <w:tc>
          <w:tcPr>
            <w:tcW w:w="1276" w:type="dxa"/>
            <w:shd w:val="clear" w:color="auto" w:fill="auto"/>
            <w:vAlign w:val="center"/>
          </w:tcPr>
          <w:p w:rsidR="00110D1C" w:rsidRPr="00110D1C" w:rsidP="00110D1C" w14:paraId="75C782F6"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01F81134" w14:textId="7357BE6D">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je plně kompatibilní s </w:t>
            </w:r>
            <w:r w:rsidRPr="00110D1C" w:rsidR="00A8765E">
              <w:rPr>
                <w:rFonts w:ascii="Arial" w:eastAsia="Calibri" w:hAnsi="Arial" w:cs="Arial"/>
                <w:sz w:val="20"/>
                <w:szCs w:val="20"/>
              </w:rPr>
              <w:t>úložišti</w:t>
            </w:r>
            <w:r w:rsidRPr="00110D1C">
              <w:rPr>
                <w:rFonts w:ascii="Arial" w:eastAsia="Calibri" w:hAnsi="Arial" w:cs="Arial"/>
                <w:sz w:val="20"/>
                <w:szCs w:val="20"/>
              </w:rPr>
              <w:t xml:space="preserve"> podporujícími immutability - Object Lock - typově: S3 Compatible, S3, Azure Blob pro úlohy typu kopie záloh. </w:t>
            </w:r>
          </w:p>
        </w:tc>
      </w:tr>
      <w:tr w14:paraId="3A53734B"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5D986F8B"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Řešení musí umožňovat ukládání záloh v režimu "immutable storage" pro úložiště typu Object Storage</w:t>
            </w:r>
          </w:p>
        </w:tc>
        <w:tc>
          <w:tcPr>
            <w:tcW w:w="1276" w:type="dxa"/>
            <w:shd w:val="clear" w:color="auto" w:fill="auto"/>
            <w:vAlign w:val="center"/>
          </w:tcPr>
          <w:p w:rsidR="00110D1C" w:rsidRPr="00110D1C" w:rsidP="00110D1C" w14:paraId="3BFC0B00"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4F3EE13B" w14:textId="652EE0BD">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VBM365 umí označit a uložit zálohy jako "nedotknutelné" pro </w:t>
            </w:r>
            <w:r w:rsidRPr="00110D1C" w:rsidR="00A8765E">
              <w:rPr>
                <w:rFonts w:ascii="Arial" w:eastAsia="Calibri" w:hAnsi="Arial" w:cs="Arial"/>
                <w:sz w:val="20"/>
                <w:szCs w:val="20"/>
              </w:rPr>
              <w:t>úložiště</w:t>
            </w:r>
            <w:r w:rsidRPr="00110D1C">
              <w:rPr>
                <w:rFonts w:ascii="Arial" w:eastAsia="Calibri" w:hAnsi="Arial" w:cs="Arial"/>
                <w:sz w:val="20"/>
                <w:szCs w:val="20"/>
              </w:rPr>
              <w:t xml:space="preserve"> typu Object Storage</w:t>
            </w:r>
          </w:p>
        </w:tc>
      </w:tr>
      <w:tr w14:paraId="07A7DD93"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2E7ADC70" w14:textId="77777777">
            <w:pPr>
              <w:spacing w:after="0" w:line="120" w:lineRule="atLeast"/>
              <w:rPr>
                <w:rFonts w:ascii="Arial" w:eastAsia="Calibri" w:hAnsi="Arial" w:cs="Arial"/>
                <w:b/>
                <w:sz w:val="20"/>
                <w:szCs w:val="20"/>
              </w:rPr>
            </w:pPr>
            <w:r w:rsidRPr="00110D1C">
              <w:rPr>
                <w:rFonts w:ascii="Arial" w:eastAsia="Times New Roman" w:hAnsi="Arial" w:cs="Arial"/>
                <w:color w:val="000000"/>
                <w:sz w:val="20"/>
                <w:szCs w:val="20"/>
                <w:lang w:eastAsia="cs-CZ"/>
              </w:rPr>
              <w:t xml:space="preserve">Řešení musí podporovat nasazení dedikovaných data moverů (proxy pools) </w:t>
            </w:r>
          </w:p>
        </w:tc>
        <w:tc>
          <w:tcPr>
            <w:tcW w:w="1276" w:type="dxa"/>
            <w:shd w:val="clear" w:color="auto" w:fill="auto"/>
            <w:vAlign w:val="center"/>
          </w:tcPr>
          <w:p w:rsidR="00110D1C" w:rsidRPr="00110D1C" w:rsidP="00110D1C" w14:paraId="3A678683"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30A0108E" w14:textId="4374748B">
            <w:pPr>
              <w:spacing w:after="0" w:line="120" w:lineRule="atLeast"/>
              <w:jc w:val="center"/>
              <w:rPr>
                <w:rFonts w:ascii="Arial" w:eastAsia="Calibri" w:hAnsi="Arial" w:cs="Arial"/>
                <w:sz w:val="20"/>
                <w:szCs w:val="20"/>
              </w:rPr>
            </w:pPr>
            <w:r w:rsidRPr="00110D1C">
              <w:rPr>
                <w:rFonts w:ascii="Arial" w:eastAsia="Calibri" w:hAnsi="Arial" w:cs="Arial"/>
                <w:sz w:val="20"/>
                <w:szCs w:val="20"/>
              </w:rPr>
              <w:t xml:space="preserve">Konfigurace VMB365 umožňuje dedikování zálohovacích nodů jako data movery (proxy) a jejich sloučení do skupin pro </w:t>
            </w:r>
            <w:r w:rsidRPr="00110D1C" w:rsidR="00A8765E">
              <w:rPr>
                <w:rFonts w:ascii="Arial" w:eastAsia="Calibri" w:hAnsi="Arial" w:cs="Arial"/>
                <w:sz w:val="20"/>
                <w:szCs w:val="20"/>
              </w:rPr>
              <w:t>snazší</w:t>
            </w:r>
            <w:r w:rsidRPr="00110D1C">
              <w:rPr>
                <w:rFonts w:ascii="Arial" w:eastAsia="Calibri" w:hAnsi="Arial" w:cs="Arial"/>
                <w:sz w:val="20"/>
                <w:szCs w:val="20"/>
              </w:rPr>
              <w:t xml:space="preserve"> management</w:t>
            </w:r>
          </w:p>
        </w:tc>
      </w:tr>
      <w:tr w14:paraId="323452FA" w14:textId="77777777" w:rsidTr="00A8765E">
        <w:tblPrEx>
          <w:tblW w:w="9356" w:type="dxa"/>
          <w:tblInd w:w="-5" w:type="dxa"/>
          <w:tblLayout w:type="fixed"/>
          <w:tblLook w:val="04A0"/>
        </w:tblPrEx>
        <w:trPr>
          <w:cantSplit/>
          <w:trHeight w:val="567"/>
        </w:trPr>
        <w:tc>
          <w:tcPr>
            <w:tcW w:w="5387" w:type="dxa"/>
            <w:shd w:val="clear" w:color="auto" w:fill="auto"/>
            <w:vAlign w:val="center"/>
          </w:tcPr>
          <w:p w:rsidR="00110D1C" w:rsidRPr="00110D1C" w:rsidP="00110D1C" w14:paraId="4DEBF68A" w14:textId="77777777">
            <w:pPr>
              <w:spacing w:after="0" w:line="120" w:lineRule="atLeast"/>
              <w:rPr>
                <w:rFonts w:ascii="Arial" w:eastAsia="Calibri" w:hAnsi="Arial" w:cs="Arial"/>
                <w:sz w:val="20"/>
                <w:szCs w:val="20"/>
              </w:rPr>
            </w:pPr>
            <w:r w:rsidRPr="00110D1C">
              <w:rPr>
                <w:rFonts w:ascii="Arial" w:eastAsia="Times New Roman" w:hAnsi="Arial" w:cs="Arial"/>
                <w:color w:val="000000"/>
                <w:sz w:val="20"/>
                <w:szCs w:val="20"/>
                <w:lang w:eastAsia="cs-CZ"/>
              </w:rPr>
              <w:t>Proxy server musí být možné provozovat jak na OS Windows, tak na OS Linux</w:t>
            </w:r>
          </w:p>
        </w:tc>
        <w:tc>
          <w:tcPr>
            <w:tcW w:w="1276" w:type="dxa"/>
            <w:shd w:val="clear" w:color="auto" w:fill="auto"/>
            <w:vAlign w:val="center"/>
          </w:tcPr>
          <w:p w:rsidR="00110D1C" w:rsidRPr="00110D1C" w:rsidP="00110D1C" w14:paraId="705DF76D"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ANO</w:t>
            </w:r>
          </w:p>
        </w:tc>
        <w:tc>
          <w:tcPr>
            <w:tcW w:w="2693" w:type="dxa"/>
            <w:shd w:val="clear" w:color="auto" w:fill="auto"/>
            <w:vAlign w:val="center"/>
          </w:tcPr>
          <w:p w:rsidR="00110D1C" w:rsidRPr="00110D1C" w:rsidP="00110D1C" w14:paraId="5FEA14FF" w14:textId="77777777">
            <w:pPr>
              <w:spacing w:after="0" w:line="120" w:lineRule="atLeast"/>
              <w:jc w:val="center"/>
              <w:rPr>
                <w:rFonts w:ascii="Arial" w:eastAsia="Calibri" w:hAnsi="Arial" w:cs="Arial"/>
                <w:sz w:val="20"/>
                <w:szCs w:val="20"/>
              </w:rPr>
            </w:pPr>
            <w:r w:rsidRPr="00110D1C">
              <w:rPr>
                <w:rFonts w:ascii="Arial" w:eastAsia="Calibri" w:hAnsi="Arial" w:cs="Arial"/>
                <w:sz w:val="20"/>
                <w:szCs w:val="20"/>
              </w:rPr>
              <w:t>VBM365 proxy server lze provozovat jak na MS Windows, tak i na OS Linux</w:t>
            </w:r>
          </w:p>
        </w:tc>
      </w:tr>
    </w:tbl>
    <w:p w:rsidR="00110D1C" w:rsidRPr="00110D1C" w:rsidP="00110D1C" w14:paraId="1C602095" w14:textId="77777777">
      <w:pPr>
        <w:spacing w:after="0" w:line="240" w:lineRule="auto"/>
        <w:rPr>
          <w:rFonts w:ascii="Arial" w:eastAsia="MS Mincho" w:hAnsi="Arial" w:cs="Arial"/>
          <w:sz w:val="20"/>
          <w:szCs w:val="20"/>
          <w:lang w:eastAsia="ja-JP"/>
        </w:rPr>
      </w:pPr>
    </w:p>
    <w:p w:rsidR="00110D1C" w:rsidRPr="00110D1C" w:rsidP="00110D1C" w14:paraId="2ECEACDA" w14:textId="77777777">
      <w:pPr>
        <w:spacing w:after="120" w:line="240" w:lineRule="auto"/>
        <w:jc w:val="both"/>
        <w:rPr>
          <w:rFonts w:ascii="Arial" w:eastAsia="Calibri" w:hAnsi="Arial" w:cs="Arial"/>
          <w:b/>
          <w:sz w:val="20"/>
          <w:szCs w:val="20"/>
          <w:lang w:eastAsia="cs-CZ"/>
        </w:rPr>
      </w:pPr>
    </w:p>
    <w:p w:rsidR="00110D1C" w:rsidP="00110D1C" w14:paraId="7031ED92" w14:textId="77777777">
      <w:pPr>
        <w:spacing w:after="160" w:line="259" w:lineRule="auto"/>
      </w:pPr>
    </w:p>
    <w:p w:rsidR="00A8765E" w:rsidP="00110D1C" w14:paraId="2A48E0C5" w14:textId="77777777">
      <w:pPr>
        <w:spacing w:after="160" w:line="259" w:lineRule="auto"/>
      </w:pPr>
    </w:p>
    <w:p w:rsidR="00A8765E" w:rsidP="00110D1C" w14:paraId="5FD1BCE3" w14:textId="77777777">
      <w:pPr>
        <w:spacing w:after="160" w:line="259" w:lineRule="auto"/>
      </w:pPr>
    </w:p>
    <w:p w:rsidR="00A8765E" w:rsidP="00110D1C" w14:paraId="4C9F098D" w14:textId="77777777">
      <w:pPr>
        <w:spacing w:after="160" w:line="259" w:lineRule="auto"/>
      </w:pPr>
    </w:p>
    <w:p w:rsidR="00A8765E" w:rsidP="00110D1C" w14:paraId="4DAA9AC6" w14:textId="77777777">
      <w:pPr>
        <w:spacing w:after="160" w:line="259" w:lineRule="auto"/>
      </w:pPr>
    </w:p>
    <w:p w:rsidR="00A8765E" w:rsidP="00110D1C" w14:paraId="1ECE88EE" w14:textId="77777777">
      <w:pPr>
        <w:spacing w:after="160" w:line="259" w:lineRule="auto"/>
      </w:pPr>
    </w:p>
    <w:p w:rsidR="00A8765E" w:rsidP="00110D1C" w14:paraId="4D97090C" w14:textId="77777777">
      <w:pPr>
        <w:spacing w:after="160" w:line="259" w:lineRule="auto"/>
      </w:pPr>
    </w:p>
    <w:p w:rsidR="00A8765E" w:rsidP="008A5149" w14:paraId="054D7323" w14:textId="77777777">
      <w:pPr>
        <w:rPr>
          <w:rFonts w:ascii="Arial" w:hAnsi="Arial" w:cs="Arial"/>
        </w:rPr>
        <w:sectPr w:rsidSect="007B485F">
          <w:headerReference w:type="default" r:id="rId11"/>
          <w:pgSz w:w="11906" w:h="16838"/>
          <w:pgMar w:top="1417" w:right="1417" w:bottom="1417" w:left="1417" w:header="708" w:footer="708" w:gutter="0"/>
          <w:cols w:space="708"/>
          <w:docGrid w:linePitch="360"/>
        </w:sectPr>
      </w:pPr>
    </w:p>
    <w:p w:rsidR="00CD0C6C" w:rsidP="008A5149" w14:paraId="3B00126B" w14:textId="77777777">
      <w:pPr>
        <w:rPr>
          <w:rFonts w:ascii="Arial" w:hAnsi="Arial" w:cs="Arial"/>
        </w:rPr>
      </w:pPr>
    </w:p>
    <w:p w:rsidR="00CD0C6C" w:rsidP="008A5149" w14:paraId="0FAF16A5" w14:textId="05919D43">
      <w:pPr>
        <w:rPr>
          <w:rFonts w:ascii="Arial" w:hAnsi="Arial" w:cs="Arial"/>
        </w:rPr>
      </w:pPr>
      <w:r w:rsidRPr="00E17BD6">
        <w:rPr>
          <w:rFonts w:ascii="Arial" w:hAnsi="Arial" w:cs="Arial"/>
        </w:rPr>
        <w:t xml:space="preserve">Licenční podmínky </w:t>
      </w:r>
      <w:r>
        <w:rPr>
          <w:rFonts w:ascii="Arial" w:hAnsi="Arial" w:cs="Arial"/>
        </w:rPr>
        <w:t>se nacházejí na níže uvedených internetových stránkách výrobce:</w:t>
      </w:r>
    </w:p>
    <w:p w:rsidR="00E17BD6" w:rsidRPr="00E17BD6" w:rsidP="008A5149" w14:paraId="5757FEF9" w14:textId="2044C852">
      <w:pPr>
        <w:rPr>
          <w:rFonts w:ascii="Arial" w:hAnsi="Arial" w:cs="Arial"/>
        </w:rPr>
      </w:pPr>
      <w:hyperlink r:id="rId8" w:history="1">
        <w:r w:rsidRPr="000E76D4">
          <w:rPr>
            <w:rStyle w:val="Hyperlink"/>
            <w:rFonts w:ascii="Arial" w:hAnsi="Arial" w:cs="Arial"/>
          </w:rPr>
          <w:t>https://www.veeam.com/legal/licensing-policy.html</w:t>
        </w:r>
      </w:hyperlink>
      <w:r>
        <w:rPr>
          <w:rFonts w:ascii="Arial" w:hAnsi="Arial" w:cs="Arial"/>
        </w:rPr>
        <w:t xml:space="preserve"> </w:t>
      </w:r>
    </w:p>
    <w:p w:rsidR="00CD0C6C" w:rsidP="008A5149" w14:paraId="03B39862" w14:textId="77777777">
      <w:pPr>
        <w:rPr>
          <w:rFonts w:ascii="Arial" w:hAnsi="Arial" w:cs="Arial"/>
        </w:rPr>
      </w:pPr>
    </w:p>
    <w:p w:rsidR="00CD0C6C" w:rsidP="008A5149" w14:paraId="6C0EBE83" w14:textId="77777777">
      <w:pPr>
        <w:rPr>
          <w:rFonts w:ascii="Arial" w:hAnsi="Arial" w:cs="Arial"/>
        </w:rPr>
      </w:pPr>
    </w:p>
    <w:sectPr w:rsidSect="007B485F">
      <w:head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07CC" w:rsidRPr="00E707CC" w:rsidP="00E707CC" w14:paraId="1B214180" w14:textId="77777777">
    <w:pPr>
      <w:pBdr>
        <w:top w:val="single" w:sz="4" w:space="1" w:color="auto"/>
      </w:pBdr>
      <w:tabs>
        <w:tab w:val="center" w:pos="4536"/>
        <w:tab w:val="right" w:pos="9072"/>
      </w:tabs>
      <w:spacing w:after="0" w:line="240" w:lineRule="auto"/>
      <w:jc w:val="right"/>
      <w:rPr>
        <w:rFonts w:ascii="Arial" w:eastAsia="Calibri" w:hAnsi="Arial" w:cs="Times New Roman"/>
        <w:color w:val="000000" w:themeColor="text1"/>
        <w:sz w:val="20"/>
        <w:szCs w:val="20"/>
        <w:lang w:eastAsia="cs-CZ"/>
      </w:rPr>
    </w:pPr>
    <w:r w:rsidRPr="00E707CC">
      <w:rPr>
        <w:rFonts w:ascii="Arial" w:eastAsia="Calibri" w:hAnsi="Arial" w:cs="Times New Roman"/>
        <w:color w:val="000000" w:themeColor="text1"/>
        <w:sz w:val="20"/>
        <w:szCs w:val="20"/>
        <w:lang w:eastAsia="cs-CZ"/>
      </w:rPr>
      <w:t xml:space="preserve">Stránka </w:t>
    </w:r>
    <w:r w:rsidRPr="00E707CC">
      <w:rPr>
        <w:rFonts w:ascii="Arial" w:eastAsia="Calibri" w:hAnsi="Arial" w:cs="Times New Roman"/>
        <w:color w:val="000000" w:themeColor="text1"/>
        <w:sz w:val="20"/>
        <w:szCs w:val="20"/>
        <w:lang w:eastAsia="cs-CZ"/>
      </w:rPr>
      <w:fldChar w:fldCharType="begin"/>
    </w:r>
    <w:r w:rsidRPr="00E707CC">
      <w:rPr>
        <w:rFonts w:ascii="Arial" w:eastAsia="Calibri" w:hAnsi="Arial" w:cs="Times New Roman"/>
        <w:color w:val="000000" w:themeColor="text1"/>
        <w:sz w:val="20"/>
        <w:szCs w:val="20"/>
        <w:lang w:eastAsia="cs-CZ"/>
      </w:rPr>
      <w:instrText>PAGE  \* Arabic  \* MERGEFORMAT</w:instrText>
    </w:r>
    <w:r w:rsidRPr="00E707CC">
      <w:rPr>
        <w:rFonts w:ascii="Arial" w:eastAsia="Calibri" w:hAnsi="Arial" w:cs="Times New Roman"/>
        <w:color w:val="000000" w:themeColor="text1"/>
        <w:sz w:val="20"/>
        <w:szCs w:val="20"/>
        <w:lang w:eastAsia="cs-CZ"/>
      </w:rPr>
      <w:fldChar w:fldCharType="separate"/>
    </w:r>
    <w:r w:rsidRPr="00E707CC">
      <w:rPr>
        <w:rFonts w:ascii="Arial" w:eastAsia="Calibri" w:hAnsi="Arial" w:cs="Times New Roman"/>
        <w:color w:val="000000" w:themeColor="text1"/>
        <w:sz w:val="20"/>
        <w:szCs w:val="20"/>
        <w:lang w:eastAsia="cs-CZ"/>
      </w:rPr>
      <w:t>15</w:t>
    </w:r>
    <w:r w:rsidRPr="00E707CC">
      <w:rPr>
        <w:rFonts w:ascii="Arial" w:eastAsia="Calibri" w:hAnsi="Arial" w:cs="Times New Roman"/>
        <w:color w:val="000000" w:themeColor="text1"/>
        <w:sz w:val="20"/>
        <w:szCs w:val="20"/>
        <w:lang w:eastAsia="cs-CZ"/>
      </w:rPr>
      <w:fldChar w:fldCharType="end"/>
    </w:r>
    <w:r w:rsidRPr="00E707CC">
      <w:rPr>
        <w:rFonts w:ascii="Arial" w:eastAsia="Calibri" w:hAnsi="Arial" w:cs="Times New Roman"/>
        <w:color w:val="000000" w:themeColor="text1"/>
        <w:sz w:val="20"/>
        <w:szCs w:val="20"/>
        <w:lang w:eastAsia="cs-CZ"/>
      </w:rPr>
      <w:t xml:space="preserve"> (celkem </w:t>
    </w:r>
    <w:r w:rsidRPr="00E707CC">
      <w:rPr>
        <w:rFonts w:ascii="Arial" w:eastAsia="Calibri" w:hAnsi="Arial" w:cs="Times New Roman"/>
        <w:color w:val="000000" w:themeColor="text1"/>
        <w:sz w:val="20"/>
        <w:szCs w:val="20"/>
        <w:lang w:eastAsia="cs-CZ"/>
      </w:rPr>
      <w:fldChar w:fldCharType="begin"/>
    </w:r>
    <w:r w:rsidRPr="00E707CC">
      <w:rPr>
        <w:rFonts w:ascii="Arial" w:eastAsia="Calibri" w:hAnsi="Arial" w:cs="Times New Roman"/>
        <w:color w:val="000000" w:themeColor="text1"/>
        <w:sz w:val="20"/>
        <w:szCs w:val="20"/>
        <w:lang w:eastAsia="cs-CZ"/>
      </w:rPr>
      <w:instrText>NUMPAGES  \* Arabic  \* MERGEFORMAT</w:instrText>
    </w:r>
    <w:r w:rsidRPr="00E707CC">
      <w:rPr>
        <w:rFonts w:ascii="Arial" w:eastAsia="Calibri" w:hAnsi="Arial" w:cs="Times New Roman"/>
        <w:color w:val="000000" w:themeColor="text1"/>
        <w:sz w:val="20"/>
        <w:szCs w:val="20"/>
        <w:lang w:eastAsia="cs-CZ"/>
      </w:rPr>
      <w:fldChar w:fldCharType="separate"/>
    </w:r>
    <w:r w:rsidRPr="00E707CC">
      <w:rPr>
        <w:rFonts w:ascii="Arial" w:eastAsia="Calibri" w:hAnsi="Arial" w:cs="Times New Roman"/>
        <w:color w:val="000000" w:themeColor="text1"/>
        <w:sz w:val="20"/>
        <w:szCs w:val="20"/>
        <w:lang w:eastAsia="cs-CZ"/>
      </w:rPr>
      <w:t>15</w:t>
    </w:r>
    <w:r w:rsidRPr="00E707CC">
      <w:rPr>
        <w:rFonts w:ascii="Arial" w:eastAsia="Calibri" w:hAnsi="Arial" w:cs="Times New Roman"/>
        <w:color w:val="000000" w:themeColor="text1"/>
        <w:sz w:val="20"/>
        <w:szCs w:val="20"/>
        <w:lang w:eastAsia="cs-CZ"/>
      </w:rPr>
      <w:fldChar w:fldCharType="end"/>
    </w:r>
    <w:r w:rsidRPr="00E707CC">
      <w:rPr>
        <w:rFonts w:ascii="Arial" w:eastAsia="Calibri" w:hAnsi="Arial" w:cs="Times New Roman"/>
        <w:color w:val="000000" w:themeColor="text1"/>
        <w:sz w:val="20"/>
        <w:szCs w:val="20"/>
        <w:lang w:eastAsia="cs-CZ"/>
      </w:rPr>
      <w:t>)</w:t>
    </w:r>
  </w:p>
  <w:p w:rsidR="00E707CC" w14:paraId="62B054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81" w:type="dxa"/>
      <w:tblLook w:val="00A0"/>
    </w:tblPr>
    <w:tblGrid>
      <w:gridCol w:w="9781"/>
    </w:tblGrid>
    <w:tr w14:paraId="33638205" w14:textId="77777777" w:rsidTr="00225D99">
      <w:tblPrEx>
        <w:tblW w:w="9781" w:type="dxa"/>
        <w:tblLook w:val="00A0"/>
      </w:tblPrEx>
      <w:tc>
        <w:tcPr>
          <w:tcW w:w="9781" w:type="dxa"/>
        </w:tcPr>
        <w:p w:rsidR="00225D99" w:rsidRPr="00225D99" w:rsidP="00225D99" w14:paraId="5A99A51E" w14:textId="7E61537C">
          <w:pPr>
            <w:tabs>
              <w:tab w:val="left" w:pos="1206"/>
            </w:tabs>
            <w:jc w:val="right"/>
            <w:rPr>
              <w:rFonts w:ascii="Arial" w:hAnsi="Arial" w:cs="Arial"/>
              <w:i/>
              <w:iCs/>
            </w:rPr>
          </w:pPr>
        </w:p>
      </w:tc>
    </w:tr>
  </w:tbl>
  <w:p w:rsidR="0070623E" w:rsidRPr="0070623E" w:rsidP="0070623E" w14:paraId="0B7FBA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9855"/>
      <w:gridCol w:w="222"/>
    </w:tblGrid>
    <w:tr w14:paraId="2D78EED7" w14:textId="77777777" w:rsidTr="00D6113A">
      <w:tblPrEx>
        <w:tblW w:w="9889" w:type="dxa"/>
        <w:tblLook w:val="04A0"/>
      </w:tblPrEx>
      <w:tc>
        <w:tcPr>
          <w:tcW w:w="6345" w:type="dxa"/>
          <w:shd w:val="clear" w:color="auto" w:fill="auto"/>
        </w:tcPr>
        <w:p w:rsidR="00E707CC" w:rsidRPr="00C171E6" w:rsidP="00E707CC" w14:paraId="6CC6E4C6" w14:textId="77777777">
          <w:pPr>
            <w:tabs>
              <w:tab w:val="center" w:pos="4536"/>
              <w:tab w:val="right" w:pos="9072"/>
            </w:tabs>
            <w:spacing w:after="120"/>
          </w:pPr>
          <w:r w:rsidRPr="00C20339">
            <w:rPr>
              <w:noProof/>
            </w:rPr>
            <w:drawing>
              <wp:inline distT="0" distB="0" distL="0" distR="0">
                <wp:extent cx="2209800" cy="647700"/>
                <wp:effectExtent l="0" t="0" r="0" b="0"/>
                <wp:docPr id="1127877871" name="Obrázek 7"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77871"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647700"/>
                        </a:xfrm>
                        <a:prstGeom prst="rect">
                          <a:avLst/>
                        </a:prstGeom>
                        <a:noFill/>
                        <a:ln>
                          <a:noFill/>
                        </a:ln>
                      </pic:spPr>
                    </pic:pic>
                  </a:graphicData>
                </a:graphic>
              </wp:inline>
            </w:drawing>
          </w:r>
        </w:p>
        <w:tbl>
          <w:tblPr>
            <w:tblW w:w="9639" w:type="dxa"/>
            <w:tblBorders>
              <w:top w:val="single" w:sz="4" w:space="0" w:color="auto"/>
              <w:bottom w:val="single" w:sz="18" w:space="0" w:color="auto"/>
            </w:tblBorders>
            <w:tblLook w:val="04A0"/>
          </w:tblPr>
          <w:tblGrid>
            <w:gridCol w:w="9639"/>
          </w:tblGrid>
          <w:tr w14:paraId="2710A746" w14:textId="77777777" w:rsidTr="00D6113A">
            <w:tblPrEx>
              <w:tblW w:w="9639" w:type="dxa"/>
              <w:tblBorders>
                <w:top w:val="single" w:sz="4" w:space="0" w:color="auto"/>
                <w:bottom w:val="single" w:sz="18" w:space="0" w:color="auto"/>
              </w:tblBorders>
              <w:tblLook w:val="04A0"/>
            </w:tblPrEx>
            <w:trPr>
              <w:trHeight w:val="370"/>
            </w:trPr>
            <w:tc>
              <w:tcPr>
                <w:tcW w:w="9639" w:type="dxa"/>
                <w:tcBorders>
                  <w:top w:val="single" w:sz="4" w:space="0" w:color="161A48"/>
                  <w:bottom w:val="single" w:sz="12" w:space="0" w:color="auto"/>
                </w:tcBorders>
                <w:shd w:val="clear" w:color="auto" w:fill="auto"/>
              </w:tcPr>
              <w:p w:rsidR="00E707CC" w:rsidRPr="00332E33" w:rsidP="00E707CC" w14:paraId="25436F46" w14:textId="77777777">
                <w:pPr>
                  <w:spacing w:before="120" w:after="120" w:line="360" w:lineRule="auto"/>
                  <w:ind w:left="-108"/>
                  <w:rPr>
                    <w:rFonts w:ascii="Arial" w:eastAsia="Arial" w:hAnsi="Arial" w:cs="Arial"/>
                    <w:b/>
                    <w:color w:val="161A48"/>
                    <w:sz w:val="28"/>
                  </w:rPr>
                </w:pPr>
                <w:bookmarkStart w:id="0" w:name="_Hlk192145854"/>
                <w:r w:rsidRPr="00332E33">
                  <w:rPr>
                    <w:rFonts w:ascii="Arial" w:eastAsia="Arial" w:hAnsi="Arial" w:cs="Arial"/>
                    <w:b/>
                    <w:color w:val="161A48"/>
                    <w:sz w:val="28"/>
                  </w:rPr>
                  <w:t>Odbor informatiky</w:t>
                </w:r>
                <w:bookmarkEnd w:id="0"/>
              </w:p>
            </w:tc>
          </w:tr>
        </w:tbl>
        <w:p w:rsidR="00E707CC" w:rsidRPr="004B0A7C" w:rsidP="00E707CC" w14:paraId="44EDEFE9" w14:textId="77777777">
          <w:pPr>
            <w:tabs>
              <w:tab w:val="left" w:pos="1206"/>
            </w:tabs>
            <w:rPr>
              <w:rFonts w:ascii="Cambria" w:hAnsi="Cambria" w:cs="Arial"/>
              <w:sz w:val="44"/>
              <w:szCs w:val="40"/>
            </w:rPr>
          </w:pPr>
        </w:p>
      </w:tc>
      <w:tc>
        <w:tcPr>
          <w:tcW w:w="3544" w:type="dxa"/>
          <w:shd w:val="clear" w:color="auto" w:fill="auto"/>
        </w:tcPr>
        <w:p w:rsidR="00E707CC" w:rsidRPr="004B0A7C" w:rsidP="00E707CC" w14:paraId="7719A26C" w14:textId="77777777">
          <w:pPr>
            <w:tabs>
              <w:tab w:val="center" w:pos="4536"/>
              <w:tab w:val="right" w:pos="9072"/>
            </w:tabs>
            <w:jc w:val="right"/>
          </w:pPr>
        </w:p>
      </w:tc>
    </w:tr>
  </w:tbl>
  <w:p w:rsidR="00E707CC" w14:paraId="31645F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623E" w:rsidRPr="0070623E" w:rsidP="0070623E" w14:paraId="2DB4E58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56" w:type="dxa"/>
      <w:tblLook w:val="00A0"/>
    </w:tblPr>
    <w:tblGrid>
      <w:gridCol w:w="9356"/>
    </w:tblGrid>
    <w:tr w14:paraId="02985C66" w14:textId="77777777" w:rsidTr="007B485F">
      <w:tblPrEx>
        <w:tblW w:w="9356" w:type="dxa"/>
        <w:tblLook w:val="00A0"/>
      </w:tblPrEx>
      <w:tc>
        <w:tcPr>
          <w:tcW w:w="9356" w:type="dxa"/>
          <w:hideMark/>
        </w:tcPr>
        <w:p w:rsidR="007B485F" w:rsidP="007B485F" w14:paraId="647549AD" w14:textId="77777777">
          <w:pPr>
            <w:tabs>
              <w:tab w:val="left" w:pos="1206"/>
            </w:tabs>
            <w:jc w:val="right"/>
            <w:rPr>
              <w:rFonts w:ascii="Arial" w:hAnsi="Arial" w:cs="Arial"/>
            </w:rPr>
          </w:pPr>
          <w:r>
            <w:rPr>
              <w:rFonts w:ascii="Arial" w:hAnsi="Arial" w:cs="Arial"/>
            </w:rPr>
            <w:t>Příloha č. 1   Kalkulace ceny</w:t>
          </w:r>
        </w:p>
      </w:tc>
    </w:tr>
  </w:tbl>
  <w:p w:rsidR="00203D2C" w:rsidRPr="0070623E" w:rsidP="0070623E" w14:paraId="2C46C94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85F" w:rsidRPr="0070623E" w:rsidP="007B485F" w14:paraId="255F6ECE" w14:textId="6A11778B">
    <w:pPr>
      <w:pStyle w:val="Header"/>
      <w:jc w:val="right"/>
    </w:pPr>
    <w:r>
      <w:rPr>
        <w:rFonts w:ascii="Arial" w:hAnsi="Arial" w:cs="Arial"/>
      </w:rPr>
      <w:t>Příloha č. 2   Technická specifikace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56" w:type="dxa"/>
      <w:tblLook w:val="00A0"/>
    </w:tblPr>
    <w:tblGrid>
      <w:gridCol w:w="9356"/>
    </w:tblGrid>
    <w:tr w14:paraId="1512A35B" w14:textId="77777777" w:rsidTr="009A1654">
      <w:tblPrEx>
        <w:tblW w:w="9356" w:type="dxa"/>
        <w:tblLook w:val="00A0"/>
      </w:tblPrEx>
      <w:tc>
        <w:tcPr>
          <w:tcW w:w="9356" w:type="dxa"/>
        </w:tcPr>
        <w:p w:rsidR="007B485F" w:rsidRPr="009A1654" w:rsidP="00203D2C" w14:paraId="571D2B4A" w14:textId="77777777">
          <w:pPr>
            <w:tabs>
              <w:tab w:val="left" w:pos="1206"/>
            </w:tabs>
            <w:jc w:val="right"/>
            <w:rPr>
              <w:rFonts w:ascii="Arial" w:hAnsi="Arial" w:cs="Arial"/>
            </w:rPr>
          </w:pPr>
          <w:r>
            <w:rPr>
              <w:rFonts w:ascii="Arial" w:hAnsi="Arial" w:cs="Arial"/>
            </w:rPr>
            <w:t>Příloha č. 3   Licenční podmínky</w:t>
          </w:r>
        </w:p>
      </w:tc>
    </w:tr>
  </w:tbl>
  <w:p w:rsidR="007B485F" w:rsidRPr="0070623E" w:rsidP="0070623E" w14:paraId="07119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
    <w:nsid w:val="0D565B0B"/>
    <w:multiLevelType w:val="hybridMultilevel"/>
    <w:tmpl w:val="3F22540E"/>
    <w:lvl w:ilvl="0">
      <w:start w:val="1"/>
      <w:numFmt w:val="upperRoman"/>
      <w:pStyle w:val="Heading4"/>
      <w:suff w:val="space"/>
      <w:lvlText w:val="Článek %1."/>
      <w:lvlJc w:val="left"/>
      <w:pPr>
        <w:ind w:left="7732"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937AC5"/>
    <w:multiLevelType w:val="hybridMultilevel"/>
    <w:tmpl w:val="C818C82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F87A1B"/>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0B2A8E"/>
    <w:multiLevelType w:val="hybridMultilevel"/>
    <w:tmpl w:val="84E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5B1B1D"/>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D15530"/>
    <w:multiLevelType w:val="hybridMultilevel"/>
    <w:tmpl w:val="A5F41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CC169C"/>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EC7101D"/>
    <w:multiLevelType w:val="hybridMultilevel"/>
    <w:tmpl w:val="E2A0D6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A6CA0"/>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791D4F"/>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744EC2"/>
    <w:multiLevelType w:val="hybridMultilevel"/>
    <w:tmpl w:val="65C8419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num w:numId="1">
    <w:abstractNumId w:val="1"/>
  </w:num>
  <w:num w:numId="2">
    <w:abstractNumId w:val="2"/>
  </w:num>
  <w:num w:numId="3">
    <w:abstractNumId w:val="5"/>
  </w:num>
  <w:num w:numId="4">
    <w:abstractNumId w:val="3"/>
  </w:num>
  <w:num w:numId="5">
    <w:abstractNumId w:val="11"/>
  </w:num>
  <w:num w:numId="6">
    <w:abstractNumId w:val="13"/>
  </w:num>
  <w:num w:numId="7">
    <w:abstractNumId w:val="15"/>
  </w:num>
  <w:num w:numId="8">
    <w:abstractNumId w:val="8"/>
  </w:num>
  <w:num w:numId="9">
    <w:abstractNumId w:val="4"/>
  </w:num>
  <w:num w:numId="10">
    <w:abstractNumId w:val="14"/>
  </w:num>
  <w:num w:numId="11">
    <w:abstractNumId w:val="7"/>
  </w:num>
  <w:num w:numId="12">
    <w:abstractNumId w:val="16"/>
  </w:num>
  <w:num w:numId="13">
    <w:abstractNumId w:val="10"/>
  </w:num>
  <w:num w:numId="14">
    <w:abstractNumId w:val="9"/>
  </w:num>
  <w:num w:numId="15">
    <w:abstractNumId w:val="0"/>
  </w:num>
  <w:num w:numId="16">
    <w:abstractNumId w:val="1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23"/>
    <w:rsid w:val="00001642"/>
    <w:rsid w:val="000325C2"/>
    <w:rsid w:val="00075D9B"/>
    <w:rsid w:val="00091369"/>
    <w:rsid w:val="000A1888"/>
    <w:rsid w:val="000E76D4"/>
    <w:rsid w:val="00106FD0"/>
    <w:rsid w:val="00110D1C"/>
    <w:rsid w:val="001D35E6"/>
    <w:rsid w:val="00203D2C"/>
    <w:rsid w:val="00222939"/>
    <w:rsid w:val="00225D99"/>
    <w:rsid w:val="00240973"/>
    <w:rsid w:val="0024522C"/>
    <w:rsid w:val="002850D9"/>
    <w:rsid w:val="002E5555"/>
    <w:rsid w:val="003067AB"/>
    <w:rsid w:val="00312D7F"/>
    <w:rsid w:val="00332E33"/>
    <w:rsid w:val="003C0537"/>
    <w:rsid w:val="0043270E"/>
    <w:rsid w:val="004451CC"/>
    <w:rsid w:val="004829AC"/>
    <w:rsid w:val="004A3943"/>
    <w:rsid w:val="004B0A7C"/>
    <w:rsid w:val="004B439F"/>
    <w:rsid w:val="004E3315"/>
    <w:rsid w:val="00535A8E"/>
    <w:rsid w:val="00536033"/>
    <w:rsid w:val="00561DBE"/>
    <w:rsid w:val="00576B95"/>
    <w:rsid w:val="0059450F"/>
    <w:rsid w:val="00595981"/>
    <w:rsid w:val="005D083D"/>
    <w:rsid w:val="005F3E29"/>
    <w:rsid w:val="00635B4D"/>
    <w:rsid w:val="00657383"/>
    <w:rsid w:val="00690CA9"/>
    <w:rsid w:val="006E1BEB"/>
    <w:rsid w:val="006E356C"/>
    <w:rsid w:val="0070623E"/>
    <w:rsid w:val="007106B0"/>
    <w:rsid w:val="007153AB"/>
    <w:rsid w:val="00742CC0"/>
    <w:rsid w:val="007A1E3C"/>
    <w:rsid w:val="007B3FE8"/>
    <w:rsid w:val="007B485F"/>
    <w:rsid w:val="007E1C33"/>
    <w:rsid w:val="007F2D26"/>
    <w:rsid w:val="00801E2F"/>
    <w:rsid w:val="00804388"/>
    <w:rsid w:val="00825E02"/>
    <w:rsid w:val="00844349"/>
    <w:rsid w:val="00844BEC"/>
    <w:rsid w:val="008A3C32"/>
    <w:rsid w:val="008A5149"/>
    <w:rsid w:val="008C0D77"/>
    <w:rsid w:val="008F684F"/>
    <w:rsid w:val="0092016F"/>
    <w:rsid w:val="00923247"/>
    <w:rsid w:val="00954F91"/>
    <w:rsid w:val="00964D33"/>
    <w:rsid w:val="009723AA"/>
    <w:rsid w:val="0098478A"/>
    <w:rsid w:val="009A1654"/>
    <w:rsid w:val="009A4A3E"/>
    <w:rsid w:val="009D074E"/>
    <w:rsid w:val="00A8765E"/>
    <w:rsid w:val="00A87B8D"/>
    <w:rsid w:val="00AD5E86"/>
    <w:rsid w:val="00AF2906"/>
    <w:rsid w:val="00B37555"/>
    <w:rsid w:val="00B47D42"/>
    <w:rsid w:val="00B51A46"/>
    <w:rsid w:val="00B55ECC"/>
    <w:rsid w:val="00B86ABC"/>
    <w:rsid w:val="00B93CCD"/>
    <w:rsid w:val="00BD3C22"/>
    <w:rsid w:val="00C171E6"/>
    <w:rsid w:val="00C546BA"/>
    <w:rsid w:val="00C65E48"/>
    <w:rsid w:val="00C83696"/>
    <w:rsid w:val="00C97FE1"/>
    <w:rsid w:val="00CD0C6C"/>
    <w:rsid w:val="00CD3D27"/>
    <w:rsid w:val="00D25CB5"/>
    <w:rsid w:val="00DA4642"/>
    <w:rsid w:val="00DA6D56"/>
    <w:rsid w:val="00DD4323"/>
    <w:rsid w:val="00DF45A0"/>
    <w:rsid w:val="00E17BD6"/>
    <w:rsid w:val="00E44E57"/>
    <w:rsid w:val="00E6480D"/>
    <w:rsid w:val="00E707CC"/>
    <w:rsid w:val="00E86FF2"/>
    <w:rsid w:val="00E95182"/>
    <w:rsid w:val="00F25D99"/>
    <w:rsid w:val="00F343FC"/>
    <w:rsid w:val="00F43261"/>
    <w:rsid w:val="00F825FD"/>
    <w:rsid w:val="00F830E7"/>
    <w:rsid w:val="00FA0FF3"/>
    <w:rsid w:val="00FC482F"/>
    <w:rsid w:val="00FE62A9"/>
    <w:rsid w:val="00FE766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333F4021"/>
  <w15:chartTrackingRefBased/>
  <w15:docId w15:val="{93C44D27-F3E4-4275-916B-649A20B1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23"/>
    <w:pPr>
      <w:spacing w:after="200" w:line="276" w:lineRule="auto"/>
    </w:pPr>
  </w:style>
  <w:style w:type="paragraph" w:styleId="Heading1">
    <w:name w:val="heading 1"/>
    <w:basedOn w:val="Normal"/>
    <w:next w:val="Normal"/>
    <w:link w:val="Nadpis1Char"/>
    <w:uiPriority w:val="9"/>
    <w:qFormat/>
    <w:rsid w:val="00DD4323"/>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Heading4">
    <w:name w:val="heading 4"/>
    <w:basedOn w:val="ListParagraph"/>
    <w:next w:val="Normal"/>
    <w:link w:val="Nadpis4Char"/>
    <w:uiPriority w:val="9"/>
    <w:unhideWhenUsed/>
    <w:qFormat/>
    <w:rsid w:val="00DD4323"/>
    <w:pPr>
      <w:numPr>
        <w:numId w:val="1"/>
      </w:numPr>
      <w:tabs>
        <w:tab w:val="num" w:pos="360"/>
      </w:tabs>
      <w:spacing w:after="240" w:line="240" w:lineRule="auto"/>
      <w:ind w:left="0" w:firstLine="0"/>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D4323"/>
    <w:rPr>
      <w:rFonts w:ascii="Arial" w:eastAsia="Times New Roman" w:hAnsi="Arial" w:cs="Arial"/>
      <w:b/>
      <w:bCs/>
      <w:kern w:val="32"/>
      <w:sz w:val="26"/>
      <w:szCs w:val="26"/>
      <w:lang w:val="x-none" w:eastAsia="x-none"/>
    </w:rPr>
  </w:style>
  <w:style w:type="character" w:customStyle="1" w:styleId="Nadpis4Char">
    <w:name w:val="Nadpis 4 Char"/>
    <w:basedOn w:val="DefaultParagraphFont"/>
    <w:link w:val="Heading4"/>
    <w:uiPriority w:val="9"/>
    <w:rsid w:val="00DD4323"/>
    <w:rPr>
      <w:rFonts w:ascii="Arial" w:hAnsi="Arial" w:cs="Arial"/>
      <w:b/>
    </w:rPr>
  </w:style>
  <w:style w:type="paragraph" w:styleId="ListParagraph">
    <w:name w:val="List Paragraph"/>
    <w:aliases w:val="2,A-Odrážky1,Conclusion de partie,Dot pt,List Paragraph2,Nad,Nad1,Nad2,Odstavec_muj,Odstavec_muj1,Odstavec_muj2,Odstavec_muj3,Odstavec_muj4,Odstavec_muj5,Odstavec_muj6,Odstavec_muj7,Odstavec_muj8,_Odstavec se seznamem"/>
    <w:basedOn w:val="Normal"/>
    <w:link w:val="OdstavecseseznamemChar"/>
    <w:uiPriority w:val="34"/>
    <w:qFormat/>
    <w:rsid w:val="00DD4323"/>
    <w:pPr>
      <w:ind w:left="720"/>
      <w:contextualSpacing/>
    </w:pPr>
  </w:style>
  <w:style w:type="character" w:customStyle="1" w:styleId="OdstavecseseznamemChar">
    <w:name w:val="Odstavec se seznamem Char"/>
    <w:aliases w:val="A-Odrážky1 Char,Conclusion de partie Char,Dot pt Char,List Paragraph2 Char,Nad Char,Nad1 Char,Nad2 Char,Odstavec_muj Char,Odstavec_muj1 Char,Odstavec_muj2 Char,Odstavec_muj3 Char,Odstavec_muj4 Char,_Odstavec se seznamem Char"/>
    <w:link w:val="ListParagraph"/>
    <w:uiPriority w:val="34"/>
    <w:qFormat/>
    <w:rsid w:val="00DD4323"/>
  </w:style>
  <w:style w:type="paragraph" w:customStyle="1" w:styleId="Normodsaz">
    <w:name w:val="Norm.odsaz."/>
    <w:basedOn w:val="Normal"/>
    <w:uiPriority w:val="99"/>
    <w:rsid w:val="00DD4323"/>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styleId="Header">
    <w:name w:val="header"/>
    <w:basedOn w:val="Normal"/>
    <w:link w:val="ZhlavChar"/>
    <w:uiPriority w:val="99"/>
    <w:unhideWhenUsed/>
    <w:rsid w:val="0070623E"/>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70623E"/>
  </w:style>
  <w:style w:type="paragraph" w:styleId="Footer">
    <w:name w:val="footer"/>
    <w:basedOn w:val="Normal"/>
    <w:link w:val="ZpatChar"/>
    <w:uiPriority w:val="99"/>
    <w:unhideWhenUsed/>
    <w:rsid w:val="0070623E"/>
    <w:pPr>
      <w:tabs>
        <w:tab w:val="center" w:pos="4536"/>
        <w:tab w:val="right" w:pos="9072"/>
      </w:tabs>
      <w:spacing w:after="0" w:line="240" w:lineRule="auto"/>
    </w:pPr>
  </w:style>
  <w:style w:type="character" w:customStyle="1" w:styleId="ZpatChar">
    <w:name w:val="Zápatí Char"/>
    <w:basedOn w:val="DefaultParagraphFont"/>
    <w:link w:val="Footer"/>
    <w:uiPriority w:val="99"/>
    <w:rsid w:val="0070623E"/>
  </w:style>
  <w:style w:type="character" w:styleId="CommentReference">
    <w:name w:val="annotation reference"/>
    <w:basedOn w:val="DefaultParagraphFont"/>
    <w:uiPriority w:val="99"/>
    <w:semiHidden/>
    <w:unhideWhenUsed/>
    <w:rsid w:val="004B439F"/>
    <w:rPr>
      <w:sz w:val="16"/>
      <w:szCs w:val="16"/>
    </w:rPr>
  </w:style>
  <w:style w:type="paragraph" w:styleId="CommentText">
    <w:name w:val="annotation text"/>
    <w:basedOn w:val="Normal"/>
    <w:link w:val="TextkomenteChar"/>
    <w:uiPriority w:val="99"/>
    <w:unhideWhenUsed/>
    <w:rsid w:val="004B439F"/>
    <w:pPr>
      <w:spacing w:line="240" w:lineRule="auto"/>
    </w:pPr>
    <w:rPr>
      <w:sz w:val="20"/>
      <w:szCs w:val="20"/>
    </w:rPr>
  </w:style>
  <w:style w:type="character" w:customStyle="1" w:styleId="TextkomenteChar">
    <w:name w:val="Text komentáře Char"/>
    <w:basedOn w:val="DefaultParagraphFont"/>
    <w:link w:val="CommentText"/>
    <w:uiPriority w:val="99"/>
    <w:rsid w:val="004B439F"/>
    <w:rPr>
      <w:sz w:val="20"/>
      <w:szCs w:val="20"/>
    </w:rPr>
  </w:style>
  <w:style w:type="paragraph" w:styleId="CommentSubject">
    <w:name w:val="annotation subject"/>
    <w:basedOn w:val="CommentText"/>
    <w:next w:val="CommentText"/>
    <w:link w:val="PedmtkomenteChar"/>
    <w:uiPriority w:val="99"/>
    <w:semiHidden/>
    <w:unhideWhenUsed/>
    <w:rsid w:val="004B439F"/>
    <w:rPr>
      <w:b/>
      <w:bCs/>
    </w:rPr>
  </w:style>
  <w:style w:type="character" w:customStyle="1" w:styleId="PedmtkomenteChar">
    <w:name w:val="Předmět komentáře Char"/>
    <w:basedOn w:val="TextkomenteChar"/>
    <w:link w:val="CommentSubject"/>
    <w:uiPriority w:val="99"/>
    <w:semiHidden/>
    <w:rsid w:val="004B439F"/>
    <w:rPr>
      <w:b/>
      <w:bCs/>
      <w:sz w:val="20"/>
      <w:szCs w:val="20"/>
    </w:rPr>
  </w:style>
  <w:style w:type="character" w:styleId="Hyperlink">
    <w:name w:val="Hyperlink"/>
    <w:basedOn w:val="DefaultParagraphFont"/>
    <w:uiPriority w:val="99"/>
    <w:unhideWhenUsed/>
    <w:rsid w:val="00B55ECC"/>
    <w:rPr>
      <w:color w:val="0563C1" w:themeColor="hyperlink"/>
      <w:u w:val="single"/>
    </w:rPr>
  </w:style>
  <w:style w:type="character" w:customStyle="1" w:styleId="UnresolvedMention">
    <w:name w:val="Unresolved Mention"/>
    <w:basedOn w:val="DefaultParagraphFont"/>
    <w:uiPriority w:val="99"/>
    <w:semiHidden/>
    <w:unhideWhenUsed/>
    <w:rsid w:val="00B55ECC"/>
    <w:rPr>
      <w:color w:val="605E5C"/>
      <w:shd w:val="clear" w:color="auto" w:fill="E1DFDD"/>
    </w:rPr>
  </w:style>
  <w:style w:type="character" w:styleId="FollowedHyperlink">
    <w:name w:val="FollowedHyperlink"/>
    <w:basedOn w:val="DefaultParagraphFont"/>
    <w:uiPriority w:val="99"/>
    <w:semiHidden/>
    <w:unhideWhenUsed/>
    <w:rsid w:val="00D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https://www.veeam.com/legal/licensing-policy.html" TargetMode="Externa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FFE6-CA6A-4A70-B887-88FA349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5372</Words>
  <Characters>31695</Characters>
  <Application>Microsoft Office Word</Application>
  <DocSecurity>0</DocSecurity>
  <Lines>264</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 Gabriela</dc:creator>
  <cp:lastModifiedBy>Mašínová Gabriela</cp:lastModifiedBy>
  <cp:revision>4</cp:revision>
  <dcterms:created xsi:type="dcterms:W3CDTF">2025-03-27T05:13:00Z</dcterms:created>
  <dcterms:modified xsi:type="dcterms:W3CDTF">2025-03-28T09:18:00Z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13854-2025-UVCR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28.3.2025</vt:lpwstr>
  </property>
  <property fmtid="{D5CDD505-2E9C-101B-9397-08002B2CF9AE}" pid="13" name="DisplayName_CisloObalky_PostaOdes">
    <vt:lpwstr>ČÍSLO OBÁLKY</vt:lpwstr>
  </property>
  <property fmtid="{D5CDD505-2E9C-101B-9397-08002B2CF9AE}" pid="14" name="DisplayName_CJCol">
    <vt:lpwstr>&lt;TABLE&gt;&lt;TR&gt;&lt;TD&gt;Č.j.:&lt;/TD&gt;&lt;TD&gt;13854-2025-UVCR&lt;/TD&gt;&lt;/TR&gt;&lt;TR&gt;&lt;TD&gt;&lt;/TD&gt;&lt;TD&gt;&lt;/TD&gt;&lt;/TR&gt;&lt;/TABLE&gt;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UVCR25D0013836</vt:lpwstr>
  </property>
  <property fmtid="{D5CDD505-2E9C-101B-9397-08002B2CF9AE}" pid="22" name="Key_BarCode_Pisemnost">
    <vt:lpwstr>*UVCR25D0013836*</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0/15</vt:lpwstr>
  </property>
  <property fmtid="{D5CDD505-2E9C-101B-9397-08002B2CF9AE}" pid="31" name="PocetPriloh_Pisemnost">
    <vt:lpwstr>15</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UVCR25D0013836</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SPIS-2025-78</vt:lpwstr>
  </property>
  <property fmtid="{D5CDD505-2E9C-101B-9397-08002B2CF9AE}" pid="40" name="TEST">
    <vt:lpwstr>testovací pole</vt:lpwstr>
  </property>
  <property fmtid="{D5CDD505-2E9C-101B-9397-08002B2CF9AE}" pid="41" name="TypPrilohy_Pisemnost">
    <vt:lpwstr>15 Dokument</vt:lpwstr>
  </property>
  <property fmtid="{D5CDD505-2E9C-101B-9397-08002B2CF9AE}" pid="42" name="UserName_PisemnostTypZpristupneniInformaciZOSZ_Pisemnost">
    <vt:lpwstr>ZOSZ_UserName</vt:lpwstr>
  </property>
  <property fmtid="{D5CDD505-2E9C-101B-9397-08002B2CF9AE}" pid="43" name="Vec_Pisemnost">
    <vt:lpwstr>OIT - Smlouva na dodání licencí a poskytování podpory „Pořízení časově a množstevně omezené licence k užívání zálohovacího software prostředí vládního tenantu O365</vt:lpwstr>
  </property>
  <property fmtid="{D5CDD505-2E9C-101B-9397-08002B2CF9AE}" pid="44" name="Zkratka_SpisovyUzel_PoziceZodpo_Pisemnost">
    <vt:lpwstr>OPR</vt:lpwstr>
  </property>
</Properties>
</file>