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A0215D" w:rsidRDefault="000962DC">
      <w:pPr>
        <w:rPr>
          <w:rFonts w:ascii="Arial Unicode MS" w:eastAsia="Arial Unicode MS" w:hAnsi="Arial Unicode MS" w:cs="Arial Unicode MS"/>
          <w:noProof/>
          <w:color w:val="000000"/>
          <w:sz w:val="16"/>
          <w:szCs w:val="16"/>
        </w:rPr>
      </w:pPr>
      <w:bookmarkStart w:id="0" w:name="_GoBack"/>
      <w:bookmarkEnd w:id="0"/>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861"/>
      </w:tblGrid>
      <w:tr w:rsidR="006F214D" w:rsidRPr="003B2579" w:rsidTr="00885191">
        <w:tc>
          <w:tcPr>
            <w:tcW w:w="2503" w:type="pct"/>
            <w:tcMar>
              <w:top w:w="100" w:type="dxa"/>
              <w:left w:w="100" w:type="dxa"/>
              <w:bottom w:w="100" w:type="dxa"/>
              <w:right w:w="100" w:type="dxa"/>
            </w:tcMar>
          </w:tcPr>
          <w:p w:rsidR="006F214D" w:rsidRPr="003B2579" w:rsidRDefault="006F214D" w:rsidP="006F214D">
            <w:pPr>
              <w:pStyle w:val="Heading1"/>
              <w:rPr>
                <w:rFonts w:ascii="Times New Roman" w:hAnsi="Times New Roman"/>
                <w:lang w:val="en-GB"/>
              </w:rPr>
            </w:pPr>
            <w:r w:rsidRPr="003B2579">
              <w:rPr>
                <w:rFonts w:ascii="Times New Roman" w:hAnsi="Times New Roman"/>
                <w:bCs/>
                <w:bdr w:val="nil"/>
                <w:lang w:val="cs-CZ"/>
              </w:rPr>
              <w:t xml:space="preserve">DODATEK KE </w:t>
            </w:r>
            <w:r w:rsidRPr="003B2579">
              <w:rPr>
                <w:rFonts w:ascii="Times New Roman" w:eastAsia="Arial" w:hAnsi="Times New Roman"/>
                <w:bCs/>
                <w:bdr w:val="nil"/>
                <w:lang w:val="cs-CZ"/>
              </w:rPr>
              <w:t xml:space="preserve">SMLOUVĚ O PROVEDENÍ KLINICKÉHO HODNOCENÍ </w:t>
            </w:r>
            <w:r w:rsidRPr="003B2579">
              <w:rPr>
                <w:rFonts w:ascii="Times New Roman" w:eastAsia="Arial" w:hAnsi="Times New Roman"/>
                <w:bCs/>
                <w:i/>
                <w:iCs/>
                <w:bdr w:val="nil"/>
                <w:lang w:val="cs-CZ"/>
              </w:rPr>
              <w:t>(z</w:t>
            </w:r>
            <w:r w:rsidR="00B16E69">
              <w:rPr>
                <w:rFonts w:ascii="Times New Roman" w:eastAsia="Arial" w:hAnsi="Times New Roman"/>
                <w:bCs/>
                <w:i/>
                <w:iCs/>
                <w:bdr w:val="nil"/>
                <w:lang w:val="cs-CZ"/>
              </w:rPr>
              <w:t>dravotnické zařízení</w:t>
            </w:r>
            <w:r w:rsidRPr="003B2579">
              <w:rPr>
                <w:rFonts w:ascii="Times New Roman" w:eastAsia="Arial" w:hAnsi="Times New Roman"/>
                <w:bCs/>
                <w:i/>
                <w:iCs/>
                <w:bdr w:val="nil"/>
                <w:lang w:val="cs-CZ"/>
              </w:rPr>
              <w:t xml:space="preserve"> / hlavní zkoušející)</w:t>
            </w:r>
          </w:p>
        </w:tc>
        <w:tc>
          <w:tcPr>
            <w:tcW w:w="2497" w:type="pct"/>
          </w:tcPr>
          <w:p w:rsidR="006F214D" w:rsidRPr="003B2579" w:rsidRDefault="006F214D" w:rsidP="00B16E69">
            <w:pPr>
              <w:pStyle w:val="Heading1"/>
              <w:rPr>
                <w:rFonts w:ascii="Times New Roman" w:hAnsi="Times New Roman"/>
                <w:lang w:val="en-GB"/>
              </w:rPr>
            </w:pPr>
            <w:r w:rsidRPr="003B2579">
              <w:rPr>
                <w:rFonts w:ascii="Times New Roman" w:hAnsi="Times New Roman"/>
              </w:rPr>
              <w:t xml:space="preserve">AMENDMENT TO </w:t>
            </w:r>
            <w:bookmarkStart w:id="1" w:name="_DV_M0"/>
            <w:bookmarkEnd w:id="1"/>
            <w:r w:rsidRPr="003B2579">
              <w:rPr>
                <w:rFonts w:ascii="Times New Roman" w:hAnsi="Times New Roman"/>
                <w:lang w:val="en-GB"/>
              </w:rPr>
              <w:t xml:space="preserve">AGREEMENT FOR THE PERFORMANCE OF A CLINICAL TRIAL </w:t>
            </w:r>
            <w:r w:rsidRPr="003B2579">
              <w:rPr>
                <w:rFonts w:ascii="Times New Roman" w:hAnsi="Times New Roman"/>
                <w:i/>
                <w:lang w:val="en-GB"/>
              </w:rPr>
              <w:t>(Institution</w:t>
            </w:r>
            <w:r w:rsidR="00B16E69">
              <w:rPr>
                <w:rFonts w:ascii="Times New Roman" w:hAnsi="Times New Roman"/>
                <w:i/>
                <w:lang w:val="en-GB"/>
              </w:rPr>
              <w:t xml:space="preserve"> </w:t>
            </w:r>
            <w:r w:rsidRPr="003B2579">
              <w:rPr>
                <w:rFonts w:ascii="Times New Roman" w:hAnsi="Times New Roman"/>
                <w:i/>
                <w:lang w:val="en-GB"/>
              </w:rPr>
              <w:t>/</w:t>
            </w:r>
            <w:r w:rsidR="00B16E69" w:rsidRPr="003B2579">
              <w:rPr>
                <w:rFonts w:ascii="Times New Roman" w:hAnsi="Times New Roman"/>
                <w:i/>
                <w:lang w:val="en-GB"/>
              </w:rPr>
              <w:t xml:space="preserve"> </w:t>
            </w:r>
            <w:r w:rsidRPr="003B2579">
              <w:rPr>
                <w:rFonts w:ascii="Times New Roman" w:hAnsi="Times New Roman"/>
                <w:i/>
                <w:lang w:val="en-GB"/>
              </w:rPr>
              <w:t>Principal Investigator)</w:t>
            </w:r>
          </w:p>
        </w:tc>
      </w:tr>
    </w:tbl>
    <w:p w:rsidR="00A77B3E" w:rsidRPr="003B2579" w:rsidRDefault="000962DC">
      <w:pPr>
        <w:rPr>
          <w:rFonts w:eastAsia="Arial Unicode MS"/>
          <w:noProof/>
          <w:color w:val="000000"/>
          <w:sz w:val="2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020"/>
      </w:tblGrid>
      <w:tr w:rsidR="00F449A6" w:rsidRPr="003B2579" w:rsidTr="007959C9">
        <w:trPr>
          <w:trHeight w:val="395"/>
        </w:trPr>
        <w:tc>
          <w:tcPr>
            <w:tcW w:w="2700" w:type="dxa"/>
            <w:vAlign w:val="center"/>
          </w:tcPr>
          <w:p w:rsidR="00073127" w:rsidRPr="003B2579" w:rsidRDefault="00EF76E5">
            <w:pPr>
              <w:rPr>
                <w:sz w:val="22"/>
                <w:szCs w:val="22"/>
              </w:rPr>
            </w:pPr>
            <w:r w:rsidRPr="003B2579">
              <w:rPr>
                <w:b/>
                <w:sz w:val="22"/>
                <w:szCs w:val="22"/>
              </w:rPr>
              <w:t>PROTOCOL NUMBER:</w:t>
            </w:r>
          </w:p>
          <w:p w:rsidR="00073127" w:rsidRPr="003B2579" w:rsidRDefault="00EF76E5">
            <w:pPr>
              <w:rPr>
                <w:sz w:val="22"/>
                <w:szCs w:val="22"/>
              </w:rPr>
            </w:pPr>
            <w:r w:rsidRPr="003B2579">
              <w:rPr>
                <w:b/>
                <w:bCs/>
                <w:sz w:val="22"/>
                <w:szCs w:val="22"/>
                <w:bdr w:val="nil"/>
                <w:lang w:val="cs-CZ"/>
              </w:rPr>
              <w:t>ČÍSLO PROTOKOLU:</w:t>
            </w:r>
          </w:p>
        </w:tc>
        <w:tc>
          <w:tcPr>
            <w:tcW w:w="7020" w:type="dxa"/>
            <w:vAlign w:val="center"/>
          </w:tcPr>
          <w:p w:rsidR="00073127" w:rsidRPr="003B2579" w:rsidRDefault="000962DC" w:rsidP="00073127">
            <w:pPr>
              <w:rPr>
                <w:b/>
                <w:sz w:val="22"/>
                <w:szCs w:val="22"/>
              </w:rPr>
            </w:pPr>
          </w:p>
        </w:tc>
      </w:tr>
      <w:tr w:rsidR="00F449A6" w:rsidRPr="003B2579" w:rsidTr="007959C9">
        <w:trPr>
          <w:trHeight w:val="368"/>
        </w:trPr>
        <w:tc>
          <w:tcPr>
            <w:tcW w:w="2700" w:type="dxa"/>
            <w:vAlign w:val="center"/>
          </w:tcPr>
          <w:p w:rsidR="00073127" w:rsidRPr="003B2579" w:rsidRDefault="00EF76E5">
            <w:pPr>
              <w:rPr>
                <w:sz w:val="22"/>
                <w:szCs w:val="22"/>
              </w:rPr>
            </w:pPr>
            <w:r w:rsidRPr="003B2579">
              <w:rPr>
                <w:b/>
                <w:sz w:val="22"/>
                <w:szCs w:val="22"/>
              </w:rPr>
              <w:t>PROTOCOL TITLE:</w:t>
            </w:r>
          </w:p>
          <w:p w:rsidR="00073127" w:rsidRPr="003B2579" w:rsidRDefault="00EF76E5">
            <w:pPr>
              <w:rPr>
                <w:sz w:val="22"/>
                <w:szCs w:val="22"/>
              </w:rPr>
            </w:pPr>
            <w:r w:rsidRPr="003B2579">
              <w:rPr>
                <w:b/>
                <w:bCs/>
                <w:sz w:val="22"/>
                <w:szCs w:val="22"/>
                <w:bdr w:val="nil"/>
                <w:lang w:val="cs-CZ"/>
              </w:rPr>
              <w:t>NÁZEV PROTOKOLU:</w:t>
            </w:r>
          </w:p>
        </w:tc>
        <w:tc>
          <w:tcPr>
            <w:tcW w:w="7020" w:type="dxa"/>
            <w:vAlign w:val="center"/>
          </w:tcPr>
          <w:p w:rsidR="00073127" w:rsidRPr="003B2579" w:rsidRDefault="000962DC" w:rsidP="005D7FB7">
            <w:pPr>
              <w:pStyle w:val="Header"/>
              <w:jc w:val="both"/>
              <w:rPr>
                <w:sz w:val="22"/>
                <w:szCs w:val="22"/>
                <w:lang w:val="en-GB"/>
              </w:rPr>
            </w:pPr>
          </w:p>
        </w:tc>
      </w:tr>
      <w:tr w:rsidR="00F449A6" w:rsidRPr="003B2579" w:rsidTr="007959C9">
        <w:trPr>
          <w:trHeight w:val="332"/>
        </w:trPr>
        <w:tc>
          <w:tcPr>
            <w:tcW w:w="2700" w:type="dxa"/>
            <w:vAlign w:val="center"/>
          </w:tcPr>
          <w:p w:rsidR="00D40F32" w:rsidRPr="003B2579" w:rsidRDefault="00EF76E5">
            <w:pPr>
              <w:rPr>
                <w:b/>
                <w:sz w:val="22"/>
                <w:szCs w:val="22"/>
              </w:rPr>
            </w:pPr>
            <w:r w:rsidRPr="003B2579">
              <w:rPr>
                <w:b/>
                <w:sz w:val="22"/>
                <w:szCs w:val="22"/>
              </w:rPr>
              <w:t>STUDY SPONSOR</w:t>
            </w:r>
          </w:p>
          <w:p w:rsidR="00D40F32" w:rsidRPr="003B2579" w:rsidRDefault="00EF76E5">
            <w:pPr>
              <w:rPr>
                <w:b/>
                <w:sz w:val="22"/>
                <w:szCs w:val="22"/>
              </w:rPr>
            </w:pPr>
            <w:r w:rsidRPr="003B2579">
              <w:rPr>
                <w:b/>
                <w:bCs/>
                <w:sz w:val="22"/>
                <w:szCs w:val="22"/>
                <w:bdr w:val="nil"/>
                <w:lang w:val="cs-CZ"/>
              </w:rPr>
              <w:t>ZADAVATEL STUDIE</w:t>
            </w:r>
          </w:p>
          <w:p w:rsidR="00073127" w:rsidRPr="003B2579" w:rsidRDefault="00EF76E5">
            <w:pPr>
              <w:rPr>
                <w:sz w:val="22"/>
                <w:szCs w:val="22"/>
              </w:rPr>
            </w:pPr>
            <w:r w:rsidRPr="003B2579">
              <w:rPr>
                <w:b/>
                <w:sz w:val="22"/>
                <w:szCs w:val="22"/>
              </w:rPr>
              <w:t>CRO:</w:t>
            </w:r>
          </w:p>
          <w:p w:rsidR="00073127" w:rsidRPr="003B2579" w:rsidRDefault="00EF76E5">
            <w:pPr>
              <w:rPr>
                <w:sz w:val="22"/>
                <w:szCs w:val="22"/>
              </w:rPr>
            </w:pPr>
            <w:r w:rsidRPr="003B2579">
              <w:rPr>
                <w:b/>
                <w:bCs/>
                <w:sz w:val="22"/>
                <w:szCs w:val="22"/>
                <w:bdr w:val="nil"/>
                <w:lang w:val="cs-CZ"/>
              </w:rPr>
              <w:t>SMLUVNÍ VÝZKUMNÁ ORGANIZACE (CRO):</w:t>
            </w:r>
          </w:p>
        </w:tc>
        <w:tc>
          <w:tcPr>
            <w:tcW w:w="7020" w:type="dxa"/>
          </w:tcPr>
          <w:p w:rsidR="005D7FB7" w:rsidRPr="00AE22A8" w:rsidRDefault="005D7FB7" w:rsidP="00073127">
            <w:pPr>
              <w:rPr>
                <w:b/>
                <w:sz w:val="22"/>
                <w:szCs w:val="22"/>
                <w:lang w:val="de-DE"/>
              </w:rPr>
            </w:pPr>
          </w:p>
          <w:p w:rsidR="005D7FB7" w:rsidRPr="003B2579" w:rsidRDefault="005D7FB7" w:rsidP="00073127">
            <w:pPr>
              <w:rPr>
                <w:b/>
                <w:sz w:val="22"/>
                <w:szCs w:val="22"/>
                <w:lang w:val="de-DE"/>
              </w:rPr>
            </w:pPr>
          </w:p>
          <w:p w:rsidR="00073127" w:rsidRPr="003B2579" w:rsidRDefault="00EF76E5" w:rsidP="00073127">
            <w:pPr>
              <w:rPr>
                <w:sz w:val="22"/>
                <w:szCs w:val="22"/>
                <w:lang w:val="de-DE"/>
              </w:rPr>
            </w:pPr>
            <w:r w:rsidRPr="003B2579">
              <w:rPr>
                <w:b/>
                <w:sz w:val="22"/>
                <w:szCs w:val="22"/>
                <w:lang w:val="de-DE"/>
              </w:rPr>
              <w:t>Bayer AG</w:t>
            </w:r>
          </w:p>
          <w:p w:rsidR="00073127" w:rsidRPr="003B2579" w:rsidRDefault="00A544B9" w:rsidP="00073127">
            <w:pPr>
              <w:rPr>
                <w:sz w:val="22"/>
                <w:szCs w:val="22"/>
                <w:lang w:val="de-DE"/>
              </w:rPr>
            </w:pPr>
            <w:r w:rsidRPr="00AA0055">
              <w:rPr>
                <w:b/>
                <w:sz w:val="22"/>
                <w:szCs w:val="22"/>
                <w:lang w:val="de-DE"/>
              </w:rPr>
              <w:t>Covance Inc</w:t>
            </w:r>
          </w:p>
        </w:tc>
      </w:tr>
      <w:tr w:rsidR="00F449A6" w:rsidRPr="003B2579" w:rsidTr="007959C9">
        <w:trPr>
          <w:trHeight w:val="359"/>
        </w:trPr>
        <w:tc>
          <w:tcPr>
            <w:tcW w:w="2700" w:type="dxa"/>
            <w:vAlign w:val="center"/>
          </w:tcPr>
          <w:p w:rsidR="00073127" w:rsidRPr="003B2579" w:rsidRDefault="00EF76E5">
            <w:pPr>
              <w:rPr>
                <w:sz w:val="22"/>
                <w:szCs w:val="22"/>
              </w:rPr>
            </w:pPr>
            <w:r w:rsidRPr="003B2579">
              <w:rPr>
                <w:b/>
                <w:sz w:val="22"/>
                <w:szCs w:val="22"/>
              </w:rPr>
              <w:t>PRINCIPAL INVESTIGATOR:</w:t>
            </w:r>
          </w:p>
          <w:p w:rsidR="00073127" w:rsidRPr="003B2579" w:rsidRDefault="00EF76E5">
            <w:pPr>
              <w:rPr>
                <w:sz w:val="22"/>
                <w:szCs w:val="22"/>
              </w:rPr>
            </w:pPr>
            <w:r w:rsidRPr="003B2579">
              <w:rPr>
                <w:b/>
                <w:bCs/>
                <w:sz w:val="22"/>
                <w:szCs w:val="22"/>
                <w:bdr w:val="nil"/>
                <w:lang w:val="cs-CZ"/>
              </w:rPr>
              <w:t>HLAVNÍ ZKOUŠEJÍCÍ:</w:t>
            </w:r>
          </w:p>
        </w:tc>
        <w:tc>
          <w:tcPr>
            <w:tcW w:w="7020" w:type="dxa"/>
            <w:vAlign w:val="center"/>
          </w:tcPr>
          <w:p w:rsidR="00073127" w:rsidRPr="009C1932" w:rsidRDefault="000962DC" w:rsidP="000962DC">
            <w:pPr>
              <w:tabs>
                <w:tab w:val="left" w:pos="0"/>
              </w:tabs>
              <w:jc w:val="both"/>
              <w:rPr>
                <w:sz w:val="22"/>
                <w:szCs w:val="22"/>
              </w:rPr>
            </w:pPr>
          </w:p>
        </w:tc>
      </w:tr>
    </w:tbl>
    <w:p w:rsidR="00A77B3E" w:rsidRPr="003B2579" w:rsidRDefault="000962DC">
      <w:pPr>
        <w:rPr>
          <w:rFonts w:eastAsia="Arial Unicode MS"/>
          <w:noProof/>
          <w:color w:val="000000"/>
          <w:sz w:val="20"/>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861"/>
      </w:tblGrid>
      <w:tr w:rsidR="006F214D" w:rsidRPr="003B2579" w:rsidTr="00885191">
        <w:tc>
          <w:tcPr>
            <w:tcW w:w="2503" w:type="pct"/>
            <w:tcMar>
              <w:top w:w="100" w:type="dxa"/>
              <w:left w:w="100" w:type="dxa"/>
              <w:bottom w:w="100" w:type="dxa"/>
              <w:right w:w="100" w:type="dxa"/>
            </w:tcMar>
          </w:tcPr>
          <w:p w:rsidR="006F214D" w:rsidRPr="003B2579" w:rsidRDefault="006F214D" w:rsidP="005C0054">
            <w:pPr>
              <w:ind w:left="426"/>
              <w:rPr>
                <w:sz w:val="22"/>
                <w:szCs w:val="22"/>
                <w:u w:val="single"/>
              </w:rPr>
            </w:pPr>
            <w:r w:rsidRPr="003B2579">
              <w:rPr>
                <w:sz w:val="22"/>
                <w:szCs w:val="22"/>
                <w:u w:val="single"/>
                <w:bdr w:val="nil"/>
                <w:lang w:val="cs-CZ"/>
              </w:rPr>
              <w:t>1. ÚVOD</w:t>
            </w:r>
          </w:p>
        </w:tc>
        <w:tc>
          <w:tcPr>
            <w:tcW w:w="2497" w:type="pct"/>
          </w:tcPr>
          <w:p w:rsidR="006F214D" w:rsidRPr="003B2579" w:rsidRDefault="006F214D" w:rsidP="00613274">
            <w:pPr>
              <w:ind w:left="426"/>
              <w:rPr>
                <w:sz w:val="22"/>
                <w:szCs w:val="22"/>
                <w:u w:val="single"/>
              </w:rPr>
            </w:pPr>
            <w:r w:rsidRPr="003B2579">
              <w:rPr>
                <w:sz w:val="22"/>
                <w:szCs w:val="22"/>
                <w:u w:val="single"/>
              </w:rPr>
              <w:t>1. INTRODUCTION</w:t>
            </w:r>
          </w:p>
        </w:tc>
      </w:tr>
      <w:tr w:rsidR="006F214D" w:rsidRPr="003B2579" w:rsidTr="00885191">
        <w:tc>
          <w:tcPr>
            <w:tcW w:w="2503" w:type="pct"/>
            <w:tcMar>
              <w:top w:w="100" w:type="dxa"/>
              <w:left w:w="100" w:type="dxa"/>
              <w:bottom w:w="100" w:type="dxa"/>
              <w:right w:w="100" w:type="dxa"/>
            </w:tcMar>
          </w:tcPr>
          <w:p w:rsidR="006F214D" w:rsidRPr="003B2579" w:rsidRDefault="006F214D" w:rsidP="005C0054">
            <w:pPr>
              <w:rPr>
                <w:sz w:val="16"/>
                <w:szCs w:val="16"/>
              </w:rPr>
            </w:pPr>
          </w:p>
        </w:tc>
        <w:tc>
          <w:tcPr>
            <w:tcW w:w="2497" w:type="pct"/>
          </w:tcPr>
          <w:p w:rsidR="006F214D" w:rsidRPr="003B2579" w:rsidRDefault="006F214D" w:rsidP="00613274">
            <w:pPr>
              <w:rPr>
                <w:sz w:val="16"/>
                <w:szCs w:val="16"/>
              </w:rPr>
            </w:pPr>
          </w:p>
        </w:tc>
      </w:tr>
      <w:tr w:rsidR="006F214D" w:rsidRPr="003B2579" w:rsidTr="00885191">
        <w:tc>
          <w:tcPr>
            <w:tcW w:w="2503" w:type="pct"/>
            <w:tcMar>
              <w:top w:w="100" w:type="dxa"/>
              <w:left w:w="100" w:type="dxa"/>
              <w:bottom w:w="100" w:type="dxa"/>
              <w:right w:w="100" w:type="dxa"/>
            </w:tcMar>
          </w:tcPr>
          <w:p w:rsidR="00DA1922" w:rsidRPr="00BE039F" w:rsidRDefault="00DA1922" w:rsidP="00DA1922">
            <w:pPr>
              <w:jc w:val="both"/>
              <w:rPr>
                <w:sz w:val="22"/>
                <w:szCs w:val="22"/>
                <w:bdr w:val="nil"/>
                <w:lang w:val="cs-CZ"/>
              </w:rPr>
            </w:pPr>
            <w:r w:rsidRPr="00BE039F">
              <w:rPr>
                <w:sz w:val="22"/>
                <w:szCs w:val="22"/>
                <w:bdr w:val="nil"/>
                <w:lang w:val="cs-CZ"/>
              </w:rPr>
              <w:t xml:space="preserve">Dodatek č. 1 mezi </w:t>
            </w:r>
          </w:p>
          <w:p w:rsidR="00A0215D" w:rsidRPr="00BE039F" w:rsidRDefault="00A0215D" w:rsidP="00A0215D">
            <w:pPr>
              <w:jc w:val="both"/>
              <w:rPr>
                <w:sz w:val="22"/>
                <w:szCs w:val="22"/>
                <w:bdr w:val="nil"/>
                <w:lang w:val="cs-CZ"/>
              </w:rPr>
            </w:pPr>
          </w:p>
          <w:p w:rsidR="00471201" w:rsidRPr="00C30C15" w:rsidRDefault="00471201" w:rsidP="00471201">
            <w:pPr>
              <w:jc w:val="both"/>
              <w:rPr>
                <w:sz w:val="22"/>
                <w:szCs w:val="22"/>
                <w:bdr w:val="nil"/>
                <w:lang w:val="cs-CZ"/>
              </w:rPr>
            </w:pPr>
            <w:r w:rsidRPr="00C30C15">
              <w:rPr>
                <w:sz w:val="22"/>
                <w:szCs w:val="22"/>
                <w:bdr w:val="nil"/>
                <w:lang w:val="cs-CZ"/>
              </w:rPr>
              <w:t>Bayer AG</w:t>
            </w:r>
          </w:p>
          <w:p w:rsidR="00471201" w:rsidRPr="00C30C15" w:rsidRDefault="00471201" w:rsidP="00471201">
            <w:pPr>
              <w:jc w:val="both"/>
              <w:rPr>
                <w:sz w:val="22"/>
                <w:szCs w:val="22"/>
                <w:bdr w:val="nil"/>
                <w:lang w:val="cs-CZ"/>
              </w:rPr>
            </w:pPr>
            <w:r w:rsidRPr="00C30C15">
              <w:rPr>
                <w:sz w:val="22"/>
                <w:szCs w:val="22"/>
                <w:bdr w:val="nil"/>
                <w:lang w:val="cs-CZ"/>
              </w:rPr>
              <w:t xml:space="preserve">se sídlem Kaiser-Wilhelm-Allee 1, 51373 Leverkusen, Německo </w:t>
            </w:r>
          </w:p>
          <w:p w:rsidR="00471201" w:rsidRPr="00C30C15" w:rsidRDefault="00471201" w:rsidP="00471201">
            <w:pPr>
              <w:jc w:val="both"/>
              <w:rPr>
                <w:sz w:val="22"/>
                <w:szCs w:val="22"/>
                <w:bdr w:val="nil"/>
                <w:lang w:val="cs-CZ"/>
              </w:rPr>
            </w:pPr>
            <w:r w:rsidRPr="00C30C15">
              <w:rPr>
                <w:sz w:val="22"/>
                <w:szCs w:val="22"/>
                <w:bdr w:val="nil"/>
                <w:lang w:val="cs-CZ"/>
              </w:rPr>
              <w:t xml:space="preserve">zapsaná v obchodním rejstříku vedeném u Místního soudu v Kolíně nad Rýnem,  Německo, pod číslem HRB 48248 </w:t>
            </w:r>
          </w:p>
          <w:p w:rsidR="00471201" w:rsidRPr="00C30C15" w:rsidRDefault="00471201" w:rsidP="00471201">
            <w:pPr>
              <w:jc w:val="both"/>
              <w:rPr>
                <w:sz w:val="22"/>
                <w:szCs w:val="22"/>
                <w:bdr w:val="nil"/>
                <w:lang w:val="cs-CZ"/>
              </w:rPr>
            </w:pPr>
            <w:r w:rsidRPr="00C30C15">
              <w:rPr>
                <w:sz w:val="22"/>
                <w:szCs w:val="22"/>
                <w:bdr w:val="nil"/>
                <w:lang w:val="cs-CZ"/>
              </w:rPr>
              <w:t xml:space="preserve">DIČ: </w:t>
            </w:r>
          </w:p>
          <w:p w:rsidR="00D66878" w:rsidRPr="00BE039F" w:rsidRDefault="00D66878"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(dále jen jako "Bayer")</w:t>
            </w: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zastoupený</w:t>
            </w: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 xml:space="preserve">Covance, Inc </w:t>
            </w:r>
          </w:p>
          <w:p w:rsidR="00A0215D" w:rsidRPr="00BE039F" w:rsidRDefault="00A0215D" w:rsidP="00A0215D">
            <w:pPr>
              <w:jc w:val="both"/>
              <w:rPr>
                <w:sz w:val="22"/>
                <w:szCs w:val="22"/>
                <w:bdr w:val="nil"/>
                <w:lang w:val="cs-CZ"/>
              </w:rPr>
            </w:pPr>
            <w:r w:rsidRPr="00BE039F">
              <w:rPr>
                <w:sz w:val="22"/>
                <w:szCs w:val="22"/>
                <w:bdr w:val="nil"/>
                <w:lang w:val="cs-CZ"/>
              </w:rPr>
              <w:t xml:space="preserve">210 Carnegie Center, </w:t>
            </w:r>
          </w:p>
          <w:p w:rsidR="00A0215D" w:rsidRPr="00BE039F" w:rsidRDefault="00A0215D" w:rsidP="00A0215D">
            <w:pPr>
              <w:jc w:val="both"/>
              <w:rPr>
                <w:sz w:val="22"/>
                <w:szCs w:val="22"/>
                <w:bdr w:val="nil"/>
                <w:lang w:val="cs-CZ"/>
              </w:rPr>
            </w:pPr>
            <w:r w:rsidRPr="00BE039F">
              <w:rPr>
                <w:sz w:val="22"/>
                <w:szCs w:val="22"/>
                <w:bdr w:val="nil"/>
                <w:lang w:val="cs-CZ"/>
              </w:rPr>
              <w:t>Princeton, New Jersey 08540-6233 USA</w:t>
            </w:r>
          </w:p>
          <w:p w:rsidR="00A0215D" w:rsidRPr="00BE039F" w:rsidRDefault="00A0215D" w:rsidP="00A0215D">
            <w:pPr>
              <w:jc w:val="both"/>
              <w:rPr>
                <w:sz w:val="22"/>
                <w:szCs w:val="22"/>
                <w:bdr w:val="nil"/>
                <w:lang w:val="cs-CZ"/>
              </w:rPr>
            </w:pPr>
            <w:r w:rsidRPr="00BE039F">
              <w:rPr>
                <w:sz w:val="22"/>
                <w:szCs w:val="22"/>
                <w:bdr w:val="nil"/>
                <w:lang w:val="cs-CZ"/>
              </w:rPr>
              <w:t>(dále jen „CRO“)</w:t>
            </w:r>
          </w:p>
          <w:p w:rsidR="00A0215D" w:rsidRPr="00BE039F" w:rsidRDefault="00A0215D" w:rsidP="00A0215D">
            <w:pPr>
              <w:jc w:val="both"/>
              <w:rPr>
                <w:sz w:val="22"/>
                <w:szCs w:val="22"/>
                <w:bdr w:val="nil"/>
                <w:lang w:val="cs-CZ"/>
              </w:rPr>
            </w:pPr>
            <w:r w:rsidRPr="00BE039F">
              <w:rPr>
                <w:sz w:val="22"/>
                <w:szCs w:val="22"/>
                <w:bdr w:val="nil"/>
                <w:lang w:val="cs-CZ"/>
              </w:rPr>
              <w:t>a</w:t>
            </w:r>
          </w:p>
          <w:p w:rsidR="00A0215D" w:rsidRPr="00BE039F" w:rsidRDefault="00A0215D" w:rsidP="00A0215D">
            <w:pPr>
              <w:jc w:val="both"/>
              <w:rPr>
                <w:sz w:val="22"/>
                <w:szCs w:val="22"/>
                <w:bdr w:val="nil"/>
                <w:lang w:val="cs-CZ"/>
              </w:rPr>
            </w:pPr>
          </w:p>
          <w:p w:rsidR="004716AB" w:rsidRPr="00BE039F" w:rsidRDefault="004716AB" w:rsidP="004716AB">
            <w:pPr>
              <w:tabs>
                <w:tab w:val="left" w:pos="0"/>
              </w:tabs>
              <w:rPr>
                <w:lang w:val="cs-CZ"/>
              </w:rPr>
            </w:pPr>
            <w:r w:rsidRPr="00BE039F">
              <w:rPr>
                <w:lang w:val="cs-CZ"/>
              </w:rPr>
              <w:t>Oblastní nemocnice Kladno, a. s., nemocnice Středočeského kraje</w:t>
            </w:r>
          </w:p>
          <w:p w:rsidR="004716AB" w:rsidRPr="00BE039F" w:rsidRDefault="004716AB" w:rsidP="004716AB">
            <w:pPr>
              <w:tabs>
                <w:tab w:val="left" w:pos="0"/>
              </w:tabs>
              <w:rPr>
                <w:lang w:val="cs-CZ"/>
              </w:rPr>
            </w:pPr>
            <w:r w:rsidRPr="00BE039F">
              <w:rPr>
                <w:lang w:val="cs-CZ"/>
              </w:rPr>
              <w:t xml:space="preserve">Se sídlem: Vančurova 1548, </w:t>
            </w:r>
          </w:p>
          <w:p w:rsidR="004716AB" w:rsidRPr="00BE039F" w:rsidRDefault="004716AB" w:rsidP="004716AB">
            <w:pPr>
              <w:tabs>
                <w:tab w:val="left" w:pos="0"/>
              </w:tabs>
              <w:rPr>
                <w:lang w:val="cs-CZ"/>
              </w:rPr>
            </w:pPr>
            <w:r w:rsidRPr="00BE039F">
              <w:rPr>
                <w:lang w:val="cs-CZ"/>
              </w:rPr>
              <w:t xml:space="preserve">272 59 </w:t>
            </w:r>
            <w:r w:rsidR="009C1932" w:rsidRPr="00BE039F">
              <w:rPr>
                <w:lang w:val="cs-CZ"/>
              </w:rPr>
              <w:t xml:space="preserve"> </w:t>
            </w:r>
            <w:r w:rsidRPr="00BE039F">
              <w:rPr>
                <w:lang w:val="cs-CZ"/>
              </w:rPr>
              <w:t>Kladno</w:t>
            </w:r>
          </w:p>
          <w:p w:rsidR="004716AB" w:rsidRPr="00BE039F" w:rsidRDefault="004716AB" w:rsidP="004716AB">
            <w:pPr>
              <w:tabs>
                <w:tab w:val="left" w:pos="0"/>
              </w:tabs>
              <w:jc w:val="both"/>
              <w:rPr>
                <w:lang w:val="cs-CZ"/>
              </w:rPr>
            </w:pPr>
            <w:r w:rsidRPr="00BE039F">
              <w:rPr>
                <w:lang w:val="cs-CZ"/>
              </w:rPr>
              <w:t>IČ: 27256537</w:t>
            </w:r>
          </w:p>
          <w:p w:rsidR="004716AB" w:rsidRPr="00BE039F" w:rsidRDefault="004716AB" w:rsidP="004716AB">
            <w:pPr>
              <w:tabs>
                <w:tab w:val="left" w:pos="0"/>
              </w:tabs>
              <w:jc w:val="both"/>
              <w:rPr>
                <w:lang w:val="cs-CZ"/>
              </w:rPr>
            </w:pPr>
            <w:r w:rsidRPr="00BE039F">
              <w:rPr>
                <w:lang w:val="cs-CZ"/>
              </w:rPr>
              <w:t>DIČ: CZ27256534</w:t>
            </w:r>
          </w:p>
          <w:p w:rsidR="004716AB" w:rsidRPr="00BE039F" w:rsidRDefault="004716AB" w:rsidP="004716AB">
            <w:pPr>
              <w:tabs>
                <w:tab w:val="left" w:pos="0"/>
              </w:tabs>
              <w:jc w:val="both"/>
              <w:rPr>
                <w:lang w:val="cs-CZ"/>
              </w:rPr>
            </w:pPr>
          </w:p>
          <w:p w:rsidR="004716AB" w:rsidRPr="00BE039F" w:rsidRDefault="004716AB" w:rsidP="004716AB">
            <w:pPr>
              <w:tabs>
                <w:tab w:val="left" w:pos="0"/>
              </w:tabs>
              <w:jc w:val="both"/>
              <w:rPr>
                <w:lang w:val="cs-CZ"/>
              </w:rPr>
            </w:pPr>
            <w:r w:rsidRPr="00BE039F">
              <w:rPr>
                <w:lang w:val="cs-CZ"/>
              </w:rPr>
              <w:lastRenderedPageBreak/>
              <w:t xml:space="preserve">Zapsaná v obchodním rejstříku vedeném Městským soudem v Praze oddíl B, vložka 10020, </w:t>
            </w: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(dále jen "Centrum")</w:t>
            </w: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a</w:t>
            </w:r>
          </w:p>
          <w:p w:rsidR="00A0215D" w:rsidRPr="00BE039F" w:rsidRDefault="00A0215D" w:rsidP="00A0215D">
            <w:pPr>
              <w:jc w:val="both"/>
              <w:rPr>
                <w:sz w:val="22"/>
                <w:szCs w:val="22"/>
                <w:bdr w:val="nil"/>
                <w:lang w:val="cs-CZ"/>
              </w:rPr>
            </w:pPr>
          </w:p>
          <w:p w:rsidR="004716AB" w:rsidRPr="00BE039F" w:rsidRDefault="004716AB" w:rsidP="004716AB">
            <w:pPr>
              <w:tabs>
                <w:tab w:val="left" w:pos="0"/>
              </w:tabs>
              <w:jc w:val="both"/>
              <w:rPr>
                <w:lang w:val="cs-CZ"/>
              </w:rPr>
            </w:pPr>
            <w:r w:rsidRPr="00BE039F">
              <w:rPr>
                <w:lang w:val="cs-CZ"/>
              </w:rPr>
              <w:t xml:space="preserve">Datum narození: </w:t>
            </w:r>
          </w:p>
          <w:p w:rsidR="004716AB" w:rsidRPr="00BE039F" w:rsidRDefault="004716AB" w:rsidP="004716AB">
            <w:pPr>
              <w:tabs>
                <w:tab w:val="left" w:pos="0"/>
              </w:tabs>
              <w:rPr>
                <w:lang w:val="cs-CZ"/>
              </w:rPr>
            </w:pPr>
            <w:r w:rsidRPr="00BE039F">
              <w:rPr>
                <w:lang w:val="cs-CZ"/>
              </w:rPr>
              <w:t xml:space="preserve">Adresa bydliště hlavního zkoušejícího: </w:t>
            </w: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p>
          <w:p w:rsidR="00A0215D" w:rsidRPr="00BE039F" w:rsidRDefault="00A0215D" w:rsidP="00A0215D">
            <w:pPr>
              <w:jc w:val="both"/>
              <w:rPr>
                <w:sz w:val="22"/>
                <w:szCs w:val="22"/>
                <w:bdr w:val="nil"/>
                <w:lang w:val="cs-CZ"/>
              </w:rPr>
            </w:pPr>
            <w:r w:rsidRPr="00BE039F">
              <w:rPr>
                <w:sz w:val="22"/>
                <w:szCs w:val="22"/>
                <w:bdr w:val="nil"/>
                <w:lang w:val="cs-CZ"/>
              </w:rPr>
              <w:t>(dále jen „Hlavní zkoušející ”)</w:t>
            </w:r>
          </w:p>
          <w:p w:rsidR="00A0215D" w:rsidRPr="00BE039F" w:rsidRDefault="00A0215D" w:rsidP="00A0215D">
            <w:pPr>
              <w:jc w:val="both"/>
              <w:rPr>
                <w:sz w:val="22"/>
                <w:szCs w:val="22"/>
                <w:bdr w:val="nil"/>
                <w:lang w:val="cs-CZ"/>
              </w:rPr>
            </w:pPr>
          </w:p>
          <w:p w:rsidR="006F214D" w:rsidRPr="00BE039F" w:rsidRDefault="00A0215D" w:rsidP="004716AB">
            <w:pPr>
              <w:jc w:val="both"/>
              <w:rPr>
                <w:sz w:val="22"/>
                <w:szCs w:val="22"/>
                <w:lang w:val="en-GB"/>
              </w:rPr>
            </w:pPr>
            <w:r w:rsidRPr="00BE039F">
              <w:rPr>
                <w:sz w:val="22"/>
                <w:szCs w:val="22"/>
                <w:bdr w:val="nil"/>
                <w:lang w:val="cs-CZ"/>
              </w:rPr>
              <w:t>(Poskytovatel a Hlavní zkoušející dále společně označovány jako „Smluvní partneři ”)</w:t>
            </w:r>
          </w:p>
        </w:tc>
        <w:tc>
          <w:tcPr>
            <w:tcW w:w="2497" w:type="pct"/>
          </w:tcPr>
          <w:p w:rsidR="00DA1922" w:rsidRPr="00BE039F" w:rsidRDefault="00DA1922" w:rsidP="00DA1922">
            <w:pPr>
              <w:jc w:val="both"/>
              <w:rPr>
                <w:sz w:val="22"/>
                <w:szCs w:val="22"/>
              </w:rPr>
            </w:pPr>
            <w:r w:rsidRPr="00BE039F">
              <w:rPr>
                <w:sz w:val="22"/>
                <w:szCs w:val="22"/>
              </w:rPr>
              <w:lastRenderedPageBreak/>
              <w:t>Amendment No. 1</w:t>
            </w:r>
            <w:r>
              <w:rPr>
                <w:sz w:val="22"/>
                <w:szCs w:val="22"/>
              </w:rPr>
              <w:t xml:space="preserve"> </w:t>
            </w:r>
            <w:r w:rsidRPr="00BE039F">
              <w:rPr>
                <w:sz w:val="22"/>
                <w:szCs w:val="22"/>
              </w:rPr>
              <w:t xml:space="preserve"> among and between </w:t>
            </w:r>
          </w:p>
          <w:p w:rsidR="00A0215D" w:rsidRPr="00BE039F" w:rsidRDefault="00A0215D" w:rsidP="00A0215D">
            <w:pPr>
              <w:jc w:val="both"/>
              <w:rPr>
                <w:sz w:val="22"/>
                <w:szCs w:val="22"/>
              </w:rPr>
            </w:pPr>
          </w:p>
          <w:p w:rsidR="00471201" w:rsidRPr="00C30C15" w:rsidRDefault="00471201" w:rsidP="00471201">
            <w:pPr>
              <w:jc w:val="both"/>
              <w:rPr>
                <w:sz w:val="22"/>
                <w:szCs w:val="22"/>
                <w:bdr w:val="nil"/>
                <w:lang w:val="cs-CZ"/>
              </w:rPr>
            </w:pPr>
            <w:r w:rsidRPr="00C30C15">
              <w:rPr>
                <w:sz w:val="22"/>
                <w:szCs w:val="22"/>
                <w:bdr w:val="nil"/>
                <w:lang w:val="cs-CZ"/>
              </w:rPr>
              <w:t xml:space="preserve">Bayer AG </w:t>
            </w:r>
          </w:p>
          <w:p w:rsidR="00471201" w:rsidRPr="00C30C15" w:rsidRDefault="00471201" w:rsidP="00471201">
            <w:pPr>
              <w:jc w:val="both"/>
              <w:rPr>
                <w:sz w:val="22"/>
                <w:szCs w:val="22"/>
                <w:bdr w:val="nil"/>
                <w:lang w:val="cs-CZ"/>
              </w:rPr>
            </w:pPr>
            <w:r w:rsidRPr="00C30C15">
              <w:rPr>
                <w:sz w:val="22"/>
                <w:szCs w:val="22"/>
                <w:bdr w:val="nil"/>
                <w:lang w:val="cs-CZ"/>
              </w:rPr>
              <w:t>with its registered office: Kaiser-Wilhelm-Allee 1, 51373 Leverkusen, Germany,</w:t>
            </w:r>
          </w:p>
          <w:p w:rsidR="00471201" w:rsidRPr="00C30C15" w:rsidRDefault="00471201" w:rsidP="00471201">
            <w:pPr>
              <w:jc w:val="both"/>
              <w:rPr>
                <w:sz w:val="22"/>
                <w:szCs w:val="22"/>
                <w:bdr w:val="nil"/>
                <w:lang w:val="cs-CZ"/>
              </w:rPr>
            </w:pPr>
            <w:r w:rsidRPr="00C30C15">
              <w:rPr>
                <w:sz w:val="22"/>
                <w:szCs w:val="22"/>
                <w:bdr w:val="nil"/>
                <w:lang w:val="cs-CZ"/>
              </w:rPr>
              <w:t>entered into the Trade Register at the District</w:t>
            </w:r>
          </w:p>
          <w:p w:rsidR="00471201" w:rsidRPr="00C30C15" w:rsidRDefault="00471201" w:rsidP="00471201">
            <w:pPr>
              <w:jc w:val="both"/>
              <w:rPr>
                <w:sz w:val="22"/>
                <w:szCs w:val="22"/>
                <w:bdr w:val="nil"/>
                <w:lang w:val="cs-CZ"/>
              </w:rPr>
            </w:pPr>
            <w:r w:rsidRPr="00C30C15">
              <w:rPr>
                <w:sz w:val="22"/>
                <w:szCs w:val="22"/>
                <w:bdr w:val="nil"/>
                <w:lang w:val="cs-CZ"/>
              </w:rPr>
              <w:t xml:space="preserve">Court in Cologne, Germany </w:t>
            </w:r>
          </w:p>
          <w:p w:rsidR="00471201" w:rsidRPr="00C30C15" w:rsidRDefault="00471201" w:rsidP="00471201">
            <w:pPr>
              <w:jc w:val="both"/>
              <w:rPr>
                <w:sz w:val="22"/>
                <w:szCs w:val="22"/>
                <w:bdr w:val="nil"/>
                <w:lang w:val="cs-CZ"/>
              </w:rPr>
            </w:pPr>
            <w:r w:rsidRPr="00C30C15">
              <w:rPr>
                <w:sz w:val="22"/>
                <w:szCs w:val="22"/>
                <w:bdr w:val="nil"/>
                <w:lang w:val="cs-CZ"/>
              </w:rPr>
              <w:t>under the ref. No. HRB 48248</w:t>
            </w:r>
          </w:p>
          <w:p w:rsidR="00471201" w:rsidRDefault="00471201" w:rsidP="00471201">
            <w:pPr>
              <w:jc w:val="both"/>
              <w:rPr>
                <w:sz w:val="22"/>
                <w:szCs w:val="22"/>
                <w:bdr w:val="nil"/>
                <w:lang w:val="cs-CZ"/>
              </w:rPr>
            </w:pPr>
            <w:r w:rsidRPr="00C30C15">
              <w:rPr>
                <w:sz w:val="22"/>
                <w:szCs w:val="22"/>
                <w:bdr w:val="nil"/>
                <w:lang w:val="cs-CZ"/>
              </w:rPr>
              <w:t xml:space="preserve">Tax Code No.: </w:t>
            </w: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(hereinafter referred to as "Bayer")</w:t>
            </w: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represented by</w:t>
            </w: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 xml:space="preserve">Covance, Inc </w:t>
            </w:r>
          </w:p>
          <w:p w:rsidR="00A0215D" w:rsidRPr="00BE039F" w:rsidRDefault="00A0215D" w:rsidP="00A0215D">
            <w:pPr>
              <w:jc w:val="both"/>
              <w:rPr>
                <w:sz w:val="22"/>
                <w:szCs w:val="22"/>
                <w:lang w:val="en-GB"/>
              </w:rPr>
            </w:pPr>
            <w:r w:rsidRPr="00BE039F">
              <w:rPr>
                <w:sz w:val="22"/>
                <w:szCs w:val="22"/>
                <w:lang w:val="en-GB"/>
              </w:rPr>
              <w:t xml:space="preserve">210 Carnegie Center, </w:t>
            </w:r>
          </w:p>
          <w:p w:rsidR="00A0215D" w:rsidRPr="00BE039F" w:rsidRDefault="00A0215D" w:rsidP="00A0215D">
            <w:pPr>
              <w:jc w:val="both"/>
              <w:rPr>
                <w:sz w:val="22"/>
                <w:szCs w:val="22"/>
                <w:lang w:val="en-GB"/>
              </w:rPr>
            </w:pPr>
            <w:r w:rsidRPr="00BE039F">
              <w:rPr>
                <w:sz w:val="22"/>
                <w:szCs w:val="22"/>
                <w:lang w:val="en-GB"/>
              </w:rPr>
              <w:t>Princeton, New Jersey 08540-6233 USA</w:t>
            </w:r>
          </w:p>
          <w:p w:rsidR="00A0215D" w:rsidRPr="00BE039F" w:rsidRDefault="00A0215D" w:rsidP="00A0215D">
            <w:pPr>
              <w:jc w:val="both"/>
              <w:rPr>
                <w:sz w:val="22"/>
                <w:szCs w:val="22"/>
                <w:lang w:val="en-GB"/>
              </w:rPr>
            </w:pPr>
            <w:r w:rsidRPr="00BE039F">
              <w:rPr>
                <w:sz w:val="22"/>
                <w:szCs w:val="22"/>
                <w:lang w:val="en-GB"/>
              </w:rPr>
              <w:t>(hereinafter referred to as "CRO")</w:t>
            </w:r>
          </w:p>
          <w:p w:rsidR="00A0215D" w:rsidRPr="00BE039F" w:rsidRDefault="00A0215D" w:rsidP="00A0215D">
            <w:pPr>
              <w:jc w:val="both"/>
              <w:rPr>
                <w:sz w:val="22"/>
                <w:szCs w:val="22"/>
                <w:lang w:val="en-GB"/>
              </w:rPr>
            </w:pPr>
            <w:r w:rsidRPr="00BE039F">
              <w:rPr>
                <w:sz w:val="22"/>
                <w:szCs w:val="22"/>
                <w:lang w:val="en-GB"/>
              </w:rPr>
              <w:t>and</w:t>
            </w:r>
          </w:p>
          <w:p w:rsidR="00A0215D" w:rsidRPr="00BE039F" w:rsidRDefault="00A0215D" w:rsidP="00A0215D">
            <w:pPr>
              <w:jc w:val="both"/>
              <w:rPr>
                <w:sz w:val="22"/>
                <w:szCs w:val="22"/>
                <w:lang w:val="en-GB"/>
              </w:rPr>
            </w:pPr>
          </w:p>
          <w:p w:rsidR="004716AB" w:rsidRPr="00BE039F" w:rsidRDefault="004716AB" w:rsidP="004716AB">
            <w:pPr>
              <w:tabs>
                <w:tab w:val="left" w:pos="0"/>
              </w:tabs>
              <w:rPr>
                <w:lang w:val="cs-CZ"/>
              </w:rPr>
            </w:pPr>
            <w:r w:rsidRPr="00BE039F">
              <w:rPr>
                <w:lang w:val="cs-CZ"/>
              </w:rPr>
              <w:t>Oblastní nemocnice Kladno, a. s., nemocnice Stredoceskeho kraje</w:t>
            </w:r>
          </w:p>
          <w:p w:rsidR="004716AB" w:rsidRPr="00BE039F" w:rsidRDefault="004716AB" w:rsidP="004716AB">
            <w:pPr>
              <w:tabs>
                <w:tab w:val="left" w:pos="34"/>
              </w:tabs>
              <w:ind w:left="34"/>
              <w:rPr>
                <w:lang w:val="en-GB"/>
              </w:rPr>
            </w:pPr>
            <w:r w:rsidRPr="00BE039F">
              <w:rPr>
                <w:lang w:val="en-GB"/>
              </w:rPr>
              <w:t xml:space="preserve">With its registered seat at: </w:t>
            </w:r>
            <w:r w:rsidR="009C1932" w:rsidRPr="00BE039F">
              <w:rPr>
                <w:lang w:val="cs-CZ"/>
              </w:rPr>
              <w:t>Vanc</w:t>
            </w:r>
            <w:r w:rsidRPr="00BE039F">
              <w:rPr>
                <w:lang w:val="cs-CZ"/>
              </w:rPr>
              <w:t xml:space="preserve">urova </w:t>
            </w:r>
            <w:r w:rsidR="00BE039F">
              <w:rPr>
                <w:lang w:val="cs-CZ"/>
              </w:rPr>
              <w:t>1</w:t>
            </w:r>
            <w:r w:rsidRPr="00BE039F">
              <w:rPr>
                <w:lang w:val="cs-CZ"/>
              </w:rPr>
              <w:t xml:space="preserve">548, 272 59 </w:t>
            </w:r>
            <w:r w:rsidR="009C1932" w:rsidRPr="00BE039F">
              <w:rPr>
                <w:lang w:val="cs-CZ"/>
              </w:rPr>
              <w:t xml:space="preserve"> </w:t>
            </w:r>
            <w:r w:rsidRPr="00BE039F">
              <w:rPr>
                <w:lang w:val="cs-CZ"/>
              </w:rPr>
              <w:t>Kladno</w:t>
            </w:r>
          </w:p>
          <w:p w:rsidR="004716AB" w:rsidRPr="00BE039F" w:rsidRDefault="004716AB" w:rsidP="004716AB">
            <w:pPr>
              <w:tabs>
                <w:tab w:val="left" w:pos="34"/>
                <w:tab w:val="center" w:pos="2177"/>
              </w:tabs>
              <w:ind w:left="34"/>
              <w:rPr>
                <w:lang w:val="en-GB"/>
              </w:rPr>
            </w:pPr>
            <w:r w:rsidRPr="00BE039F">
              <w:rPr>
                <w:lang w:val="en-GB"/>
              </w:rPr>
              <w:t>ID No.:</w:t>
            </w:r>
            <w:r w:rsidRPr="00BE039F">
              <w:rPr>
                <w:lang w:val="cs-CZ"/>
              </w:rPr>
              <w:t xml:space="preserve"> 27256537</w:t>
            </w:r>
            <w:r w:rsidRPr="00BE039F">
              <w:rPr>
                <w:lang w:val="cs-CZ"/>
              </w:rPr>
              <w:tab/>
            </w:r>
          </w:p>
          <w:p w:rsidR="004716AB" w:rsidRPr="00BE039F" w:rsidRDefault="004716AB" w:rsidP="004716AB">
            <w:pPr>
              <w:tabs>
                <w:tab w:val="left" w:pos="34"/>
              </w:tabs>
              <w:ind w:left="34"/>
              <w:jc w:val="both"/>
              <w:rPr>
                <w:lang w:val="cs-CZ"/>
              </w:rPr>
            </w:pPr>
            <w:r w:rsidRPr="00BE039F">
              <w:rPr>
                <w:lang w:val="en-GB"/>
              </w:rPr>
              <w:t xml:space="preserve">VAT No.: </w:t>
            </w:r>
            <w:r w:rsidRPr="00BE039F">
              <w:rPr>
                <w:lang w:val="cs-CZ"/>
              </w:rPr>
              <w:t>CZ27256534</w:t>
            </w:r>
          </w:p>
          <w:p w:rsidR="004716AB" w:rsidRPr="00BE039F" w:rsidRDefault="004716AB" w:rsidP="004716AB">
            <w:pPr>
              <w:tabs>
                <w:tab w:val="left" w:pos="34"/>
              </w:tabs>
              <w:ind w:left="34"/>
              <w:jc w:val="both"/>
              <w:rPr>
                <w:lang w:val="en-GB"/>
              </w:rPr>
            </w:pPr>
          </w:p>
          <w:p w:rsidR="004716AB" w:rsidRPr="00BE039F" w:rsidRDefault="004716AB" w:rsidP="004716AB">
            <w:pPr>
              <w:tabs>
                <w:tab w:val="left" w:pos="34"/>
              </w:tabs>
              <w:ind w:left="34"/>
              <w:jc w:val="both"/>
              <w:rPr>
                <w:lang w:val="en-GB"/>
              </w:rPr>
            </w:pPr>
            <w:r w:rsidRPr="00BE039F">
              <w:rPr>
                <w:lang w:val="en-GB"/>
              </w:rPr>
              <w:lastRenderedPageBreak/>
              <w:t>Registered in the companies´ registry at the</w:t>
            </w:r>
            <w:r w:rsidRPr="00BE039F">
              <w:t xml:space="preserve"> </w:t>
            </w:r>
            <w:r w:rsidRPr="00BE039F">
              <w:rPr>
                <w:lang w:val="en-GB"/>
              </w:rPr>
              <w:t>Municipal Court in Prague, Section B, Insertion 10020,</w:t>
            </w: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(hereinafter referred to "Center")</w:t>
            </w: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 xml:space="preserve">and </w:t>
            </w:r>
          </w:p>
          <w:p w:rsidR="00A0215D" w:rsidRPr="00BE039F" w:rsidRDefault="00A0215D" w:rsidP="00A0215D">
            <w:pPr>
              <w:jc w:val="both"/>
              <w:rPr>
                <w:sz w:val="22"/>
                <w:szCs w:val="22"/>
                <w:lang w:val="en-GB"/>
              </w:rPr>
            </w:pPr>
          </w:p>
          <w:p w:rsidR="004716AB" w:rsidRPr="00BE039F" w:rsidRDefault="004716AB" w:rsidP="004716AB">
            <w:pPr>
              <w:tabs>
                <w:tab w:val="left" w:pos="0"/>
              </w:tabs>
              <w:jc w:val="both"/>
              <w:rPr>
                <w:lang w:val="cs-CZ"/>
              </w:rPr>
            </w:pPr>
            <w:r w:rsidRPr="00BE039F">
              <w:rPr>
                <w:lang w:val="cs-CZ"/>
              </w:rPr>
              <w:t xml:space="preserve">Date of birth: </w:t>
            </w:r>
          </w:p>
          <w:p w:rsidR="004716AB" w:rsidRPr="00BE039F" w:rsidRDefault="004716AB" w:rsidP="004716AB">
            <w:pPr>
              <w:tabs>
                <w:tab w:val="left" w:pos="0"/>
              </w:tabs>
              <w:jc w:val="both"/>
              <w:rPr>
                <w:lang w:val="cs-CZ"/>
              </w:rPr>
            </w:pPr>
            <w:r w:rsidRPr="00BE039F">
              <w:rPr>
                <w:lang w:val="cs-CZ"/>
              </w:rPr>
              <w:t xml:space="preserve">Address of Principal Investigator: </w:t>
            </w:r>
          </w:p>
          <w:p w:rsidR="004716AB" w:rsidRPr="00BE039F" w:rsidRDefault="004716AB" w:rsidP="004716AB">
            <w:pPr>
              <w:jc w:val="both"/>
              <w:rPr>
                <w:lang w:val="cs-CZ"/>
              </w:rPr>
            </w:pPr>
          </w:p>
          <w:p w:rsidR="004716AB" w:rsidRPr="00BE039F" w:rsidRDefault="004716AB" w:rsidP="004716AB">
            <w:pPr>
              <w:jc w:val="both"/>
              <w:rPr>
                <w:sz w:val="22"/>
                <w:szCs w:val="22"/>
                <w:lang w:val="en-GB"/>
              </w:rPr>
            </w:pPr>
          </w:p>
          <w:p w:rsidR="00A0215D" w:rsidRPr="00BE039F" w:rsidRDefault="00A0215D" w:rsidP="00A0215D">
            <w:pPr>
              <w:jc w:val="both"/>
              <w:rPr>
                <w:sz w:val="22"/>
                <w:szCs w:val="22"/>
                <w:lang w:val="en-GB"/>
              </w:rPr>
            </w:pPr>
          </w:p>
          <w:p w:rsidR="00A0215D" w:rsidRPr="00BE039F" w:rsidRDefault="00A0215D" w:rsidP="00A0215D">
            <w:pPr>
              <w:jc w:val="both"/>
              <w:rPr>
                <w:sz w:val="22"/>
                <w:szCs w:val="22"/>
                <w:lang w:val="en-GB"/>
              </w:rPr>
            </w:pPr>
            <w:r w:rsidRPr="00BE039F">
              <w:rPr>
                <w:sz w:val="22"/>
                <w:szCs w:val="22"/>
                <w:lang w:val="en-GB"/>
              </w:rPr>
              <w:t>(hereinafter referred to as “Principal Investigator”)</w:t>
            </w:r>
          </w:p>
          <w:p w:rsidR="00A0215D" w:rsidRPr="00BE039F" w:rsidRDefault="00A0215D" w:rsidP="00A0215D">
            <w:pPr>
              <w:jc w:val="both"/>
              <w:rPr>
                <w:sz w:val="22"/>
                <w:szCs w:val="22"/>
                <w:lang w:val="en-GB"/>
              </w:rPr>
            </w:pPr>
          </w:p>
          <w:p w:rsidR="006F214D" w:rsidRPr="00BE039F" w:rsidRDefault="00A0215D" w:rsidP="004716AB">
            <w:pPr>
              <w:jc w:val="both"/>
              <w:rPr>
                <w:sz w:val="22"/>
                <w:szCs w:val="22"/>
                <w:lang w:val="en-GB"/>
              </w:rPr>
            </w:pPr>
            <w:r w:rsidRPr="00BE039F">
              <w:rPr>
                <w:sz w:val="22"/>
                <w:szCs w:val="22"/>
                <w:lang w:val="en-GB"/>
              </w:rPr>
              <w:t>(Provider and Principal Investigator collectively hereinafter referred to as “Contract Partners”)</w:t>
            </w:r>
          </w:p>
        </w:tc>
      </w:tr>
      <w:tr w:rsidR="006F214D" w:rsidRPr="003B2579" w:rsidTr="00885191">
        <w:tc>
          <w:tcPr>
            <w:tcW w:w="2503" w:type="pct"/>
            <w:tcMar>
              <w:top w:w="100" w:type="dxa"/>
              <w:left w:w="100" w:type="dxa"/>
              <w:bottom w:w="100" w:type="dxa"/>
              <w:right w:w="100" w:type="dxa"/>
            </w:tcMar>
          </w:tcPr>
          <w:p w:rsidR="006F214D" w:rsidRPr="003B2579" w:rsidRDefault="006F214D" w:rsidP="00E84350">
            <w:pPr>
              <w:rPr>
                <w:sz w:val="16"/>
                <w:szCs w:val="16"/>
                <w:lang w:val="en-GB"/>
              </w:rPr>
            </w:pPr>
          </w:p>
        </w:tc>
        <w:tc>
          <w:tcPr>
            <w:tcW w:w="2497" w:type="pct"/>
          </w:tcPr>
          <w:p w:rsidR="006F214D" w:rsidRPr="003B2579" w:rsidRDefault="006F214D" w:rsidP="00613274">
            <w:pPr>
              <w:rPr>
                <w:sz w:val="16"/>
                <w:szCs w:val="16"/>
                <w:lang w:val="en-GB"/>
              </w:rPr>
            </w:pPr>
          </w:p>
        </w:tc>
      </w:tr>
      <w:tr w:rsidR="006F214D" w:rsidRPr="003B2579" w:rsidTr="00885191">
        <w:tc>
          <w:tcPr>
            <w:tcW w:w="2503" w:type="pct"/>
            <w:tcMar>
              <w:top w:w="100" w:type="dxa"/>
              <w:left w:w="100" w:type="dxa"/>
              <w:bottom w:w="100" w:type="dxa"/>
              <w:right w:w="100" w:type="dxa"/>
            </w:tcMar>
          </w:tcPr>
          <w:p w:rsidR="006F214D" w:rsidRPr="003B2579" w:rsidRDefault="006F214D" w:rsidP="000C0E06">
            <w:pPr>
              <w:rPr>
                <w:sz w:val="22"/>
                <w:szCs w:val="22"/>
              </w:rPr>
            </w:pPr>
            <w:r w:rsidRPr="003B2579">
              <w:rPr>
                <w:sz w:val="22"/>
                <w:szCs w:val="22"/>
                <w:bdr w:val="nil"/>
                <w:lang w:val="cs-CZ"/>
              </w:rPr>
              <w:t>dále zde společně označovanými jako „strany“.</w:t>
            </w:r>
          </w:p>
        </w:tc>
        <w:tc>
          <w:tcPr>
            <w:tcW w:w="2497" w:type="pct"/>
          </w:tcPr>
          <w:p w:rsidR="006F214D" w:rsidRPr="003B2579" w:rsidRDefault="006F214D" w:rsidP="00613274">
            <w:pPr>
              <w:rPr>
                <w:sz w:val="22"/>
                <w:szCs w:val="22"/>
              </w:rPr>
            </w:pPr>
            <w:r w:rsidRPr="003B2579">
              <w:rPr>
                <w:b/>
                <w:sz w:val="22"/>
                <w:szCs w:val="22"/>
                <w:lang w:val="en-GB"/>
              </w:rPr>
              <w:t xml:space="preserve"> </w:t>
            </w:r>
            <w:r w:rsidRPr="003B2579">
              <w:rPr>
                <w:sz w:val="22"/>
                <w:szCs w:val="22"/>
              </w:rPr>
              <w:t>Collectively hereafter referred to as the “Parties”.</w:t>
            </w:r>
          </w:p>
        </w:tc>
      </w:tr>
      <w:tr w:rsidR="006F214D" w:rsidRPr="003B2579" w:rsidTr="00885191">
        <w:tc>
          <w:tcPr>
            <w:tcW w:w="2503" w:type="pct"/>
            <w:tcMar>
              <w:top w:w="100" w:type="dxa"/>
              <w:left w:w="100" w:type="dxa"/>
              <w:bottom w:w="100" w:type="dxa"/>
              <w:right w:w="100" w:type="dxa"/>
            </w:tcMar>
          </w:tcPr>
          <w:p w:rsidR="006F214D" w:rsidRPr="003B2579" w:rsidRDefault="006F214D" w:rsidP="005C0054">
            <w:pPr>
              <w:rPr>
                <w:sz w:val="16"/>
                <w:szCs w:val="16"/>
              </w:rPr>
            </w:pPr>
          </w:p>
        </w:tc>
        <w:tc>
          <w:tcPr>
            <w:tcW w:w="2497" w:type="pct"/>
          </w:tcPr>
          <w:p w:rsidR="006F214D" w:rsidRPr="003B2579" w:rsidRDefault="006F214D" w:rsidP="00613274">
            <w:pPr>
              <w:rPr>
                <w:sz w:val="16"/>
                <w:szCs w:val="16"/>
              </w:rPr>
            </w:pPr>
          </w:p>
        </w:tc>
      </w:tr>
      <w:tr w:rsidR="006F214D" w:rsidRPr="003B2579" w:rsidTr="00885191">
        <w:tc>
          <w:tcPr>
            <w:tcW w:w="2503" w:type="pct"/>
            <w:tcMar>
              <w:top w:w="100" w:type="dxa"/>
              <w:left w:w="100" w:type="dxa"/>
              <w:bottom w:w="100" w:type="dxa"/>
              <w:right w:w="100" w:type="dxa"/>
            </w:tcMar>
          </w:tcPr>
          <w:p w:rsidR="006F214D" w:rsidRPr="003B2579" w:rsidRDefault="006F214D" w:rsidP="005C0054">
            <w:pPr>
              <w:ind w:left="426"/>
              <w:rPr>
                <w:sz w:val="22"/>
                <w:szCs w:val="22"/>
                <w:u w:val="single"/>
              </w:rPr>
            </w:pPr>
            <w:r w:rsidRPr="003B2579">
              <w:rPr>
                <w:sz w:val="22"/>
                <w:szCs w:val="22"/>
                <w:u w:val="single"/>
                <w:bdr w:val="nil"/>
                <w:lang w:val="cs-CZ"/>
              </w:rPr>
              <w:t>2. STVRZUJE:</w:t>
            </w:r>
          </w:p>
        </w:tc>
        <w:tc>
          <w:tcPr>
            <w:tcW w:w="2497" w:type="pct"/>
          </w:tcPr>
          <w:p w:rsidR="006F214D" w:rsidRPr="003B2579" w:rsidRDefault="006F214D" w:rsidP="00613274">
            <w:pPr>
              <w:ind w:left="426"/>
              <w:rPr>
                <w:sz w:val="22"/>
                <w:szCs w:val="22"/>
                <w:u w:val="single"/>
              </w:rPr>
            </w:pPr>
            <w:r w:rsidRPr="003B2579">
              <w:rPr>
                <w:sz w:val="22"/>
                <w:szCs w:val="22"/>
                <w:u w:val="single"/>
              </w:rPr>
              <w:t>2. WITNESSETH:</w:t>
            </w:r>
          </w:p>
        </w:tc>
      </w:tr>
      <w:tr w:rsidR="006F214D" w:rsidRPr="003B2579" w:rsidTr="00885191">
        <w:tc>
          <w:tcPr>
            <w:tcW w:w="2503" w:type="pct"/>
            <w:tcMar>
              <w:top w:w="100" w:type="dxa"/>
              <w:left w:w="100" w:type="dxa"/>
              <w:bottom w:w="100" w:type="dxa"/>
              <w:right w:w="100" w:type="dxa"/>
            </w:tcMar>
          </w:tcPr>
          <w:p w:rsidR="006F214D" w:rsidRPr="003B2579" w:rsidRDefault="006F214D" w:rsidP="005C0054">
            <w:pPr>
              <w:rPr>
                <w:sz w:val="16"/>
                <w:szCs w:val="16"/>
                <w:u w:val="single"/>
              </w:rPr>
            </w:pPr>
          </w:p>
        </w:tc>
        <w:tc>
          <w:tcPr>
            <w:tcW w:w="2497" w:type="pct"/>
          </w:tcPr>
          <w:p w:rsidR="006F214D" w:rsidRPr="003B2579" w:rsidRDefault="006F214D" w:rsidP="00613274">
            <w:pPr>
              <w:rPr>
                <w:sz w:val="16"/>
                <w:szCs w:val="16"/>
                <w:u w:val="single"/>
              </w:rPr>
            </w:pPr>
          </w:p>
        </w:tc>
      </w:tr>
      <w:tr w:rsidR="006F214D" w:rsidRPr="003B2579" w:rsidTr="00885191">
        <w:tc>
          <w:tcPr>
            <w:tcW w:w="2503" w:type="pct"/>
            <w:tcMar>
              <w:top w:w="100" w:type="dxa"/>
              <w:left w:w="100" w:type="dxa"/>
              <w:bottom w:w="100" w:type="dxa"/>
              <w:right w:w="100" w:type="dxa"/>
            </w:tcMar>
          </w:tcPr>
          <w:p w:rsidR="006F214D" w:rsidRPr="003B2579" w:rsidRDefault="006F214D" w:rsidP="003B2579">
            <w:pPr>
              <w:ind w:firstLine="426"/>
              <w:jc w:val="both"/>
              <w:rPr>
                <w:sz w:val="22"/>
                <w:szCs w:val="22"/>
              </w:rPr>
            </w:pPr>
            <w:r w:rsidRPr="003B2579">
              <w:rPr>
                <w:sz w:val="22"/>
                <w:szCs w:val="22"/>
                <w:bdr w:val="nil"/>
                <w:lang w:val="cs-CZ"/>
              </w:rPr>
              <w:t>JELIKOŽ strany uzavřely zmíněnou SMLOUVU O KLINICKÉM HODNOCENÍ</w:t>
            </w:r>
            <w:r w:rsidRPr="003B2579">
              <w:rPr>
                <w:b/>
                <w:bCs/>
                <w:sz w:val="22"/>
                <w:szCs w:val="22"/>
                <w:bdr w:val="nil"/>
                <w:lang w:val="cs-CZ"/>
              </w:rPr>
              <w:t xml:space="preserve"> </w:t>
            </w:r>
            <w:r w:rsidRPr="003B2579">
              <w:rPr>
                <w:sz w:val="22"/>
                <w:szCs w:val="22"/>
                <w:bdr w:val="nil"/>
                <w:lang w:val="cs-CZ"/>
              </w:rPr>
              <w:t>ke dni</w:t>
            </w:r>
            <w:r w:rsidR="007157FF">
              <w:rPr>
                <w:sz w:val="22"/>
                <w:szCs w:val="22"/>
                <w:bdr w:val="nil"/>
                <w:lang w:val="cs-CZ"/>
              </w:rPr>
              <w:t xml:space="preserve"> </w:t>
            </w:r>
            <w:r w:rsidR="007157FF" w:rsidRPr="007157FF">
              <w:rPr>
                <w:b/>
                <w:sz w:val="22"/>
                <w:szCs w:val="22"/>
                <w:bdr w:val="nil"/>
                <w:lang w:val="en-GB"/>
              </w:rPr>
              <w:t>22. ledna 2016</w:t>
            </w:r>
            <w:r w:rsidRPr="003B2579">
              <w:rPr>
                <w:sz w:val="22"/>
                <w:szCs w:val="22"/>
                <w:bdr w:val="nil"/>
                <w:lang w:val="cs-CZ"/>
              </w:rPr>
              <w:t xml:space="preserve"> (ve znění pozdějších úprav, dodatků a změn, dále jako „smlouva“; podmínky stanovené ve smlouvě a jinak neupravené v tomto dokumentu budou mít význam stanovený ve smlouvě) za účelem provádění určitých služeb zkoušejícím;</w:t>
            </w:r>
          </w:p>
        </w:tc>
        <w:tc>
          <w:tcPr>
            <w:tcW w:w="2497" w:type="pct"/>
          </w:tcPr>
          <w:p w:rsidR="006F214D" w:rsidRPr="003B2579" w:rsidRDefault="006F214D" w:rsidP="003B2579">
            <w:pPr>
              <w:ind w:firstLine="426"/>
              <w:jc w:val="both"/>
              <w:rPr>
                <w:sz w:val="22"/>
                <w:szCs w:val="22"/>
              </w:rPr>
            </w:pPr>
            <w:r w:rsidRPr="003B2579">
              <w:rPr>
                <w:sz w:val="22"/>
                <w:szCs w:val="22"/>
              </w:rPr>
              <w:t xml:space="preserve">WHEREAS, Parties have entered in to that </w:t>
            </w:r>
            <w:r w:rsidRPr="003B2579">
              <w:rPr>
                <w:sz w:val="22"/>
                <w:szCs w:val="22"/>
                <w:lang w:val="en-GB"/>
              </w:rPr>
              <w:t>CLINICAL TRIAL AGREEMENT</w:t>
            </w:r>
            <w:r w:rsidRPr="003B2579">
              <w:rPr>
                <w:b/>
                <w:bCs/>
                <w:sz w:val="22"/>
                <w:szCs w:val="22"/>
              </w:rPr>
              <w:t xml:space="preserve"> </w:t>
            </w:r>
            <w:r w:rsidRPr="003B2579">
              <w:rPr>
                <w:sz w:val="22"/>
                <w:szCs w:val="22"/>
              </w:rPr>
              <w:t>dated</w:t>
            </w:r>
            <w:r w:rsidR="007157FF">
              <w:rPr>
                <w:sz w:val="22"/>
                <w:szCs w:val="22"/>
              </w:rPr>
              <w:t xml:space="preserve"> </w:t>
            </w:r>
            <w:r w:rsidR="007157FF" w:rsidRPr="007157FF">
              <w:rPr>
                <w:b/>
                <w:sz w:val="22"/>
                <w:szCs w:val="22"/>
              </w:rPr>
              <w:t>22 Jan 2016</w:t>
            </w:r>
            <w:r w:rsidRPr="003B2579">
              <w:rPr>
                <w:sz w:val="22"/>
                <w:szCs w:val="22"/>
              </w:rPr>
              <w:t xml:space="preserve"> (as amended, modified or supplemented from time to time, the “Agreement”; terms defined in the Agreement and not otherwise defined herein are used herein as defined therein) for the performance of certain services by the Investigator;</w:t>
            </w:r>
          </w:p>
        </w:tc>
      </w:tr>
      <w:tr w:rsidR="006F214D" w:rsidRPr="003B2579" w:rsidTr="00432646">
        <w:trPr>
          <w:trHeight w:val="160"/>
        </w:trPr>
        <w:tc>
          <w:tcPr>
            <w:tcW w:w="2503" w:type="pct"/>
            <w:tcMar>
              <w:top w:w="100" w:type="dxa"/>
              <w:left w:w="100" w:type="dxa"/>
              <w:bottom w:w="100" w:type="dxa"/>
              <w:right w:w="100" w:type="dxa"/>
            </w:tcMar>
          </w:tcPr>
          <w:p w:rsidR="006F214D" w:rsidRPr="003B2579" w:rsidRDefault="006F214D" w:rsidP="005C0054">
            <w:pPr>
              <w:ind w:firstLine="426"/>
              <w:rPr>
                <w:sz w:val="16"/>
                <w:szCs w:val="16"/>
              </w:rPr>
            </w:pPr>
          </w:p>
        </w:tc>
        <w:tc>
          <w:tcPr>
            <w:tcW w:w="2497" w:type="pct"/>
          </w:tcPr>
          <w:p w:rsidR="006F214D" w:rsidRPr="003B2579" w:rsidRDefault="006F214D" w:rsidP="00613274">
            <w:pPr>
              <w:ind w:firstLine="426"/>
              <w:rPr>
                <w:sz w:val="16"/>
                <w:szCs w:val="16"/>
              </w:rPr>
            </w:pPr>
          </w:p>
        </w:tc>
      </w:tr>
      <w:tr w:rsidR="00F11DCE" w:rsidRPr="003B2579" w:rsidTr="00C30C15">
        <w:trPr>
          <w:trHeight w:val="160"/>
        </w:trPr>
        <w:tc>
          <w:tcPr>
            <w:tcW w:w="2503" w:type="pct"/>
            <w:tcMar>
              <w:top w:w="100" w:type="dxa"/>
              <w:left w:w="100" w:type="dxa"/>
              <w:bottom w:w="100" w:type="dxa"/>
              <w:right w:w="100" w:type="dxa"/>
            </w:tcMar>
          </w:tcPr>
          <w:p w:rsidR="00F11DCE" w:rsidRDefault="00F11DCE" w:rsidP="00C30C15">
            <w:pPr>
              <w:tabs>
                <w:tab w:val="left" w:pos="-1440"/>
              </w:tabs>
              <w:ind w:firstLine="425"/>
              <w:jc w:val="both"/>
              <w:rPr>
                <w:sz w:val="22"/>
                <w:szCs w:val="22"/>
                <w:bdr w:val="nil"/>
                <w:lang w:val="cs-CZ"/>
              </w:rPr>
            </w:pPr>
            <w:r>
              <w:rPr>
                <w:sz w:val="22"/>
                <w:szCs w:val="22"/>
                <w:bdr w:val="nil"/>
                <w:lang w:val="cs-CZ"/>
              </w:rPr>
              <w:t xml:space="preserve">JELIKOŽ strany uznávají, že v důsledku sloučení společnosti Bayer HealthCare AG se společností Bayer AG, dceřinou společností v rámci skupiny Bayer, je od 1. </w:t>
            </w:r>
            <w:r w:rsidR="00B067D4">
              <w:rPr>
                <w:sz w:val="22"/>
                <w:szCs w:val="22"/>
                <w:bdr w:val="nil"/>
                <w:lang w:val="cs-CZ"/>
              </w:rPr>
              <w:t>č</w:t>
            </w:r>
            <w:r>
              <w:rPr>
                <w:sz w:val="22"/>
                <w:szCs w:val="22"/>
                <w:bdr w:val="nil"/>
                <w:lang w:val="cs-CZ"/>
              </w:rPr>
              <w:t>ervence 2016 studie sponzorována společností Bayer AG, tedy Sponzorem uvedeným ve Smlouvě je Bayer AG.</w:t>
            </w:r>
          </w:p>
          <w:p w:rsidR="00F11DCE" w:rsidRDefault="00F11DCE" w:rsidP="00C30C15">
            <w:pPr>
              <w:tabs>
                <w:tab w:val="left" w:pos="-1440"/>
              </w:tabs>
              <w:jc w:val="both"/>
              <w:rPr>
                <w:sz w:val="22"/>
                <w:szCs w:val="22"/>
                <w:bdr w:val="nil"/>
                <w:lang w:val="cs-CZ"/>
              </w:rPr>
            </w:pPr>
          </w:p>
          <w:p w:rsidR="00F11DCE" w:rsidRPr="00C30C15" w:rsidRDefault="00F11DCE" w:rsidP="00B067D4">
            <w:pPr>
              <w:tabs>
                <w:tab w:val="left" w:pos="-1440"/>
              </w:tabs>
              <w:ind w:firstLine="425"/>
              <w:jc w:val="both"/>
              <w:rPr>
                <w:sz w:val="22"/>
                <w:szCs w:val="22"/>
                <w:bdr w:val="nil"/>
                <w:lang w:val="cs-CZ"/>
              </w:rPr>
            </w:pPr>
            <w:r>
              <w:rPr>
                <w:sz w:val="22"/>
                <w:szCs w:val="22"/>
                <w:bdr w:val="nil"/>
                <w:lang w:val="cs-CZ"/>
              </w:rPr>
              <w:t xml:space="preserve">Kromě výše uvedených skutečností, společnost Bayer Pharma AG jako součást celkové restrukturalizace skupiny Bayer s účinností od 1. </w:t>
            </w:r>
            <w:r w:rsidR="00B067D4">
              <w:rPr>
                <w:sz w:val="22"/>
                <w:szCs w:val="22"/>
                <w:bdr w:val="nil"/>
                <w:lang w:val="cs-CZ"/>
              </w:rPr>
              <w:t>l</w:t>
            </w:r>
            <w:r>
              <w:rPr>
                <w:sz w:val="22"/>
                <w:szCs w:val="22"/>
                <w:bdr w:val="nil"/>
                <w:lang w:val="cs-CZ"/>
              </w:rPr>
              <w:t xml:space="preserve">edna 2017 postoupila smlouvu své přidružené společnosti Bayer AG. V důsledku toho byla veškerá práva a povinnosti společnosti Bayer Pharma AG ve </w:t>
            </w:r>
            <w:r>
              <w:rPr>
                <w:sz w:val="22"/>
                <w:szCs w:val="22"/>
                <w:bdr w:val="nil"/>
                <w:lang w:val="cs-CZ"/>
              </w:rPr>
              <w:lastRenderedPageBreak/>
              <w:t>Smlouvě převedena na společnost Bayer AG, a proto je smluvní stranou Smlouvy Bayer AG. Toto postoupe</w:t>
            </w:r>
            <w:r w:rsidR="00402A1D">
              <w:rPr>
                <w:sz w:val="22"/>
                <w:szCs w:val="22"/>
                <w:bdr w:val="nil"/>
                <w:lang w:val="cs-CZ"/>
              </w:rPr>
              <w:t>ní je v souladu s klauzulí o po</w:t>
            </w:r>
            <w:r>
              <w:rPr>
                <w:sz w:val="22"/>
                <w:szCs w:val="22"/>
                <w:bdr w:val="nil"/>
                <w:lang w:val="cs-CZ"/>
              </w:rPr>
              <w:t xml:space="preserve">stoupení ve Smlouvě a od 1. </w:t>
            </w:r>
            <w:r w:rsidR="00B067D4">
              <w:rPr>
                <w:sz w:val="22"/>
                <w:szCs w:val="22"/>
                <w:bdr w:val="nil"/>
                <w:lang w:val="cs-CZ"/>
              </w:rPr>
              <w:t>l</w:t>
            </w:r>
            <w:r>
              <w:rPr>
                <w:sz w:val="22"/>
                <w:szCs w:val="22"/>
                <w:bdr w:val="nil"/>
                <w:lang w:val="cs-CZ"/>
              </w:rPr>
              <w:t>edna 2017 jsou všechny odkazy na společnost Bayer Pharma AG čteny a chápány jako odkaz na společnost Bayer AG.</w:t>
            </w:r>
          </w:p>
        </w:tc>
        <w:tc>
          <w:tcPr>
            <w:tcW w:w="2497" w:type="pct"/>
          </w:tcPr>
          <w:p w:rsidR="00F11DCE" w:rsidRDefault="00F11DCE" w:rsidP="00C30C15">
            <w:pPr>
              <w:tabs>
                <w:tab w:val="left" w:pos="-1440"/>
              </w:tabs>
              <w:ind w:firstLine="425"/>
              <w:jc w:val="both"/>
              <w:rPr>
                <w:sz w:val="22"/>
                <w:szCs w:val="22"/>
                <w:bdr w:val="nil"/>
                <w:lang w:val="cs-CZ"/>
              </w:rPr>
            </w:pPr>
            <w:r w:rsidRPr="00C30C15">
              <w:rPr>
                <w:sz w:val="22"/>
                <w:szCs w:val="22"/>
                <w:bdr w:val="nil"/>
                <w:lang w:val="cs-CZ"/>
              </w:rPr>
              <w:lastRenderedPageBreak/>
              <w:t>WHEREAS Parties acknowledge that as a result of a merger of Bayer HealthCare AG with Bayer AG, an affiliated company within the Bayer Group, as of 01 July 2016, the Study is sponsored by Bayer AG so teh Sponsor under the Agreement is Bayer AG.</w:t>
            </w:r>
          </w:p>
          <w:p w:rsidR="00F11DCE" w:rsidRPr="00C30C15" w:rsidRDefault="00F11DCE" w:rsidP="00C30C15">
            <w:pPr>
              <w:tabs>
                <w:tab w:val="left" w:pos="-1440"/>
              </w:tabs>
              <w:ind w:firstLine="425"/>
              <w:jc w:val="both"/>
              <w:rPr>
                <w:sz w:val="22"/>
                <w:szCs w:val="22"/>
                <w:bdr w:val="nil"/>
                <w:lang w:val="cs-CZ"/>
              </w:rPr>
            </w:pPr>
          </w:p>
          <w:p w:rsidR="00F11DCE" w:rsidRPr="00C30C15" w:rsidRDefault="00F11DCE" w:rsidP="00C30C15">
            <w:pPr>
              <w:tabs>
                <w:tab w:val="left" w:pos="-1440"/>
              </w:tabs>
              <w:ind w:firstLine="425"/>
              <w:jc w:val="both"/>
              <w:rPr>
                <w:sz w:val="22"/>
                <w:szCs w:val="22"/>
                <w:bdr w:val="nil"/>
                <w:lang w:val="cs-CZ"/>
              </w:rPr>
            </w:pPr>
            <w:r w:rsidRPr="00C30C15">
              <w:rPr>
                <w:sz w:val="22"/>
                <w:szCs w:val="22"/>
                <w:bdr w:val="nil"/>
                <w:lang w:val="cs-CZ"/>
              </w:rPr>
              <w:t xml:space="preserve">In addition to the above, as part of the overall restructuring of the Bayer Group, effective as of 1st January 2017, Bayer Pharma AG assigned the Agreement to its affiliate Bayer AG. Consequently, all the rights and obligations of Bayer Pharma AG under the Agreement have been transferred to Bayer </w:t>
            </w:r>
            <w:r w:rsidRPr="00C30C15">
              <w:rPr>
                <w:sz w:val="22"/>
                <w:szCs w:val="22"/>
                <w:bdr w:val="nil"/>
                <w:lang w:val="cs-CZ"/>
              </w:rPr>
              <w:lastRenderedPageBreak/>
              <w:t>AG, therefore the contracting party to the Agreement is Bayer AG.</w:t>
            </w:r>
            <w:r w:rsidRPr="00C30C15">
              <w:rPr>
                <w:sz w:val="22"/>
                <w:szCs w:val="22"/>
                <w:bdr w:val="nil"/>
                <w:lang w:val="cs-CZ"/>
              </w:rPr>
              <w:tab/>
              <w:t xml:space="preserve">This assignment is in accordance with the assignment clause contained in the Agreement and as of 1st January 2017, all references to Bayer Pharma AG shall be read and construed as references to Bayer AG. </w:t>
            </w:r>
          </w:p>
          <w:p w:rsidR="00F11DCE" w:rsidRPr="00C30C15" w:rsidRDefault="00F11DCE" w:rsidP="00C30C15">
            <w:pPr>
              <w:tabs>
                <w:tab w:val="left" w:pos="-1440"/>
              </w:tabs>
              <w:ind w:firstLine="425"/>
              <w:jc w:val="both"/>
              <w:rPr>
                <w:sz w:val="22"/>
                <w:szCs w:val="22"/>
                <w:bdr w:val="nil"/>
                <w:lang w:val="cs-CZ"/>
              </w:rPr>
            </w:pPr>
          </w:p>
        </w:tc>
      </w:tr>
      <w:tr w:rsidR="00F11DCE" w:rsidRPr="003B2579" w:rsidTr="00C30C15">
        <w:tc>
          <w:tcPr>
            <w:tcW w:w="2503" w:type="pct"/>
            <w:tcMar>
              <w:top w:w="100" w:type="dxa"/>
              <w:left w:w="100" w:type="dxa"/>
              <w:bottom w:w="100" w:type="dxa"/>
              <w:right w:w="100" w:type="dxa"/>
            </w:tcMar>
          </w:tcPr>
          <w:p w:rsidR="00F11DCE" w:rsidRPr="003B2579" w:rsidRDefault="00F11DCE" w:rsidP="00C30C15">
            <w:pPr>
              <w:tabs>
                <w:tab w:val="left" w:pos="-1440"/>
              </w:tabs>
              <w:jc w:val="both"/>
              <w:rPr>
                <w:sz w:val="22"/>
                <w:szCs w:val="22"/>
                <w:bdr w:val="nil"/>
                <w:lang w:val="cs-CZ"/>
              </w:rPr>
            </w:pPr>
          </w:p>
        </w:tc>
        <w:tc>
          <w:tcPr>
            <w:tcW w:w="2497" w:type="pct"/>
          </w:tcPr>
          <w:p w:rsidR="00F11DCE" w:rsidRPr="003B2579" w:rsidRDefault="00F11DCE" w:rsidP="00C30C15">
            <w:pPr>
              <w:tabs>
                <w:tab w:val="left" w:pos="-1440"/>
              </w:tabs>
              <w:jc w:val="both"/>
              <w:rPr>
                <w:sz w:val="22"/>
                <w:szCs w:val="22"/>
              </w:rPr>
            </w:pPr>
          </w:p>
        </w:tc>
      </w:tr>
      <w:tr w:rsidR="00F11DCE" w:rsidRPr="003B2579" w:rsidTr="00C30C15">
        <w:tc>
          <w:tcPr>
            <w:tcW w:w="2503" w:type="pct"/>
            <w:tcMar>
              <w:top w:w="100" w:type="dxa"/>
              <w:left w:w="100" w:type="dxa"/>
              <w:bottom w:w="100" w:type="dxa"/>
              <w:right w:w="100" w:type="dxa"/>
            </w:tcMar>
          </w:tcPr>
          <w:p w:rsidR="00F11DCE" w:rsidRPr="003B2579" w:rsidRDefault="00F11DCE" w:rsidP="00C30C15">
            <w:pPr>
              <w:tabs>
                <w:tab w:val="left" w:pos="-1440"/>
              </w:tabs>
              <w:jc w:val="both"/>
              <w:rPr>
                <w:sz w:val="22"/>
                <w:szCs w:val="22"/>
              </w:rPr>
            </w:pPr>
            <w:r w:rsidRPr="003B2579">
              <w:rPr>
                <w:sz w:val="22"/>
                <w:szCs w:val="22"/>
                <w:bdr w:val="nil"/>
                <w:lang w:val="cs-CZ"/>
              </w:rPr>
              <w:t>JELIKOŽ si strany přejí provést formální změn</w:t>
            </w:r>
            <w:r>
              <w:rPr>
                <w:sz w:val="22"/>
                <w:szCs w:val="22"/>
                <w:bdr w:val="nil"/>
                <w:lang w:val="cs-CZ"/>
              </w:rPr>
              <w:t>y</w:t>
            </w:r>
            <w:r w:rsidRPr="003B2579">
              <w:rPr>
                <w:sz w:val="22"/>
                <w:szCs w:val="22"/>
                <w:bdr w:val="nil"/>
                <w:lang w:val="cs-CZ"/>
              </w:rPr>
              <w:t xml:space="preserve"> </w:t>
            </w:r>
            <w:r>
              <w:rPr>
                <w:sz w:val="22"/>
                <w:szCs w:val="22"/>
                <w:bdr w:val="nil"/>
                <w:lang w:val="cs-CZ"/>
              </w:rPr>
              <w:t xml:space="preserve"> některých ustanovení Smlouvy.</w:t>
            </w:r>
          </w:p>
        </w:tc>
        <w:tc>
          <w:tcPr>
            <w:tcW w:w="2497" w:type="pct"/>
          </w:tcPr>
          <w:p w:rsidR="00F11DCE" w:rsidRPr="003B2579" w:rsidRDefault="00F11DCE" w:rsidP="00C30C15">
            <w:pPr>
              <w:tabs>
                <w:tab w:val="left" w:pos="-1440"/>
              </w:tabs>
              <w:jc w:val="both"/>
              <w:rPr>
                <w:sz w:val="22"/>
                <w:szCs w:val="22"/>
              </w:rPr>
            </w:pPr>
            <w:r w:rsidRPr="003B2579">
              <w:rPr>
                <w:sz w:val="22"/>
                <w:szCs w:val="22"/>
              </w:rPr>
              <w:t xml:space="preserve">WHEREAS Parties would like to formally amend </w:t>
            </w:r>
            <w:r>
              <w:rPr>
                <w:sz w:val="22"/>
                <w:szCs w:val="22"/>
              </w:rPr>
              <w:t xml:space="preserve">ceratin provisions of </w:t>
            </w:r>
            <w:r w:rsidRPr="003B2579">
              <w:rPr>
                <w:sz w:val="22"/>
                <w:szCs w:val="22"/>
              </w:rPr>
              <w:t>the Agreement</w:t>
            </w:r>
            <w:r>
              <w:rPr>
                <w:sz w:val="22"/>
                <w:szCs w:val="22"/>
              </w:rPr>
              <w:t>.</w:t>
            </w:r>
          </w:p>
        </w:tc>
      </w:tr>
      <w:tr w:rsidR="00F11DCE" w:rsidRPr="003B2579" w:rsidTr="00C30C15">
        <w:trPr>
          <w:trHeight w:val="119"/>
        </w:trPr>
        <w:tc>
          <w:tcPr>
            <w:tcW w:w="2503" w:type="pct"/>
            <w:tcMar>
              <w:top w:w="100" w:type="dxa"/>
              <w:left w:w="100" w:type="dxa"/>
              <w:bottom w:w="100" w:type="dxa"/>
              <w:right w:w="100" w:type="dxa"/>
            </w:tcMar>
          </w:tcPr>
          <w:p w:rsidR="00F11DCE" w:rsidRPr="003B2579" w:rsidRDefault="00F11DCE" w:rsidP="00C30C15">
            <w:pPr>
              <w:tabs>
                <w:tab w:val="left" w:pos="-1440"/>
              </w:tabs>
              <w:rPr>
                <w:sz w:val="16"/>
                <w:szCs w:val="16"/>
              </w:rPr>
            </w:pPr>
          </w:p>
        </w:tc>
        <w:tc>
          <w:tcPr>
            <w:tcW w:w="2497" w:type="pct"/>
          </w:tcPr>
          <w:p w:rsidR="00F11DCE" w:rsidRPr="003B2579" w:rsidRDefault="00F11DCE" w:rsidP="00C30C15">
            <w:pPr>
              <w:tabs>
                <w:tab w:val="left" w:pos="-1440"/>
              </w:tabs>
              <w:rPr>
                <w:sz w:val="16"/>
                <w:szCs w:val="16"/>
              </w:rPr>
            </w:pPr>
          </w:p>
        </w:tc>
      </w:tr>
    </w:tbl>
    <w:p w:rsidR="00F11DCE" w:rsidRPr="003B2579" w:rsidRDefault="00F11DCE" w:rsidP="00F11DCE">
      <w:pPr>
        <w:rPr>
          <w:rFonts w:eastAsia="Arial Unicode MS"/>
          <w:noProof/>
          <w:color w:val="000000"/>
          <w:sz w:val="20"/>
          <w:lang w:val="fr-BE"/>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4863"/>
      </w:tblGrid>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s>
              <w:jc w:val="both"/>
              <w:rPr>
                <w:sz w:val="22"/>
                <w:szCs w:val="22"/>
                <w:lang w:val="fr-BE"/>
              </w:rPr>
            </w:pPr>
            <w:r w:rsidRPr="003B2579">
              <w:rPr>
                <w:sz w:val="22"/>
                <w:szCs w:val="22"/>
                <w:bdr w:val="nil"/>
                <w:lang w:val="cs-CZ"/>
              </w:rPr>
              <w:t>Strany se NYNÍ TUDÍŽ se zřetelem na náležitá a hodnotná protiplnění, jejichž přijetí a dostatečnost každá strana tímto uznává, vzájemně dohodly takto:</w:t>
            </w:r>
          </w:p>
        </w:tc>
        <w:tc>
          <w:tcPr>
            <w:tcW w:w="2498" w:type="pct"/>
          </w:tcPr>
          <w:p w:rsidR="00F11DCE" w:rsidRPr="003B2579" w:rsidRDefault="00F11DCE" w:rsidP="00C30C15">
            <w:pPr>
              <w:tabs>
                <w:tab w:val="left" w:pos="-1440"/>
              </w:tabs>
              <w:jc w:val="both"/>
              <w:rPr>
                <w:sz w:val="22"/>
                <w:szCs w:val="22"/>
              </w:rPr>
            </w:pPr>
            <w:r w:rsidRPr="003B2579">
              <w:rPr>
                <w:sz w:val="22"/>
                <w:szCs w:val="22"/>
                <w:lang w:val="fr-BE"/>
              </w:rPr>
              <w:t xml:space="preserve"> </w:t>
            </w:r>
            <w:r w:rsidRPr="003B2579">
              <w:rPr>
                <w:sz w:val="22"/>
                <w:szCs w:val="22"/>
              </w:rPr>
              <w:t>NOW, THEREFORE, for good and valuable consideration the sufficiency and receipt of which are hereby acknowledged, the parties hereto agree as follows:</w:t>
            </w: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s>
              <w:jc w:val="both"/>
              <w:rPr>
                <w:sz w:val="22"/>
                <w:szCs w:val="22"/>
                <w:bdr w:val="nil"/>
                <w:lang w:val="cs-CZ"/>
              </w:rPr>
            </w:pPr>
          </w:p>
        </w:tc>
        <w:tc>
          <w:tcPr>
            <w:tcW w:w="2498" w:type="pct"/>
          </w:tcPr>
          <w:p w:rsidR="00F11DCE" w:rsidRPr="003B2579" w:rsidRDefault="00F11DCE" w:rsidP="00C30C15">
            <w:pPr>
              <w:tabs>
                <w:tab w:val="left" w:pos="-1440"/>
              </w:tabs>
              <w:jc w:val="both"/>
              <w:rPr>
                <w:sz w:val="22"/>
                <w:szCs w:val="22"/>
                <w:lang w:val="fr-BE"/>
              </w:rPr>
            </w:pPr>
          </w:p>
        </w:tc>
      </w:tr>
      <w:tr w:rsidR="00F11DCE" w:rsidRPr="003B2579" w:rsidTr="00C30C15">
        <w:tc>
          <w:tcPr>
            <w:tcW w:w="2502" w:type="pct"/>
            <w:tcMar>
              <w:top w:w="100" w:type="dxa"/>
              <w:left w:w="100" w:type="dxa"/>
              <w:bottom w:w="100" w:type="dxa"/>
              <w:right w:w="100" w:type="dxa"/>
            </w:tcMar>
          </w:tcPr>
          <w:p w:rsidR="00F11DCE" w:rsidRPr="00C30C15" w:rsidRDefault="00F11DCE" w:rsidP="00C30C15">
            <w:pPr>
              <w:tabs>
                <w:tab w:val="left" w:pos="-1440"/>
                <w:tab w:val="num" w:pos="360"/>
              </w:tabs>
              <w:rPr>
                <w:sz w:val="22"/>
                <w:szCs w:val="22"/>
                <w:bdr w:val="nil"/>
                <w:lang w:val="cs-CZ"/>
              </w:rPr>
            </w:pPr>
          </w:p>
        </w:tc>
        <w:tc>
          <w:tcPr>
            <w:tcW w:w="2498" w:type="pct"/>
          </w:tcPr>
          <w:p w:rsidR="00F11DCE" w:rsidRPr="00C30C15" w:rsidRDefault="00F11DCE" w:rsidP="00C30C15">
            <w:pPr>
              <w:tabs>
                <w:tab w:val="left" w:pos="-1440"/>
                <w:tab w:val="num" w:pos="360"/>
              </w:tabs>
              <w:rPr>
                <w:sz w:val="22"/>
                <w:szCs w:val="22"/>
                <w:bdr w:val="nil"/>
                <w:lang w:val="cs-CZ"/>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jc w:val="both"/>
              <w:rPr>
                <w:sz w:val="16"/>
                <w:szCs w:val="16"/>
              </w:rPr>
            </w:pPr>
          </w:p>
        </w:tc>
        <w:tc>
          <w:tcPr>
            <w:tcW w:w="2498" w:type="pct"/>
          </w:tcPr>
          <w:p w:rsidR="00F11DCE" w:rsidRPr="003B2579" w:rsidRDefault="00F11DCE" w:rsidP="00C30C15">
            <w:pPr>
              <w:tabs>
                <w:tab w:val="left" w:pos="-1440"/>
                <w:tab w:val="num" w:pos="360"/>
              </w:tabs>
              <w:jc w:val="both"/>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jc w:val="both"/>
              <w:rPr>
                <w:sz w:val="22"/>
                <w:szCs w:val="22"/>
                <w:bdr w:val="nil"/>
                <w:lang w:val="cs-CZ"/>
              </w:rPr>
            </w:pPr>
          </w:p>
        </w:tc>
        <w:tc>
          <w:tcPr>
            <w:tcW w:w="2498" w:type="pct"/>
          </w:tcPr>
          <w:p w:rsidR="00F11DCE" w:rsidRPr="005960A1" w:rsidRDefault="00F11DCE" w:rsidP="00C30C15">
            <w:pPr>
              <w:tabs>
                <w:tab w:val="left" w:pos="-1440"/>
                <w:tab w:val="num" w:pos="360"/>
              </w:tabs>
              <w:jc w:val="both"/>
              <w:rPr>
                <w:sz w:val="22"/>
                <w:szCs w:val="22"/>
                <w:bdr w:val="nil"/>
                <w:lang w:val="cs-CZ"/>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jc w:val="both"/>
              <w:rPr>
                <w:sz w:val="22"/>
                <w:szCs w:val="22"/>
              </w:rPr>
            </w:pPr>
          </w:p>
        </w:tc>
        <w:tc>
          <w:tcPr>
            <w:tcW w:w="2498" w:type="pct"/>
          </w:tcPr>
          <w:p w:rsidR="00F11DCE" w:rsidRPr="003B2579" w:rsidRDefault="00F11DCE" w:rsidP="00C30C15">
            <w:pPr>
              <w:tabs>
                <w:tab w:val="left" w:pos="-1440"/>
                <w:tab w:val="num" w:pos="341"/>
              </w:tabs>
              <w:ind w:left="360"/>
              <w:jc w:val="both"/>
              <w:rPr>
                <w:sz w:val="22"/>
                <w:szCs w:val="22"/>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C30C15" w:rsidRDefault="00F11DCE" w:rsidP="00C30C15">
            <w:pPr>
              <w:pStyle w:val="ListParagraph"/>
              <w:ind w:left="0"/>
              <w:jc w:val="both"/>
              <w:rPr>
                <w:sz w:val="16"/>
                <w:szCs w:val="16"/>
                <w:lang w:val="cs-CZ"/>
              </w:rPr>
            </w:pPr>
          </w:p>
        </w:tc>
        <w:tc>
          <w:tcPr>
            <w:tcW w:w="2498" w:type="pct"/>
          </w:tcPr>
          <w:p w:rsidR="00F11DCE" w:rsidRPr="003B2579" w:rsidRDefault="00F11DCE" w:rsidP="00C30C15">
            <w:pPr>
              <w:pStyle w:val="ListParagraph"/>
              <w:ind w:left="0"/>
              <w:jc w:val="both"/>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C30C15" w:rsidRDefault="00F11DCE" w:rsidP="00C30C15">
            <w:pPr>
              <w:tabs>
                <w:tab w:val="left" w:pos="-1440"/>
                <w:tab w:val="num" w:pos="360"/>
              </w:tabs>
              <w:ind w:left="360"/>
              <w:rPr>
                <w:sz w:val="16"/>
                <w:szCs w:val="16"/>
                <w:lang w:val="cs-CZ"/>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C30C15" w:rsidRDefault="00F11DCE" w:rsidP="00C30C15">
            <w:pPr>
              <w:tabs>
                <w:tab w:val="left" w:pos="-1440"/>
                <w:tab w:val="num" w:pos="360"/>
              </w:tabs>
              <w:ind w:left="360"/>
              <w:rPr>
                <w:sz w:val="16"/>
                <w:szCs w:val="16"/>
                <w:lang w:val="cs-CZ"/>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C30C15" w:rsidRDefault="00F11DCE" w:rsidP="00C30C15">
            <w:pPr>
              <w:tabs>
                <w:tab w:val="left" w:pos="-1440"/>
                <w:tab w:val="num" w:pos="360"/>
              </w:tabs>
              <w:ind w:left="357"/>
              <w:rPr>
                <w:sz w:val="16"/>
                <w:szCs w:val="16"/>
                <w:lang w:val="cs-CZ"/>
              </w:rPr>
            </w:pPr>
          </w:p>
        </w:tc>
        <w:tc>
          <w:tcPr>
            <w:tcW w:w="2498" w:type="pct"/>
          </w:tcPr>
          <w:p w:rsidR="00F11DCE" w:rsidRPr="003B2579" w:rsidRDefault="00F11DCE" w:rsidP="00C30C15">
            <w:pPr>
              <w:tabs>
                <w:tab w:val="left" w:pos="-1440"/>
                <w:tab w:val="num" w:pos="360"/>
              </w:tabs>
              <w:ind w:left="357"/>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num" w:pos="360"/>
              </w:tabs>
              <w:ind w:left="360"/>
              <w:rPr>
                <w:sz w:val="16"/>
                <w:szCs w:val="16"/>
              </w:rPr>
            </w:pPr>
          </w:p>
        </w:tc>
        <w:tc>
          <w:tcPr>
            <w:tcW w:w="2498" w:type="pct"/>
          </w:tcPr>
          <w:p w:rsidR="00F11DCE" w:rsidRPr="003B2579" w:rsidRDefault="00F11DCE" w:rsidP="00C30C15">
            <w:pPr>
              <w:tabs>
                <w:tab w:val="left" w:pos="-1440"/>
                <w:tab w:val="num" w:pos="360"/>
              </w:tabs>
              <w:ind w:left="360"/>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s>
              <w:ind w:left="345" w:hanging="255"/>
              <w:jc w:val="both"/>
              <w:rPr>
                <w:sz w:val="22"/>
                <w:szCs w:val="22"/>
              </w:rPr>
            </w:pPr>
            <w:r w:rsidRPr="003B2579">
              <w:rPr>
                <w:sz w:val="22"/>
                <w:szCs w:val="22"/>
                <w:bdr w:val="nil"/>
                <w:lang w:val="cs-CZ"/>
              </w:rPr>
              <w:t xml:space="preserve">3. Smlouva a veškeré její přílohy a doplňky, ve znění pozdějších úprav, dodatků a jiných změn, uzavřené k datu účinnosti tohoto dodatku č. 1 nebo po něm ve znění pozdějších úprav, dodatků, přepracování či jiných změn </w:t>
            </w:r>
            <w:r w:rsidRPr="003B2579">
              <w:rPr>
                <w:sz w:val="22"/>
                <w:szCs w:val="22"/>
                <w:bdr w:val="nil"/>
                <w:lang w:val="cs-CZ"/>
              </w:rPr>
              <w:lastRenderedPageBreak/>
              <w:t>upravených tímto dodatkem nebo podle něj, zůstane v plné platnosti a účinnosti a je tímto ratifikována a potvrzena ve všech ohledech.</w:t>
            </w:r>
          </w:p>
        </w:tc>
        <w:tc>
          <w:tcPr>
            <w:tcW w:w="2498" w:type="pct"/>
          </w:tcPr>
          <w:p w:rsidR="00F11DCE" w:rsidRPr="003B2579" w:rsidRDefault="00F11DCE" w:rsidP="00C30C15">
            <w:pPr>
              <w:tabs>
                <w:tab w:val="left" w:pos="-1440"/>
              </w:tabs>
              <w:ind w:left="345" w:hanging="255"/>
              <w:jc w:val="both"/>
              <w:rPr>
                <w:sz w:val="22"/>
                <w:szCs w:val="22"/>
              </w:rPr>
            </w:pPr>
            <w:r w:rsidRPr="003B2579">
              <w:rPr>
                <w:sz w:val="22"/>
                <w:szCs w:val="22"/>
              </w:rPr>
              <w:lastRenderedPageBreak/>
              <w:t xml:space="preserve">3. The Agreement and all Exhibits and attachments thereto, each as amended, supplemented or otherwise modified on or prior to the effective date of this Amendment No. 1 and as further amended, supplemented, restated or otherwise </w:t>
            </w:r>
            <w:r w:rsidRPr="003B2579">
              <w:rPr>
                <w:sz w:val="22"/>
                <w:szCs w:val="22"/>
              </w:rPr>
              <w:lastRenderedPageBreak/>
              <w:t>modified hereby or pursuant hereto, shall remain in full force and effect and are hereby ratified and confirmed in all respects.</w:t>
            </w: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left" w:pos="810"/>
              </w:tabs>
              <w:rPr>
                <w:sz w:val="16"/>
                <w:szCs w:val="16"/>
              </w:rPr>
            </w:pPr>
          </w:p>
        </w:tc>
        <w:tc>
          <w:tcPr>
            <w:tcW w:w="2498" w:type="pct"/>
          </w:tcPr>
          <w:p w:rsidR="00F11DCE" w:rsidRPr="003B2579" w:rsidRDefault="00F11DCE" w:rsidP="00C30C15">
            <w:pPr>
              <w:tabs>
                <w:tab w:val="left" w:pos="-1440"/>
                <w:tab w:val="left" w:pos="810"/>
              </w:tabs>
              <w:rPr>
                <w:sz w:val="16"/>
                <w:szCs w:val="16"/>
              </w:rPr>
            </w:pPr>
          </w:p>
        </w:tc>
      </w:tr>
      <w:tr w:rsidR="00F11DCE" w:rsidRPr="003B2579" w:rsidTr="00C30C15">
        <w:tc>
          <w:tcPr>
            <w:tcW w:w="2502" w:type="pct"/>
            <w:tcMar>
              <w:top w:w="100" w:type="dxa"/>
              <w:left w:w="100" w:type="dxa"/>
              <w:bottom w:w="100" w:type="dxa"/>
              <w:right w:w="100" w:type="dxa"/>
            </w:tcMar>
          </w:tcPr>
          <w:p w:rsidR="00F11DCE" w:rsidRPr="003B2579" w:rsidRDefault="00F11DCE" w:rsidP="00C30C15">
            <w:pPr>
              <w:tabs>
                <w:tab w:val="left" w:pos="-1440"/>
                <w:tab w:val="left" w:pos="810"/>
              </w:tabs>
              <w:ind w:left="345" w:hanging="255"/>
              <w:jc w:val="both"/>
              <w:rPr>
                <w:sz w:val="22"/>
                <w:szCs w:val="22"/>
              </w:rPr>
            </w:pPr>
            <w:r w:rsidRPr="003B2579">
              <w:rPr>
                <w:sz w:val="22"/>
                <w:szCs w:val="22"/>
                <w:bdr w:val="nil"/>
                <w:lang w:val="cs-CZ"/>
              </w:rPr>
              <w:t>4. NA DŮKAZ ČEHOŽ smluvní strany uzavřely tento dodatek č. 1 nebo zajistí jeho uzavření prostřednictvím příslušných vedoucích pracovníků, jiných zastupujících vedoucích pracovníků nebo jiných dle tohoto dokumentu řádně zmocněných zástupců, a to k prvnímu z výše uvedených dat.</w:t>
            </w:r>
          </w:p>
        </w:tc>
        <w:tc>
          <w:tcPr>
            <w:tcW w:w="2498" w:type="pct"/>
          </w:tcPr>
          <w:p w:rsidR="00F11DCE" w:rsidRPr="003B2579" w:rsidRDefault="00F11DCE" w:rsidP="00C30C15">
            <w:pPr>
              <w:tabs>
                <w:tab w:val="left" w:pos="-1440"/>
                <w:tab w:val="left" w:pos="810"/>
              </w:tabs>
              <w:ind w:left="345" w:hanging="255"/>
              <w:jc w:val="both"/>
              <w:rPr>
                <w:sz w:val="22"/>
                <w:szCs w:val="22"/>
              </w:rPr>
            </w:pPr>
            <w:r w:rsidRPr="003B2579">
              <w:rPr>
                <w:sz w:val="22"/>
                <w:szCs w:val="22"/>
              </w:rPr>
              <w:t>4. IN WITNESS WHEREOF, the parties hereto have executed or caused this Amendment No. 1 to be executed by their respective officer or other representative officer or other representatives hereunder duly authorised, as of the date first above written.</w:t>
            </w:r>
          </w:p>
        </w:tc>
      </w:tr>
    </w:tbl>
    <w:p w:rsidR="007959C9" w:rsidRDefault="007959C9" w:rsidP="00A94082">
      <w:pPr>
        <w:rPr>
          <w:b/>
          <w:bCs/>
          <w:iCs/>
          <w:sz w:val="20"/>
          <w:szCs w:val="20"/>
          <w:lang w:val="cs-CZ" w:eastAsia="de-DE"/>
        </w:rPr>
      </w:pPr>
    </w:p>
    <w:p w:rsidR="00B16E69" w:rsidRDefault="00B16E69" w:rsidP="00A94082">
      <w:pPr>
        <w:rPr>
          <w:b/>
          <w:bCs/>
          <w:iCs/>
          <w:sz w:val="20"/>
          <w:szCs w:val="20"/>
          <w:lang w:val="cs-CZ" w:eastAsia="de-DE"/>
        </w:rPr>
      </w:pPr>
    </w:p>
    <w:p w:rsidR="00DA1922" w:rsidRDefault="00DA1922">
      <w:pPr>
        <w:rPr>
          <w:b/>
          <w:bCs/>
          <w:iCs/>
          <w:sz w:val="20"/>
          <w:szCs w:val="20"/>
          <w:lang w:val="cs-CZ" w:eastAsia="de-DE"/>
        </w:rPr>
      </w:pPr>
      <w:r>
        <w:rPr>
          <w:b/>
          <w:bCs/>
          <w:iCs/>
          <w:sz w:val="20"/>
          <w:szCs w:val="20"/>
          <w:lang w:val="cs-CZ" w:eastAsia="de-DE"/>
        </w:rPr>
        <w:br w:type="page"/>
      </w:r>
    </w:p>
    <w:p w:rsidR="00B16E69" w:rsidRDefault="00B16E69" w:rsidP="00A94082">
      <w:pPr>
        <w:rPr>
          <w:b/>
          <w:bCs/>
          <w:iCs/>
          <w:sz w:val="20"/>
          <w:szCs w:val="20"/>
          <w:lang w:val="cs-CZ" w:eastAsia="de-DE"/>
        </w:rPr>
      </w:pPr>
    </w:p>
    <w:p w:rsidR="00B16E69" w:rsidRPr="009C1932" w:rsidRDefault="00B16E69" w:rsidP="00A94082">
      <w:pPr>
        <w:rPr>
          <w:b/>
          <w:bCs/>
          <w:iCs/>
          <w:sz w:val="20"/>
          <w:szCs w:val="20"/>
          <w:lang w:val="cs-CZ" w:eastAsia="de-DE"/>
        </w:rPr>
      </w:pPr>
    </w:p>
    <w:p w:rsidR="00A0215D" w:rsidRPr="009C1932" w:rsidRDefault="00A0215D" w:rsidP="00A0215D">
      <w:pPr>
        <w:jc w:val="center"/>
        <w:rPr>
          <w:sz w:val="22"/>
          <w:szCs w:val="22"/>
          <w:lang w:val="cs-CZ" w:eastAsia="de-DE"/>
        </w:rPr>
      </w:pPr>
      <w:r w:rsidRPr="009C1932">
        <w:rPr>
          <w:b/>
          <w:bCs/>
          <w:iCs/>
          <w:sz w:val="22"/>
          <w:szCs w:val="22"/>
          <w:lang w:val="cs-CZ" w:eastAsia="de-DE"/>
        </w:rPr>
        <w:t xml:space="preserve">Bayer AG </w:t>
      </w:r>
    </w:p>
    <w:p w:rsidR="00A0215D" w:rsidRPr="009C1932" w:rsidRDefault="00A0215D" w:rsidP="00A0215D">
      <w:pPr>
        <w:jc w:val="center"/>
        <w:rPr>
          <w:i/>
          <w:sz w:val="22"/>
          <w:szCs w:val="22"/>
          <w:lang w:val="cs-CZ" w:eastAsia="de-DE"/>
        </w:rPr>
      </w:pPr>
      <w:r w:rsidRPr="009C1932">
        <w:rPr>
          <w:sz w:val="22"/>
          <w:szCs w:val="22"/>
          <w:lang w:val="cs-CZ" w:eastAsia="de-DE"/>
        </w:rPr>
        <w:t xml:space="preserve">Zastoupen/Represented by: </w:t>
      </w:r>
      <w:r w:rsidRPr="009C1932">
        <w:rPr>
          <w:b/>
          <w:sz w:val="22"/>
          <w:szCs w:val="22"/>
          <w:lang w:val="cs-CZ" w:eastAsia="de-DE"/>
        </w:rPr>
        <w:t xml:space="preserve">Covance </w:t>
      </w:r>
      <w:r w:rsidR="00D66878" w:rsidRPr="009C1932">
        <w:rPr>
          <w:b/>
          <w:sz w:val="22"/>
          <w:szCs w:val="22"/>
          <w:lang w:val="cs-CZ" w:eastAsia="de-DE"/>
        </w:rPr>
        <w:t>Inc</w:t>
      </w:r>
      <w:r w:rsidR="009C1932" w:rsidRPr="009C1932">
        <w:rPr>
          <w:b/>
          <w:sz w:val="22"/>
          <w:szCs w:val="22"/>
          <w:lang w:val="cs-CZ" w:eastAsia="de-DE"/>
        </w:rPr>
        <w:t>.</w:t>
      </w:r>
    </w:p>
    <w:p w:rsidR="00A0215D" w:rsidRPr="009C1932" w:rsidRDefault="00A0215D" w:rsidP="00A0215D">
      <w:pPr>
        <w:rPr>
          <w:sz w:val="22"/>
          <w:szCs w:val="22"/>
          <w:lang w:val="cs-CZ" w:eastAsia="de-DE"/>
        </w:rPr>
      </w:pPr>
    </w:p>
    <w:p w:rsidR="00A0215D" w:rsidRPr="009C1932" w:rsidRDefault="00A0215D" w:rsidP="00A0215D">
      <w:pPr>
        <w:rPr>
          <w:sz w:val="22"/>
          <w:szCs w:val="22"/>
          <w:lang w:val="cs-CZ" w:eastAsia="de-DE"/>
        </w:rPr>
      </w:pPr>
    </w:p>
    <w:p w:rsidR="00A0215D" w:rsidRPr="009C1932" w:rsidRDefault="00A0215D" w:rsidP="00A0215D">
      <w:pPr>
        <w:jc w:val="center"/>
        <w:rPr>
          <w:sz w:val="22"/>
          <w:szCs w:val="22"/>
          <w:lang w:val="cs-CZ" w:eastAsia="de-DE"/>
        </w:rPr>
      </w:pPr>
      <w:r w:rsidRPr="009C1932">
        <w:rPr>
          <w:sz w:val="22"/>
          <w:szCs w:val="22"/>
          <w:lang w:val="cs-CZ" w:eastAsia="de-DE"/>
        </w:rPr>
        <w:t xml:space="preserve">Place/date - Místo/datum: </w:t>
      </w:r>
      <w:r w:rsidRPr="009C1932">
        <w:rPr>
          <w:sz w:val="22"/>
          <w:szCs w:val="22"/>
          <w:u w:val="single"/>
          <w:lang w:val="cs-CZ" w:eastAsia="de-DE"/>
        </w:rPr>
        <w:t>Praha</w:t>
      </w:r>
      <w:r w:rsidRPr="009C1932">
        <w:rPr>
          <w:sz w:val="22"/>
          <w:szCs w:val="22"/>
          <w:lang w:val="cs-CZ" w:eastAsia="de-DE"/>
        </w:rPr>
        <w:t>__________________________</w:t>
      </w:r>
    </w:p>
    <w:p w:rsidR="00A0215D" w:rsidRPr="003B2579" w:rsidRDefault="00A0215D" w:rsidP="00A0215D">
      <w:pPr>
        <w:jc w:val="center"/>
        <w:rPr>
          <w:sz w:val="22"/>
          <w:szCs w:val="22"/>
          <w:lang w:val="cs-CZ" w:eastAsia="de-DE"/>
        </w:rPr>
      </w:pPr>
    </w:p>
    <w:p w:rsidR="00A0215D" w:rsidRPr="003B2579" w:rsidRDefault="00A0215D" w:rsidP="00A0215D">
      <w:pPr>
        <w:jc w:val="center"/>
        <w:rPr>
          <w:sz w:val="22"/>
          <w:szCs w:val="22"/>
          <w:lang w:val="cs-CZ" w:eastAsia="de-DE"/>
        </w:rPr>
      </w:pPr>
    </w:p>
    <w:p w:rsidR="00A0215D" w:rsidRPr="003B2579" w:rsidRDefault="00A0215D" w:rsidP="00A0215D">
      <w:pPr>
        <w:rPr>
          <w:sz w:val="22"/>
          <w:szCs w:val="22"/>
          <w:lang w:val="cs-CZ" w:eastAsia="de-DE"/>
        </w:rPr>
      </w:pPr>
    </w:p>
    <w:p w:rsidR="00A0215D" w:rsidRPr="003B2579" w:rsidRDefault="00A0215D" w:rsidP="00A0215D">
      <w:pPr>
        <w:rPr>
          <w:sz w:val="22"/>
          <w:szCs w:val="22"/>
          <w:lang w:val="cs-CZ" w:eastAsia="de-DE"/>
        </w:rPr>
      </w:pPr>
    </w:p>
    <w:p w:rsidR="00887475" w:rsidRDefault="00A0215D" w:rsidP="00887475">
      <w:pPr>
        <w:jc w:val="center"/>
        <w:rPr>
          <w:b/>
          <w:bCs/>
          <w:i/>
          <w:sz w:val="22"/>
          <w:szCs w:val="22"/>
          <w:lang w:val="en-GB" w:eastAsia="de-DE"/>
        </w:rPr>
      </w:pPr>
      <w:r w:rsidRPr="003B2579">
        <w:rPr>
          <w:sz w:val="22"/>
          <w:szCs w:val="22"/>
          <w:lang w:val="cs-CZ" w:eastAsia="de-DE"/>
        </w:rPr>
        <w:t>__________________________________________</w:t>
      </w:r>
      <w:r w:rsidRPr="003B2579">
        <w:rPr>
          <w:sz w:val="22"/>
          <w:szCs w:val="22"/>
          <w:lang w:val="cs-CZ" w:eastAsia="de-DE"/>
        </w:rPr>
        <w:br/>
        <w:t xml:space="preserve">Name/Jméno a příjmení: </w:t>
      </w:r>
      <w:r w:rsidRPr="003B2579">
        <w:rPr>
          <w:sz w:val="22"/>
          <w:szCs w:val="22"/>
          <w:lang w:val="cs-CZ" w:eastAsia="de-DE"/>
        </w:rPr>
        <w:br/>
        <w:t xml:space="preserve">Function/Funkce: </w:t>
      </w:r>
      <w:r w:rsidR="00887475">
        <w:rPr>
          <w:iCs/>
          <w:sz w:val="22"/>
          <w:szCs w:val="22"/>
          <w:lang w:val="de-DE" w:eastAsia="de-DE"/>
        </w:rPr>
        <w:t>Country Lead, Czech Republic</w:t>
      </w:r>
    </w:p>
    <w:p w:rsidR="00A0215D" w:rsidRPr="003B2579" w:rsidRDefault="00A0215D" w:rsidP="00A0215D">
      <w:pPr>
        <w:jc w:val="center"/>
        <w:rPr>
          <w:b/>
          <w:bCs/>
          <w:i/>
          <w:sz w:val="22"/>
          <w:szCs w:val="22"/>
          <w:lang w:val="en-GB" w:eastAsia="de-DE"/>
        </w:rPr>
      </w:pPr>
    </w:p>
    <w:p w:rsidR="00A0215D" w:rsidRPr="003B2579" w:rsidRDefault="00A0215D" w:rsidP="00A0215D">
      <w:pPr>
        <w:jc w:val="center"/>
        <w:rPr>
          <w:b/>
          <w:bCs/>
          <w:i/>
          <w:sz w:val="22"/>
          <w:szCs w:val="22"/>
          <w:lang w:val="en-GB" w:eastAsia="de-DE"/>
        </w:rPr>
      </w:pPr>
    </w:p>
    <w:p w:rsidR="00A0215D" w:rsidRPr="003B2579" w:rsidRDefault="00A0215D" w:rsidP="00A0215D">
      <w:pPr>
        <w:jc w:val="center"/>
        <w:rPr>
          <w:sz w:val="22"/>
          <w:szCs w:val="22"/>
          <w:lang w:val="en-GB" w:eastAsia="de-DE"/>
        </w:rPr>
      </w:pPr>
    </w:p>
    <w:p w:rsidR="00A0215D" w:rsidRPr="003B2579" w:rsidRDefault="00A0215D" w:rsidP="00A0215D">
      <w:pPr>
        <w:rPr>
          <w:b/>
          <w:bCs/>
          <w:i/>
          <w:sz w:val="22"/>
          <w:szCs w:val="22"/>
          <w:lang w:val="en-GB" w:eastAsia="de-DE"/>
        </w:rPr>
      </w:pPr>
    </w:p>
    <w:p w:rsidR="00A0215D" w:rsidRDefault="00A0215D" w:rsidP="00A0215D">
      <w:pPr>
        <w:jc w:val="center"/>
        <w:rPr>
          <w:b/>
          <w:bCs/>
          <w:sz w:val="22"/>
          <w:szCs w:val="22"/>
          <w:lang w:val="en-GB" w:eastAsia="de-DE"/>
        </w:rPr>
      </w:pPr>
      <w:r w:rsidRPr="003B2579">
        <w:rPr>
          <w:b/>
          <w:bCs/>
          <w:sz w:val="22"/>
          <w:szCs w:val="22"/>
          <w:lang w:val="en-GB" w:eastAsia="de-DE"/>
        </w:rPr>
        <w:t>Center/název Centra</w:t>
      </w:r>
    </w:p>
    <w:p w:rsidR="00DA1922" w:rsidRPr="00BE039F" w:rsidRDefault="00DA1922" w:rsidP="00DB0B87">
      <w:pPr>
        <w:tabs>
          <w:tab w:val="left" w:pos="0"/>
        </w:tabs>
        <w:jc w:val="center"/>
        <w:rPr>
          <w:lang w:val="cs-CZ"/>
        </w:rPr>
      </w:pPr>
      <w:r w:rsidRPr="00BE039F">
        <w:rPr>
          <w:lang w:val="cs-CZ"/>
        </w:rPr>
        <w:t xml:space="preserve">Oblastní nemocnice Kladno, a. s., </w:t>
      </w:r>
    </w:p>
    <w:p w:rsidR="00DA1922" w:rsidRPr="003B2579" w:rsidRDefault="00DA1922"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p>
    <w:p w:rsidR="00A0215D" w:rsidRPr="003B2579" w:rsidRDefault="00BE039F" w:rsidP="00BE039F">
      <w:pPr>
        <w:rPr>
          <w:sz w:val="22"/>
          <w:szCs w:val="22"/>
          <w:lang w:val="en-GB" w:eastAsia="de-DE"/>
        </w:rPr>
      </w:pPr>
      <w:r>
        <w:rPr>
          <w:sz w:val="22"/>
          <w:szCs w:val="22"/>
          <w:lang w:val="en-GB" w:eastAsia="de-DE"/>
        </w:rPr>
        <w:t xml:space="preserve">                           </w:t>
      </w:r>
      <w:r w:rsidR="00A0215D" w:rsidRPr="003B2579">
        <w:rPr>
          <w:sz w:val="22"/>
          <w:szCs w:val="22"/>
          <w:lang w:val="en-GB" w:eastAsia="de-DE"/>
        </w:rPr>
        <w:t>Place/date - Místo/datum: _________________________</w:t>
      </w:r>
      <w:r>
        <w:rPr>
          <w:sz w:val="22"/>
          <w:szCs w:val="22"/>
          <w:lang w:val="en-GB" w:eastAsia="de-DE"/>
        </w:rPr>
        <w:t>______</w:t>
      </w:r>
    </w:p>
    <w:p w:rsidR="00A0215D" w:rsidRPr="003B2579" w:rsidRDefault="00A0215D" w:rsidP="00A0215D">
      <w:pPr>
        <w:jc w:val="center"/>
        <w:rPr>
          <w:sz w:val="22"/>
          <w:szCs w:val="22"/>
          <w:lang w:val="en-GB" w:eastAsia="de-DE"/>
        </w:rPr>
      </w:pPr>
    </w:p>
    <w:p w:rsidR="00A0215D" w:rsidRPr="003B2579" w:rsidRDefault="00A0215D" w:rsidP="00A0215D">
      <w:pPr>
        <w:jc w:val="center"/>
        <w:rPr>
          <w:sz w:val="22"/>
          <w:szCs w:val="22"/>
          <w:lang w:val="en-GB" w:eastAsia="de-DE"/>
        </w:rPr>
      </w:pPr>
    </w:p>
    <w:p w:rsidR="00A0215D" w:rsidRPr="003B2579" w:rsidRDefault="00A0215D" w:rsidP="00A0215D">
      <w:pPr>
        <w:jc w:val="center"/>
        <w:rPr>
          <w:sz w:val="22"/>
          <w:szCs w:val="22"/>
          <w:lang w:val="en-GB" w:eastAsia="de-DE"/>
        </w:rPr>
      </w:pPr>
    </w:p>
    <w:p w:rsidR="00A0215D" w:rsidRPr="003B2579" w:rsidRDefault="00A0215D" w:rsidP="00A0215D">
      <w:pPr>
        <w:rPr>
          <w:sz w:val="22"/>
          <w:szCs w:val="22"/>
          <w:lang w:val="en-GB" w:eastAsia="de-DE"/>
        </w:rPr>
      </w:pPr>
    </w:p>
    <w:p w:rsidR="00A0215D" w:rsidRPr="00417BA3" w:rsidRDefault="00BE039F" w:rsidP="00BE039F">
      <w:pPr>
        <w:rPr>
          <w:sz w:val="22"/>
          <w:szCs w:val="22"/>
          <w:lang w:val="en-GB" w:eastAsia="de-DE"/>
        </w:rPr>
      </w:pPr>
      <w:r>
        <w:rPr>
          <w:sz w:val="22"/>
          <w:szCs w:val="22"/>
          <w:lang w:val="en-GB" w:eastAsia="de-DE"/>
        </w:rPr>
        <w:t xml:space="preserve">                                </w:t>
      </w:r>
      <w:r w:rsidR="00A0215D" w:rsidRPr="003B2579">
        <w:rPr>
          <w:sz w:val="22"/>
          <w:szCs w:val="22"/>
          <w:lang w:val="en-GB" w:eastAsia="de-DE"/>
        </w:rPr>
        <w:t>________________________________</w:t>
      </w:r>
      <w:r>
        <w:rPr>
          <w:sz w:val="22"/>
          <w:szCs w:val="22"/>
          <w:lang w:val="en-GB" w:eastAsia="de-DE"/>
        </w:rPr>
        <w:t>________________</w:t>
      </w:r>
      <w:r w:rsidR="00A0215D" w:rsidRPr="003B2579">
        <w:rPr>
          <w:sz w:val="22"/>
          <w:szCs w:val="22"/>
          <w:lang w:val="en-GB" w:eastAsia="de-DE"/>
        </w:rPr>
        <w:br/>
      </w:r>
      <w:r>
        <w:rPr>
          <w:sz w:val="22"/>
          <w:szCs w:val="22"/>
          <w:lang w:val="en-GB" w:eastAsia="de-DE"/>
        </w:rPr>
        <w:t xml:space="preserve">                      </w:t>
      </w:r>
      <w:r w:rsidR="00417BA3">
        <w:rPr>
          <w:sz w:val="22"/>
          <w:szCs w:val="22"/>
          <w:lang w:val="en-GB" w:eastAsia="de-DE"/>
        </w:rPr>
        <w:t xml:space="preserve">                  </w:t>
      </w:r>
      <w:r w:rsidR="00A0215D" w:rsidRPr="003B2579">
        <w:rPr>
          <w:sz w:val="22"/>
          <w:szCs w:val="22"/>
          <w:lang w:val="en-GB" w:eastAsia="de-DE"/>
        </w:rPr>
        <w:t>Name/jméno a příjmení:</w:t>
      </w:r>
      <w:r>
        <w:rPr>
          <w:sz w:val="22"/>
          <w:szCs w:val="22"/>
          <w:lang w:val="en-GB" w:eastAsia="de-DE"/>
        </w:rPr>
        <w:t xml:space="preserve">                                          </w:t>
      </w:r>
      <w:r w:rsidR="00417BA3">
        <w:rPr>
          <w:sz w:val="22"/>
          <w:szCs w:val="22"/>
          <w:lang w:val="en-GB" w:eastAsia="de-DE"/>
        </w:rPr>
        <w:t xml:space="preserve">        Function/Funkce: director </w:t>
      </w:r>
      <w:r w:rsidR="00417BA3">
        <w:rPr>
          <w:sz w:val="22"/>
          <w:szCs w:val="22"/>
          <w:lang w:eastAsia="de-DE"/>
        </w:rPr>
        <w:t xml:space="preserve">/ </w:t>
      </w:r>
      <w:r w:rsidR="00417BA3">
        <w:rPr>
          <w:sz w:val="22"/>
          <w:szCs w:val="22"/>
          <w:lang w:val="cs-CZ" w:eastAsia="de-DE"/>
        </w:rPr>
        <w:t>ředitel</w:t>
      </w:r>
    </w:p>
    <w:p w:rsidR="00A0215D" w:rsidRPr="003B2579" w:rsidRDefault="00A0215D"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r w:rsidRPr="003B2579">
        <w:rPr>
          <w:b/>
          <w:bCs/>
          <w:sz w:val="22"/>
          <w:szCs w:val="22"/>
          <w:lang w:val="en-GB" w:eastAsia="de-DE"/>
        </w:rPr>
        <w:t>Principal Investigator/Hlavní zkoušející</w:t>
      </w:r>
    </w:p>
    <w:p w:rsidR="00A0215D" w:rsidRPr="003B2579" w:rsidRDefault="00A0215D" w:rsidP="00A0215D">
      <w:pPr>
        <w:jc w:val="center"/>
        <w:rPr>
          <w:b/>
          <w:bCs/>
          <w:sz w:val="22"/>
          <w:szCs w:val="22"/>
          <w:lang w:val="en-GB" w:eastAsia="de-DE"/>
        </w:rPr>
      </w:pPr>
    </w:p>
    <w:p w:rsidR="00A0215D" w:rsidRPr="003B2579" w:rsidRDefault="00A0215D" w:rsidP="00A0215D">
      <w:pPr>
        <w:jc w:val="center"/>
        <w:rPr>
          <w:b/>
          <w:bCs/>
          <w:sz w:val="22"/>
          <w:szCs w:val="22"/>
          <w:lang w:val="en-GB" w:eastAsia="de-DE"/>
        </w:rPr>
      </w:pPr>
    </w:p>
    <w:p w:rsidR="00A0215D" w:rsidRPr="003B2579" w:rsidRDefault="00417BA3" w:rsidP="00A0215D">
      <w:pPr>
        <w:jc w:val="center"/>
        <w:rPr>
          <w:sz w:val="22"/>
          <w:szCs w:val="22"/>
          <w:lang w:val="en-GB" w:eastAsia="de-DE"/>
        </w:rPr>
      </w:pPr>
      <w:r>
        <w:rPr>
          <w:sz w:val="22"/>
          <w:szCs w:val="22"/>
          <w:lang w:val="en-GB" w:eastAsia="de-DE"/>
        </w:rPr>
        <w:t>Place/date - Místo/datum:</w:t>
      </w:r>
      <w:r w:rsidR="00995760" w:rsidRPr="003B2579">
        <w:rPr>
          <w:sz w:val="22"/>
          <w:szCs w:val="22"/>
          <w:lang w:val="en-GB" w:eastAsia="de-DE"/>
        </w:rPr>
        <w:t xml:space="preserve"> </w:t>
      </w:r>
      <w:r w:rsidR="00A0215D" w:rsidRPr="003B2579">
        <w:rPr>
          <w:sz w:val="22"/>
          <w:szCs w:val="22"/>
          <w:lang w:val="en-GB" w:eastAsia="de-DE"/>
        </w:rPr>
        <w:t>_______________________</w:t>
      </w:r>
      <w:r w:rsidR="009C1932">
        <w:rPr>
          <w:sz w:val="22"/>
          <w:szCs w:val="22"/>
          <w:lang w:val="en-GB" w:eastAsia="de-DE"/>
        </w:rPr>
        <w:t>_</w:t>
      </w:r>
    </w:p>
    <w:p w:rsidR="00A0215D" w:rsidRPr="003B2579" w:rsidRDefault="00A0215D" w:rsidP="00A0215D">
      <w:pPr>
        <w:jc w:val="center"/>
        <w:rPr>
          <w:sz w:val="22"/>
          <w:szCs w:val="22"/>
          <w:lang w:val="en-GB" w:eastAsia="de-DE"/>
        </w:rPr>
      </w:pPr>
    </w:p>
    <w:p w:rsidR="00A0215D" w:rsidRPr="003B2579" w:rsidRDefault="00A0215D" w:rsidP="00A0215D">
      <w:pPr>
        <w:jc w:val="center"/>
        <w:rPr>
          <w:sz w:val="22"/>
          <w:szCs w:val="22"/>
          <w:lang w:val="en-GB" w:eastAsia="de-DE"/>
        </w:rPr>
      </w:pPr>
    </w:p>
    <w:p w:rsidR="00A0215D" w:rsidRPr="003B2579" w:rsidRDefault="00A0215D" w:rsidP="00A0215D">
      <w:pPr>
        <w:rPr>
          <w:sz w:val="22"/>
          <w:szCs w:val="22"/>
          <w:lang w:val="en-GB" w:eastAsia="de-DE"/>
        </w:rPr>
      </w:pPr>
    </w:p>
    <w:p w:rsidR="00A0215D" w:rsidRPr="003B2579" w:rsidRDefault="00A0215D" w:rsidP="00A0215D">
      <w:pPr>
        <w:rPr>
          <w:sz w:val="22"/>
          <w:szCs w:val="22"/>
          <w:lang w:val="en-GB" w:eastAsia="de-DE"/>
        </w:rPr>
      </w:pPr>
    </w:p>
    <w:p w:rsidR="00A0215D" w:rsidRPr="003B2579" w:rsidRDefault="00A0215D" w:rsidP="00A0215D">
      <w:pPr>
        <w:jc w:val="center"/>
        <w:rPr>
          <w:sz w:val="22"/>
          <w:szCs w:val="22"/>
          <w:lang w:val="en-GB" w:eastAsia="de-DE"/>
        </w:rPr>
      </w:pPr>
      <w:r w:rsidRPr="003B2579">
        <w:rPr>
          <w:sz w:val="22"/>
          <w:szCs w:val="22"/>
          <w:lang w:val="en-GB" w:eastAsia="de-DE"/>
        </w:rPr>
        <w:t>____________________________________</w:t>
      </w:r>
      <w:r w:rsidR="00BE039F">
        <w:rPr>
          <w:sz w:val="22"/>
          <w:szCs w:val="22"/>
          <w:lang w:val="en-GB" w:eastAsia="de-DE"/>
        </w:rPr>
        <w:t>________</w:t>
      </w:r>
    </w:p>
    <w:p w:rsidR="009C1932" w:rsidRPr="009C1932" w:rsidRDefault="009C1932" w:rsidP="009C1932">
      <w:pPr>
        <w:rPr>
          <w:rFonts w:eastAsia="Arial Unicode MS"/>
          <w:noProof/>
          <w:color w:val="000000"/>
          <w:sz w:val="22"/>
          <w:szCs w:val="22"/>
          <w:lang w:val="en-GB"/>
        </w:rPr>
      </w:pPr>
      <w:r>
        <w:rPr>
          <w:rFonts w:eastAsia="Arial Unicode MS"/>
          <w:noProof/>
          <w:color w:val="000000"/>
          <w:sz w:val="22"/>
          <w:szCs w:val="22"/>
        </w:rPr>
        <w:t xml:space="preserve">                                          </w:t>
      </w:r>
      <w:r w:rsidRPr="009C1932">
        <w:rPr>
          <w:rFonts w:eastAsia="Arial Unicode MS"/>
          <w:noProof/>
          <w:color w:val="000000"/>
          <w:sz w:val="22"/>
          <w:szCs w:val="22"/>
          <w:lang w:val="en-GB"/>
        </w:rPr>
        <w:t xml:space="preserve">Name/jméno a příjmení: </w:t>
      </w:r>
    </w:p>
    <w:p w:rsidR="00A77B3E" w:rsidRPr="003B2579" w:rsidRDefault="000962DC" w:rsidP="00A0215D">
      <w:pPr>
        <w:rPr>
          <w:rFonts w:eastAsia="Arial Unicode MS"/>
          <w:noProof/>
          <w:color w:val="000000"/>
          <w:sz w:val="22"/>
          <w:szCs w:val="22"/>
        </w:rPr>
      </w:pPr>
    </w:p>
    <w:sectPr w:rsidR="00A77B3E" w:rsidRPr="003B2579" w:rsidSect="007959C9">
      <w:headerReference w:type="default" r:id="rId8"/>
      <w:footerReference w:type="even" r:id="rId9"/>
      <w:footerReference w:type="default" r:id="rId10"/>
      <w:headerReference w:type="first" r:id="rId11"/>
      <w:footerReference w:type="first" r:id="rId12"/>
      <w:pgSz w:w="12240" w:h="15840" w:code="1"/>
      <w:pgMar w:top="1260" w:right="2160" w:bottom="1418" w:left="1366" w:header="450"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07" w:rsidRDefault="00F23A07" w:rsidP="00F449A6">
      <w:r>
        <w:separator/>
      </w:r>
    </w:p>
  </w:endnote>
  <w:endnote w:type="continuationSeparator" w:id="0">
    <w:p w:rsidR="00F23A07" w:rsidRDefault="00F23A07" w:rsidP="00F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92" w:rsidRDefault="00EA7AF0">
    <w:pPr>
      <w:pStyle w:val="Footer"/>
      <w:framePr w:wrap="around" w:vAnchor="text" w:hAnchor="margin" w:y="1"/>
      <w:rPr>
        <w:rStyle w:val="PageNumber"/>
      </w:rPr>
    </w:pPr>
    <w:r>
      <w:rPr>
        <w:rStyle w:val="PageNumber"/>
      </w:rPr>
      <w:fldChar w:fldCharType="begin"/>
    </w:r>
    <w:r w:rsidR="00EF76E5">
      <w:rPr>
        <w:rStyle w:val="PageNumber"/>
      </w:rPr>
      <w:instrText xml:space="preserve">PAGE  </w:instrText>
    </w:r>
    <w:r>
      <w:rPr>
        <w:rStyle w:val="PageNumber"/>
      </w:rPr>
      <w:fldChar w:fldCharType="end"/>
    </w:r>
  </w:p>
  <w:p w:rsidR="00236392" w:rsidRDefault="000962D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C1" w:rsidRPr="00C93025" w:rsidRDefault="00EF76E5" w:rsidP="00347303">
    <w:pPr>
      <w:pStyle w:val="Footer"/>
      <w:tabs>
        <w:tab w:val="clear" w:pos="8640"/>
        <w:tab w:val="right" w:pos="10348"/>
      </w:tabs>
      <w:rPr>
        <w:rStyle w:val="PageNumber"/>
        <w:sz w:val="16"/>
        <w:szCs w:val="16"/>
      </w:rPr>
    </w:pPr>
    <w:r w:rsidRPr="00BA5E47">
      <w:rPr>
        <w:rStyle w:val="PageNumber"/>
        <w:sz w:val="16"/>
        <w:szCs w:val="16"/>
      </w:rPr>
      <w:t>Investigator Name:</w:t>
    </w:r>
    <w:r w:rsidRPr="00C93025">
      <w:rPr>
        <w:rStyle w:val="PageNumber"/>
        <w:sz w:val="16"/>
        <w:szCs w:val="16"/>
      </w:rPr>
      <w:tab/>
    </w:r>
    <w:r w:rsidR="00EA7AF0" w:rsidRPr="00C93025">
      <w:rPr>
        <w:rStyle w:val="PageNumber"/>
        <w:sz w:val="16"/>
        <w:szCs w:val="16"/>
      </w:rPr>
      <w:fldChar w:fldCharType="begin"/>
    </w:r>
    <w:r w:rsidRPr="00C93025">
      <w:rPr>
        <w:rStyle w:val="PageNumber"/>
        <w:sz w:val="16"/>
        <w:szCs w:val="16"/>
      </w:rPr>
      <w:instrText xml:space="preserve"> PAGE </w:instrText>
    </w:r>
    <w:r w:rsidR="00EA7AF0" w:rsidRPr="00C93025">
      <w:rPr>
        <w:rStyle w:val="PageNumber"/>
        <w:sz w:val="16"/>
        <w:szCs w:val="16"/>
      </w:rPr>
      <w:fldChar w:fldCharType="separate"/>
    </w:r>
    <w:r w:rsidR="000962DC">
      <w:rPr>
        <w:rStyle w:val="PageNumber"/>
        <w:noProof/>
        <w:sz w:val="16"/>
        <w:szCs w:val="16"/>
      </w:rPr>
      <w:t>1</w:t>
    </w:r>
    <w:r w:rsidR="00EA7AF0" w:rsidRPr="00C93025">
      <w:rPr>
        <w:rStyle w:val="PageNumber"/>
        <w:sz w:val="16"/>
        <w:szCs w:val="16"/>
      </w:rPr>
      <w:fldChar w:fldCharType="end"/>
    </w:r>
    <w:r w:rsidRPr="00C93025">
      <w:rPr>
        <w:rStyle w:val="PageNumber"/>
        <w:sz w:val="16"/>
        <w:szCs w:val="16"/>
      </w:rPr>
      <w:tab/>
    </w:r>
  </w:p>
  <w:p w:rsidR="00D94BC1" w:rsidRPr="00C93025" w:rsidRDefault="00EF76E5" w:rsidP="00D94BC1">
    <w:pPr>
      <w:pStyle w:val="Footer"/>
      <w:rPr>
        <w:sz w:val="16"/>
        <w:szCs w:val="16"/>
      </w:rPr>
    </w:pPr>
    <w:r w:rsidRPr="00C93025">
      <w:rPr>
        <w:sz w:val="16"/>
        <w:szCs w:val="16"/>
      </w:rPr>
      <w:t xml:space="preserve">Amendment No. </w:t>
    </w:r>
    <w:r w:rsidR="00BA5E47">
      <w:rPr>
        <w:sz w:val="16"/>
        <w:szCs w:val="16"/>
      </w:rPr>
      <w:t>1</w:t>
    </w:r>
  </w:p>
  <w:p w:rsidR="00236392" w:rsidRPr="00C93025" w:rsidRDefault="00EF76E5" w:rsidP="00D94BC1">
    <w:pPr>
      <w:pStyle w:val="Footer"/>
      <w:rPr>
        <w:sz w:val="16"/>
        <w:szCs w:val="16"/>
      </w:rPr>
    </w:pPr>
    <w:r w:rsidRPr="00BA5E47">
      <w:rPr>
        <w:sz w:val="16"/>
        <w:szCs w:val="16"/>
      </w:rPr>
      <w:t>Billcode</w:t>
    </w:r>
    <w:r w:rsidR="00BA5E47" w:rsidRPr="00BA5E47">
      <w:rPr>
        <w:sz w:val="16"/>
        <w:szCs w:val="16"/>
      </w:rPr>
      <w:t>:</w:t>
    </w:r>
    <w:r w:rsidR="00BA5E47">
      <w:rPr>
        <w:sz w:val="16"/>
        <w:szCs w:val="16"/>
      </w:rPr>
      <w:t xml:space="preserve"> 8308542</w:t>
    </w:r>
    <w:r w:rsidRPr="00C93025">
      <w:rPr>
        <w:sz w:val="16"/>
        <w:szCs w:val="16"/>
      </w:rPr>
      <w:t xml:space="preserve"> </w:t>
    </w:r>
  </w:p>
  <w:p w:rsidR="007176AF" w:rsidRDefault="00EF76E5" w:rsidP="00D94BC1">
    <w:pPr>
      <w:pStyle w:val="Footer"/>
      <w:rPr>
        <w:sz w:val="16"/>
        <w:szCs w:val="16"/>
      </w:rPr>
    </w:pPr>
    <w:r w:rsidRPr="00C93025">
      <w:rPr>
        <w:sz w:val="16"/>
        <w:szCs w:val="16"/>
      </w:rPr>
      <w:t>Version date: 08-02-2016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32" w:rsidRDefault="00EF76E5">
    <w:pPr>
      <w:pStyle w:val="Footer"/>
      <w:rPr>
        <w:sz w:val="16"/>
        <w:szCs w:val="16"/>
        <w:lang w:val="en-GB"/>
      </w:rPr>
    </w:pPr>
    <w:r>
      <w:rPr>
        <w:sz w:val="16"/>
        <w:szCs w:val="16"/>
        <w:bdr w:val="nil"/>
        <w:lang w:val="cs-CZ"/>
      </w:rPr>
      <w:t>[uveďte název zadavatele]</w:t>
    </w:r>
  </w:p>
  <w:p w:rsidR="00D40F32" w:rsidRPr="00D40F32" w:rsidRDefault="00EF76E5">
    <w:pPr>
      <w:pStyle w:val="Footer"/>
      <w:rPr>
        <w:sz w:val="16"/>
        <w:szCs w:val="16"/>
        <w:lang w:val="en-GB"/>
      </w:rPr>
    </w:pPr>
    <w:r>
      <w:rPr>
        <w:sz w:val="16"/>
        <w:szCs w:val="16"/>
        <w:bdr w:val="nil"/>
        <w:lang w:val="cs-CZ"/>
      </w:rPr>
      <w:t>Jméno zkoušejícího:</w:t>
    </w:r>
  </w:p>
  <w:p w:rsidR="00D40F32" w:rsidRPr="00D40F32" w:rsidRDefault="00EF76E5">
    <w:pPr>
      <w:pStyle w:val="Footer"/>
      <w:rPr>
        <w:lang w:val="en-GB"/>
      </w:rPr>
    </w:pPr>
    <w:r>
      <w:rPr>
        <w:sz w:val="16"/>
        <w:szCs w:val="16"/>
        <w:bdr w:val="nil"/>
        <w:lang w:val="cs-CZ"/>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07" w:rsidRDefault="00F23A07" w:rsidP="00F449A6">
      <w:r>
        <w:separator/>
      </w:r>
    </w:p>
  </w:footnote>
  <w:footnote w:type="continuationSeparator" w:id="0">
    <w:p w:rsidR="00F23A07" w:rsidRDefault="00F23A07" w:rsidP="00F4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8" w:type="dxa"/>
      <w:tblLook w:val="04A0" w:firstRow="1" w:lastRow="0" w:firstColumn="1" w:lastColumn="0" w:noHBand="0" w:noVBand="1"/>
    </w:tblPr>
    <w:tblGrid>
      <w:gridCol w:w="4850"/>
      <w:gridCol w:w="4528"/>
    </w:tblGrid>
    <w:tr w:rsidR="006F214D" w:rsidTr="005D7FB7">
      <w:tc>
        <w:tcPr>
          <w:tcW w:w="4850" w:type="dxa"/>
        </w:tcPr>
        <w:p w:rsidR="006F214D" w:rsidRPr="0001458A" w:rsidRDefault="006F214D" w:rsidP="0001458A">
          <w:pPr>
            <w:pStyle w:val="Header1"/>
            <w:widowControl/>
            <w:rPr>
              <w:lang w:val="en-GB"/>
            </w:rPr>
          </w:pPr>
          <w:r>
            <w:rPr>
              <w:i/>
              <w:iCs/>
              <w:sz w:val="16"/>
              <w:szCs w:val="16"/>
              <w:bdr w:val="nil"/>
              <w:lang w:val="cs-CZ"/>
            </w:rPr>
            <w:t>Dodatek k TROJSTRANNÉ SMLOUVĚ O KLINICKÉM HODNOCENÍ</w:t>
          </w:r>
        </w:p>
      </w:tc>
      <w:tc>
        <w:tcPr>
          <w:tcW w:w="4528" w:type="dxa"/>
        </w:tcPr>
        <w:p w:rsidR="006F214D" w:rsidRPr="0001458A" w:rsidRDefault="006F214D" w:rsidP="00613274">
          <w:pPr>
            <w:pStyle w:val="Header1"/>
            <w:widowControl/>
            <w:rPr>
              <w:lang w:val="en-GB"/>
            </w:rPr>
          </w:pPr>
          <w:r>
            <w:rPr>
              <w:i/>
              <w:iCs/>
              <w:sz w:val="16"/>
              <w:szCs w:val="16"/>
            </w:rPr>
            <w:t xml:space="preserve">Amendment to </w:t>
          </w:r>
          <w:r w:rsidRPr="00C4711C">
            <w:rPr>
              <w:i/>
              <w:iCs/>
              <w:sz w:val="16"/>
              <w:szCs w:val="16"/>
              <w:lang w:val="en-GB"/>
            </w:rPr>
            <w:t>TRIPARTITE CLINICAL TRIAL AGREEMENT</w:t>
          </w:r>
        </w:p>
      </w:tc>
    </w:tr>
    <w:tr w:rsidR="006F214D" w:rsidTr="005D7FB7">
      <w:tc>
        <w:tcPr>
          <w:tcW w:w="4850" w:type="dxa"/>
        </w:tcPr>
        <w:p w:rsidR="006F214D" w:rsidRPr="0001458A" w:rsidRDefault="006F214D" w:rsidP="00763E14">
          <w:pPr>
            <w:pStyle w:val="Header1"/>
            <w:widowControl/>
            <w:rPr>
              <w:lang w:val="en-GB"/>
            </w:rPr>
          </w:pPr>
          <w:r>
            <w:rPr>
              <w:i/>
              <w:iCs/>
              <w:sz w:val="16"/>
              <w:szCs w:val="16"/>
              <w:bdr w:val="nil"/>
              <w:lang w:val="cs-CZ"/>
            </w:rPr>
            <w:t>Číslo protokolu:</w:t>
          </w:r>
        </w:p>
      </w:tc>
      <w:tc>
        <w:tcPr>
          <w:tcW w:w="4528" w:type="dxa"/>
        </w:tcPr>
        <w:p w:rsidR="006F214D" w:rsidRPr="00C93025" w:rsidRDefault="006F214D" w:rsidP="00763E14">
          <w:pPr>
            <w:pStyle w:val="Header1"/>
            <w:widowControl/>
            <w:rPr>
              <w:i/>
              <w:iCs/>
              <w:sz w:val="16"/>
              <w:szCs w:val="16"/>
            </w:rPr>
          </w:pPr>
          <w:r>
            <w:rPr>
              <w:i/>
              <w:iCs/>
              <w:sz w:val="16"/>
              <w:szCs w:val="16"/>
            </w:rPr>
            <w:t>Protocol Number:</w:t>
          </w:r>
          <w:r w:rsidRPr="00C4711C">
            <w:rPr>
              <w:b/>
              <w:sz w:val="22"/>
              <w:szCs w:val="22"/>
              <w:lang w:val="en-GB" w:eastAsia="en-US"/>
            </w:rPr>
            <w:t xml:space="preserve"> </w:t>
          </w:r>
        </w:p>
      </w:tc>
    </w:tr>
    <w:tr w:rsidR="006F214D" w:rsidTr="005D7FB7">
      <w:tc>
        <w:tcPr>
          <w:tcW w:w="4850" w:type="dxa"/>
        </w:tcPr>
        <w:p w:rsidR="006F214D" w:rsidRPr="0001458A" w:rsidRDefault="006F214D" w:rsidP="0001458A">
          <w:pPr>
            <w:pStyle w:val="Header"/>
            <w:rPr>
              <w:lang w:val="en-GB"/>
            </w:rPr>
          </w:pPr>
          <w:r w:rsidRPr="00820A3B">
            <w:rPr>
              <w:i/>
              <w:iCs/>
              <w:sz w:val="16"/>
              <w:szCs w:val="16"/>
              <w:bdr w:val="nil"/>
              <w:lang w:val="cs-CZ"/>
            </w:rPr>
            <w:t>Kód dokumentu společnosti Covance</w:t>
          </w:r>
          <w:r w:rsidR="00820A3B" w:rsidRPr="00820A3B">
            <w:rPr>
              <w:i/>
              <w:iCs/>
              <w:sz w:val="16"/>
              <w:szCs w:val="16"/>
              <w:bdr w:val="nil"/>
              <w:lang w:val="cs-CZ"/>
            </w:rPr>
            <w:t>:</w:t>
          </w:r>
          <w:r w:rsidR="00820A3B">
            <w:rPr>
              <w:i/>
              <w:iCs/>
              <w:sz w:val="16"/>
              <w:szCs w:val="16"/>
              <w:bdr w:val="nil"/>
              <w:lang w:val="cs-CZ"/>
            </w:rPr>
            <w:t xml:space="preserve"> </w:t>
          </w:r>
          <w:r w:rsidR="00820A3B" w:rsidRPr="00820A3B">
            <w:rPr>
              <w:i/>
              <w:iCs/>
              <w:sz w:val="16"/>
              <w:szCs w:val="16"/>
              <w:bdr w:val="nil"/>
              <w:lang w:val="cs-CZ"/>
            </w:rPr>
            <w:t>8308542</w:t>
          </w:r>
        </w:p>
      </w:tc>
      <w:tc>
        <w:tcPr>
          <w:tcW w:w="4528" w:type="dxa"/>
        </w:tcPr>
        <w:p w:rsidR="006F214D" w:rsidRPr="0001458A" w:rsidRDefault="006F214D" w:rsidP="00613274">
          <w:pPr>
            <w:pStyle w:val="Header"/>
            <w:rPr>
              <w:lang w:val="en-GB"/>
            </w:rPr>
          </w:pPr>
          <w:r w:rsidRPr="00820A3B">
            <w:rPr>
              <w:i/>
              <w:iCs/>
              <w:sz w:val="16"/>
              <w:szCs w:val="16"/>
            </w:rPr>
            <w:t>Covance Bill Code</w:t>
          </w:r>
          <w:r w:rsidR="00820A3B" w:rsidRPr="00C435FA">
            <w:rPr>
              <w:i/>
              <w:iCs/>
              <w:sz w:val="16"/>
              <w:szCs w:val="16"/>
            </w:rPr>
            <w:t>: 8308542</w:t>
          </w:r>
        </w:p>
      </w:tc>
    </w:tr>
  </w:tbl>
  <w:p w:rsidR="00D52F8D" w:rsidRPr="00D40F32" w:rsidRDefault="000962DC" w:rsidP="00D40F32">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32" w:rsidRDefault="00EF76E5" w:rsidP="00D40F32">
    <w:pPr>
      <w:pStyle w:val="Header1"/>
      <w:widowControl/>
      <w:rPr>
        <w:i/>
        <w:iCs/>
        <w:sz w:val="16"/>
        <w:szCs w:val="16"/>
      </w:rPr>
    </w:pPr>
    <w:r>
      <w:rPr>
        <w:i/>
        <w:iCs/>
        <w:sz w:val="16"/>
        <w:szCs w:val="16"/>
        <w:bdr w:val="nil"/>
        <w:lang w:val="cs-CZ"/>
      </w:rPr>
      <w:t>Dodatek k </w:t>
    </w:r>
    <w:r>
      <w:rPr>
        <w:i/>
        <w:iCs/>
        <w:sz w:val="16"/>
        <w:szCs w:val="16"/>
        <w:highlight w:val="yellow"/>
        <w:bdr w:val="nil"/>
        <w:lang w:val="cs-CZ"/>
      </w:rPr>
      <w:t>[uveďte název smlouvy]</w:t>
    </w:r>
  </w:p>
  <w:p w:rsidR="00D40F32" w:rsidRDefault="00EF76E5" w:rsidP="00D40F32">
    <w:pPr>
      <w:pStyle w:val="Header1"/>
      <w:widowControl/>
      <w:rPr>
        <w:i/>
        <w:iCs/>
        <w:sz w:val="16"/>
        <w:szCs w:val="16"/>
      </w:rPr>
    </w:pPr>
    <w:r>
      <w:rPr>
        <w:i/>
        <w:iCs/>
        <w:sz w:val="16"/>
        <w:szCs w:val="16"/>
        <w:bdr w:val="nil"/>
        <w:lang w:val="cs-CZ"/>
      </w:rPr>
      <w:t>Číslo protokolu:</w:t>
    </w:r>
    <w:r>
      <w:rPr>
        <w:i/>
        <w:iCs/>
        <w:sz w:val="16"/>
        <w:szCs w:val="16"/>
        <w:bdr w:val="nil"/>
        <w:lang w:val="cs-CZ"/>
      </w:rPr>
      <w:tab/>
    </w:r>
  </w:p>
  <w:p w:rsidR="00236392" w:rsidRDefault="00EF76E5" w:rsidP="00D40F32">
    <w:pPr>
      <w:pStyle w:val="Header"/>
    </w:pPr>
    <w:r>
      <w:rPr>
        <w:i/>
        <w:iCs/>
        <w:sz w:val="16"/>
        <w:szCs w:val="16"/>
        <w:bdr w:val="nil"/>
        <w:lang w:val="cs-CZ"/>
      </w:rPr>
      <w:t>Kód dokumentu:</w:t>
    </w:r>
    <w:r>
      <w:rPr>
        <w:bdr w:val="nil"/>
        <w:lang w:val="cs-CZ"/>
      </w:rPr>
      <w:tab/>
    </w:r>
    <w:r>
      <w:rPr>
        <w:bdr w:val="nil"/>
        <w:lang w:val="cs-CZ"/>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6"/>
    <w:rsid w:val="000277A1"/>
    <w:rsid w:val="00075CB8"/>
    <w:rsid w:val="000962DC"/>
    <w:rsid w:val="000E665B"/>
    <w:rsid w:val="00170281"/>
    <w:rsid w:val="001D6F4D"/>
    <w:rsid w:val="001E28F3"/>
    <w:rsid w:val="001F48B5"/>
    <w:rsid w:val="00282538"/>
    <w:rsid w:val="002B7193"/>
    <w:rsid w:val="002C04DE"/>
    <w:rsid w:val="002E383E"/>
    <w:rsid w:val="003B2579"/>
    <w:rsid w:val="00402A1D"/>
    <w:rsid w:val="00416663"/>
    <w:rsid w:val="00417BA3"/>
    <w:rsid w:val="00432646"/>
    <w:rsid w:val="004345B8"/>
    <w:rsid w:val="004453D4"/>
    <w:rsid w:val="00471201"/>
    <w:rsid w:val="004716AB"/>
    <w:rsid w:val="00481331"/>
    <w:rsid w:val="004822EE"/>
    <w:rsid w:val="004C6740"/>
    <w:rsid w:val="005457B8"/>
    <w:rsid w:val="00586526"/>
    <w:rsid w:val="005C72AF"/>
    <w:rsid w:val="005D7FB7"/>
    <w:rsid w:val="00606521"/>
    <w:rsid w:val="00650028"/>
    <w:rsid w:val="006F214D"/>
    <w:rsid w:val="00700D8A"/>
    <w:rsid w:val="007157FF"/>
    <w:rsid w:val="00757B69"/>
    <w:rsid w:val="00763E14"/>
    <w:rsid w:val="00773F0C"/>
    <w:rsid w:val="007959C9"/>
    <w:rsid w:val="007D3213"/>
    <w:rsid w:val="007F2A09"/>
    <w:rsid w:val="008206D2"/>
    <w:rsid w:val="00820A3B"/>
    <w:rsid w:val="00823223"/>
    <w:rsid w:val="00850E5F"/>
    <w:rsid w:val="00885191"/>
    <w:rsid w:val="00887475"/>
    <w:rsid w:val="00963254"/>
    <w:rsid w:val="00995760"/>
    <w:rsid w:val="009B21AE"/>
    <w:rsid w:val="009B3CA6"/>
    <w:rsid w:val="009C1932"/>
    <w:rsid w:val="009C5930"/>
    <w:rsid w:val="00A0215D"/>
    <w:rsid w:val="00A16BC3"/>
    <w:rsid w:val="00A53302"/>
    <w:rsid w:val="00A544B9"/>
    <w:rsid w:val="00A94082"/>
    <w:rsid w:val="00AE69CC"/>
    <w:rsid w:val="00B03033"/>
    <w:rsid w:val="00B067D4"/>
    <w:rsid w:val="00B16E69"/>
    <w:rsid w:val="00B23757"/>
    <w:rsid w:val="00BA5E47"/>
    <w:rsid w:val="00BA6DAA"/>
    <w:rsid w:val="00BA7C72"/>
    <w:rsid w:val="00BE039F"/>
    <w:rsid w:val="00C22560"/>
    <w:rsid w:val="00C435FA"/>
    <w:rsid w:val="00C7159B"/>
    <w:rsid w:val="00C93025"/>
    <w:rsid w:val="00CB538C"/>
    <w:rsid w:val="00CC0A68"/>
    <w:rsid w:val="00CF2871"/>
    <w:rsid w:val="00D562EE"/>
    <w:rsid w:val="00D66878"/>
    <w:rsid w:val="00D85272"/>
    <w:rsid w:val="00DA1922"/>
    <w:rsid w:val="00DB0B87"/>
    <w:rsid w:val="00DD20FF"/>
    <w:rsid w:val="00E5222E"/>
    <w:rsid w:val="00E90BA1"/>
    <w:rsid w:val="00EA7AF0"/>
    <w:rsid w:val="00EC5B08"/>
    <w:rsid w:val="00ED7C35"/>
    <w:rsid w:val="00EF76E5"/>
    <w:rsid w:val="00F11DCE"/>
    <w:rsid w:val="00F23A07"/>
    <w:rsid w:val="00F31123"/>
    <w:rsid w:val="00F31555"/>
    <w:rsid w:val="00F449A6"/>
    <w:rsid w:val="00FD0B6E"/>
    <w:rsid w:val="00FD65C1"/>
    <w:rsid w:val="00FF18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F60"/>
    <w:rPr>
      <w:sz w:val="24"/>
      <w:szCs w:val="24"/>
    </w:rPr>
  </w:style>
  <w:style w:type="paragraph" w:styleId="Heading1">
    <w:name w:val="heading 1"/>
    <w:basedOn w:val="Normal"/>
    <w:next w:val="Normal"/>
    <w:qFormat/>
    <w:rsid w:val="009D3F60"/>
    <w:pPr>
      <w:keepNext/>
      <w:tabs>
        <w:tab w:val="center" w:pos="4512"/>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F60"/>
    <w:pPr>
      <w:tabs>
        <w:tab w:val="center" w:pos="4320"/>
        <w:tab w:val="right" w:pos="8640"/>
      </w:tabs>
    </w:pPr>
  </w:style>
  <w:style w:type="character" w:styleId="PageNumber">
    <w:name w:val="page number"/>
    <w:basedOn w:val="DefaultParagraphFont"/>
    <w:rsid w:val="009D3F60"/>
  </w:style>
  <w:style w:type="paragraph" w:styleId="Footer">
    <w:name w:val="footer"/>
    <w:basedOn w:val="Normal"/>
    <w:rsid w:val="009D3F60"/>
    <w:pPr>
      <w:tabs>
        <w:tab w:val="center" w:pos="4320"/>
        <w:tab w:val="right" w:pos="8640"/>
      </w:tabs>
    </w:pPr>
  </w:style>
  <w:style w:type="paragraph" w:customStyle="1" w:styleId="Header1">
    <w:name w:val="Header1"/>
    <w:basedOn w:val="Normal"/>
    <w:rsid w:val="00D40F32"/>
    <w:pPr>
      <w:widowControl w:val="0"/>
      <w:tabs>
        <w:tab w:val="center" w:pos="4320"/>
        <w:tab w:val="right" w:pos="8640"/>
      </w:tabs>
      <w:autoSpaceDE w:val="0"/>
      <w:autoSpaceDN w:val="0"/>
      <w:adjustRightInd w:val="0"/>
    </w:pPr>
    <w:rPr>
      <w:sz w:val="20"/>
      <w:lang w:eastAsia="es-ES"/>
    </w:rPr>
  </w:style>
  <w:style w:type="character" w:styleId="CommentReference">
    <w:name w:val="annotation reference"/>
    <w:basedOn w:val="DefaultParagraphFont"/>
    <w:rsid w:val="005D7FB7"/>
    <w:rPr>
      <w:sz w:val="16"/>
      <w:szCs w:val="16"/>
    </w:rPr>
  </w:style>
  <w:style w:type="paragraph" w:styleId="CommentText">
    <w:name w:val="annotation text"/>
    <w:basedOn w:val="Normal"/>
    <w:link w:val="CommentTextChar"/>
    <w:rsid w:val="005D7FB7"/>
    <w:rPr>
      <w:sz w:val="20"/>
      <w:szCs w:val="20"/>
    </w:rPr>
  </w:style>
  <w:style w:type="character" w:customStyle="1" w:styleId="CommentTextChar">
    <w:name w:val="Comment Text Char"/>
    <w:basedOn w:val="DefaultParagraphFont"/>
    <w:link w:val="CommentText"/>
    <w:rsid w:val="005D7FB7"/>
  </w:style>
  <w:style w:type="paragraph" w:styleId="CommentSubject">
    <w:name w:val="annotation subject"/>
    <w:basedOn w:val="CommentText"/>
    <w:next w:val="CommentText"/>
    <w:link w:val="CommentSubjectChar"/>
    <w:rsid w:val="005D7FB7"/>
    <w:rPr>
      <w:b/>
      <w:bCs/>
    </w:rPr>
  </w:style>
  <w:style w:type="character" w:customStyle="1" w:styleId="CommentSubjectChar">
    <w:name w:val="Comment Subject Char"/>
    <w:basedOn w:val="CommentTextChar"/>
    <w:link w:val="CommentSubject"/>
    <w:rsid w:val="005D7FB7"/>
    <w:rPr>
      <w:b/>
      <w:bCs/>
    </w:rPr>
  </w:style>
  <w:style w:type="paragraph" w:styleId="BalloonText">
    <w:name w:val="Balloon Text"/>
    <w:basedOn w:val="Normal"/>
    <w:link w:val="BalloonTextChar"/>
    <w:rsid w:val="005D7FB7"/>
    <w:rPr>
      <w:rFonts w:ascii="Tahoma" w:hAnsi="Tahoma" w:cs="Tahoma"/>
      <w:sz w:val="16"/>
      <w:szCs w:val="16"/>
    </w:rPr>
  </w:style>
  <w:style w:type="character" w:customStyle="1" w:styleId="BalloonTextChar">
    <w:name w:val="Balloon Text Char"/>
    <w:basedOn w:val="DefaultParagraphFont"/>
    <w:link w:val="BalloonText"/>
    <w:rsid w:val="005D7FB7"/>
    <w:rPr>
      <w:rFonts w:ascii="Tahoma" w:hAnsi="Tahoma" w:cs="Tahoma"/>
      <w:sz w:val="16"/>
      <w:szCs w:val="16"/>
    </w:rPr>
  </w:style>
  <w:style w:type="table" w:styleId="TableGrid">
    <w:name w:val="Table Grid"/>
    <w:basedOn w:val="TableNormal"/>
    <w:uiPriority w:val="59"/>
    <w:rsid w:val="004453D4"/>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579"/>
    <w:rPr>
      <w:sz w:val="24"/>
      <w:szCs w:val="24"/>
    </w:rPr>
  </w:style>
  <w:style w:type="paragraph" w:styleId="ListParagraph">
    <w:name w:val="List Paragraph"/>
    <w:basedOn w:val="Normal"/>
    <w:uiPriority w:val="34"/>
    <w:qFormat/>
    <w:rsid w:val="00DA1922"/>
    <w:pPr>
      <w:snapToGrid w:val="0"/>
      <w:ind w:left="720"/>
      <w:contextualSpacing/>
    </w:pPr>
    <w:rPr>
      <w:rFonts w:ascii="Arial" w:eastAsia="Arial Unicode MS" w:hAnsi="Arial" w:cs="Arial"/>
      <w:sz w:val="21"/>
      <w:szCs w:val="21"/>
      <w:lang w:val="fr-FR" w:eastAsia="fr-BE"/>
    </w:rPr>
  </w:style>
  <w:style w:type="character" w:styleId="Hyperlink">
    <w:name w:val="Hyperlink"/>
    <w:basedOn w:val="DefaultParagraphFont"/>
    <w:rsid w:val="005C7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F60"/>
    <w:rPr>
      <w:sz w:val="24"/>
      <w:szCs w:val="24"/>
    </w:rPr>
  </w:style>
  <w:style w:type="paragraph" w:styleId="Heading1">
    <w:name w:val="heading 1"/>
    <w:basedOn w:val="Normal"/>
    <w:next w:val="Normal"/>
    <w:qFormat/>
    <w:rsid w:val="009D3F60"/>
    <w:pPr>
      <w:keepNext/>
      <w:tabs>
        <w:tab w:val="center" w:pos="4512"/>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F60"/>
    <w:pPr>
      <w:tabs>
        <w:tab w:val="center" w:pos="4320"/>
        <w:tab w:val="right" w:pos="8640"/>
      </w:tabs>
    </w:pPr>
  </w:style>
  <w:style w:type="character" w:styleId="PageNumber">
    <w:name w:val="page number"/>
    <w:basedOn w:val="DefaultParagraphFont"/>
    <w:rsid w:val="009D3F60"/>
  </w:style>
  <w:style w:type="paragraph" w:styleId="Footer">
    <w:name w:val="footer"/>
    <w:basedOn w:val="Normal"/>
    <w:rsid w:val="009D3F60"/>
    <w:pPr>
      <w:tabs>
        <w:tab w:val="center" w:pos="4320"/>
        <w:tab w:val="right" w:pos="8640"/>
      </w:tabs>
    </w:pPr>
  </w:style>
  <w:style w:type="paragraph" w:customStyle="1" w:styleId="Header1">
    <w:name w:val="Header1"/>
    <w:basedOn w:val="Normal"/>
    <w:rsid w:val="00D40F32"/>
    <w:pPr>
      <w:widowControl w:val="0"/>
      <w:tabs>
        <w:tab w:val="center" w:pos="4320"/>
        <w:tab w:val="right" w:pos="8640"/>
      </w:tabs>
      <w:autoSpaceDE w:val="0"/>
      <w:autoSpaceDN w:val="0"/>
      <w:adjustRightInd w:val="0"/>
    </w:pPr>
    <w:rPr>
      <w:sz w:val="20"/>
      <w:lang w:eastAsia="es-ES"/>
    </w:rPr>
  </w:style>
  <w:style w:type="character" w:styleId="CommentReference">
    <w:name w:val="annotation reference"/>
    <w:basedOn w:val="DefaultParagraphFont"/>
    <w:rsid w:val="005D7FB7"/>
    <w:rPr>
      <w:sz w:val="16"/>
      <w:szCs w:val="16"/>
    </w:rPr>
  </w:style>
  <w:style w:type="paragraph" w:styleId="CommentText">
    <w:name w:val="annotation text"/>
    <w:basedOn w:val="Normal"/>
    <w:link w:val="CommentTextChar"/>
    <w:rsid w:val="005D7FB7"/>
    <w:rPr>
      <w:sz w:val="20"/>
      <w:szCs w:val="20"/>
    </w:rPr>
  </w:style>
  <w:style w:type="character" w:customStyle="1" w:styleId="CommentTextChar">
    <w:name w:val="Comment Text Char"/>
    <w:basedOn w:val="DefaultParagraphFont"/>
    <w:link w:val="CommentText"/>
    <w:rsid w:val="005D7FB7"/>
  </w:style>
  <w:style w:type="paragraph" w:styleId="CommentSubject">
    <w:name w:val="annotation subject"/>
    <w:basedOn w:val="CommentText"/>
    <w:next w:val="CommentText"/>
    <w:link w:val="CommentSubjectChar"/>
    <w:rsid w:val="005D7FB7"/>
    <w:rPr>
      <w:b/>
      <w:bCs/>
    </w:rPr>
  </w:style>
  <w:style w:type="character" w:customStyle="1" w:styleId="CommentSubjectChar">
    <w:name w:val="Comment Subject Char"/>
    <w:basedOn w:val="CommentTextChar"/>
    <w:link w:val="CommentSubject"/>
    <w:rsid w:val="005D7FB7"/>
    <w:rPr>
      <w:b/>
      <w:bCs/>
    </w:rPr>
  </w:style>
  <w:style w:type="paragraph" w:styleId="BalloonText">
    <w:name w:val="Balloon Text"/>
    <w:basedOn w:val="Normal"/>
    <w:link w:val="BalloonTextChar"/>
    <w:rsid w:val="005D7FB7"/>
    <w:rPr>
      <w:rFonts w:ascii="Tahoma" w:hAnsi="Tahoma" w:cs="Tahoma"/>
      <w:sz w:val="16"/>
      <w:szCs w:val="16"/>
    </w:rPr>
  </w:style>
  <w:style w:type="character" w:customStyle="1" w:styleId="BalloonTextChar">
    <w:name w:val="Balloon Text Char"/>
    <w:basedOn w:val="DefaultParagraphFont"/>
    <w:link w:val="BalloonText"/>
    <w:rsid w:val="005D7FB7"/>
    <w:rPr>
      <w:rFonts w:ascii="Tahoma" w:hAnsi="Tahoma" w:cs="Tahoma"/>
      <w:sz w:val="16"/>
      <w:szCs w:val="16"/>
    </w:rPr>
  </w:style>
  <w:style w:type="table" w:styleId="TableGrid">
    <w:name w:val="Table Grid"/>
    <w:basedOn w:val="TableNormal"/>
    <w:uiPriority w:val="59"/>
    <w:rsid w:val="004453D4"/>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579"/>
    <w:rPr>
      <w:sz w:val="24"/>
      <w:szCs w:val="24"/>
    </w:rPr>
  </w:style>
  <w:style w:type="paragraph" w:styleId="ListParagraph">
    <w:name w:val="List Paragraph"/>
    <w:basedOn w:val="Normal"/>
    <w:uiPriority w:val="34"/>
    <w:qFormat/>
    <w:rsid w:val="00DA1922"/>
    <w:pPr>
      <w:snapToGrid w:val="0"/>
      <w:ind w:left="720"/>
      <w:contextualSpacing/>
    </w:pPr>
    <w:rPr>
      <w:rFonts w:ascii="Arial" w:eastAsia="Arial Unicode MS" w:hAnsi="Arial" w:cs="Arial"/>
      <w:sz w:val="21"/>
      <w:szCs w:val="21"/>
      <w:lang w:val="fr-FR" w:eastAsia="fr-BE"/>
    </w:rPr>
  </w:style>
  <w:style w:type="character" w:styleId="Hyperlink">
    <w:name w:val="Hyperlink"/>
    <w:basedOn w:val="DefaultParagraphFont"/>
    <w:rsid w:val="005C7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6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E52E-FC2F-47B5-A98D-E1F2AA23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Covance Inc.</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 Tereza</dc:creator>
  <cp:lastModifiedBy>Martin Sedlacek</cp:lastModifiedBy>
  <cp:revision>3</cp:revision>
  <dcterms:created xsi:type="dcterms:W3CDTF">2017-06-16T16:36:00Z</dcterms:created>
  <dcterms:modified xsi:type="dcterms:W3CDTF">2017-06-16T16:36:00Z</dcterms:modified>
</cp:coreProperties>
</file>