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6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č. smlouvy objednatele: 226/2025</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30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Leska - probírka BP, úsek SM Mory - rybníky Mory</w:t>
      </w:r>
    </w:p>
    <w:p>
      <w:pPr>
        <w:pStyle w:val="Style12"/>
        <w:keepNext/>
        <w:keepLines/>
        <w:widowControl w:val="0"/>
        <w:shd w:val="clear" w:color="auto" w:fill="auto"/>
        <w:bidi w:val="0"/>
        <w:spacing w:before="0" w:after="300" w:line="240" w:lineRule="auto"/>
        <w:ind w:left="0" w:right="0" w:firstLine="0"/>
        <w:jc w:val="both"/>
      </w:pPr>
      <w:bookmarkStart w:id="3" w:name="bookmark3"/>
      <w:bookmarkStart w:id="4" w:name="bookmark4"/>
      <w:bookmarkStart w:id="5" w:name="bookmark5"/>
      <w:r>
        <w:rPr>
          <w:b/>
          <w:bCs/>
          <w:color w:val="000000"/>
          <w:spacing w:val="0"/>
          <w:w w:val="100"/>
          <w:position w:val="0"/>
          <w:shd w:val="clear" w:color="auto" w:fill="auto"/>
          <w:lang w:val="cs-CZ" w:eastAsia="cs-CZ" w:bidi="cs-CZ"/>
        </w:rPr>
        <w:t>Smluvní strany:</w:t>
      </w:r>
      <w:bookmarkEnd w:id="3"/>
      <w:bookmarkEnd w:id="4"/>
      <w:bookmarkEnd w:id="5"/>
    </w:p>
    <w:p>
      <w:pPr>
        <w:pStyle w:val="Style12"/>
        <w:keepNext/>
        <w:keepLines/>
        <w:widowControl w:val="0"/>
        <w:shd w:val="clear" w:color="auto" w:fill="auto"/>
        <w:bidi w:val="0"/>
        <w:spacing w:before="0" w:after="0" w:line="240" w:lineRule="auto"/>
        <w:ind w:left="2340" w:right="0" w:firstLine="20"/>
        <w:jc w:val="both"/>
      </w:pPr>
      <w:r>
        <mc:AlternateContent>
          <mc:Choice Requires="wps">
            <w:drawing>
              <wp:anchor distT="0" distB="0" distL="114300" distR="114300" simplePos="0" relativeHeight="125829378" behindDoc="0" locked="0" layoutInCell="1" allowOverlap="1">
                <wp:simplePos x="0" y="0"/>
                <wp:positionH relativeFrom="page">
                  <wp:posOffset>888365</wp:posOffset>
                </wp:positionH>
                <wp:positionV relativeFrom="paragraph">
                  <wp:posOffset>12700</wp:posOffset>
                </wp:positionV>
                <wp:extent cx="804545" cy="719455"/>
                <wp:wrapSquare wrapText="bothSides"/>
                <wp:docPr id="1" name="Shape 1"/>
                <a:graphic xmlns:a="http://schemas.openxmlformats.org/drawingml/2006/main">
                  <a:graphicData uri="http://schemas.microsoft.com/office/word/2010/wordprocessingShape">
                    <wps:wsp>
                      <wps:cNvSpPr txBox="1"/>
                      <wps:spPr>
                        <a:xfrm>
                          <a:ext cx="804545" cy="719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1.pt;width:63.350000000000001pt;height:56.6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v:textbox>
                <w10:wrap type="square" anchorx="page"/>
              </v:shape>
            </w:pict>
          </mc:Fallback>
        </mc:AlternateContent>
      </w:r>
      <w:bookmarkStart w:id="3" w:name="bookmark3"/>
      <w:bookmarkStart w:id="4" w:name="bookmark4"/>
      <w:r>
        <w:rPr>
          <w:b/>
          <w:bCs/>
          <w:color w:val="000000"/>
          <w:spacing w:val="0"/>
          <w:w w:val="100"/>
          <w:position w:val="0"/>
          <w:shd w:val="clear" w:color="auto" w:fill="auto"/>
          <w:lang w:val="cs-CZ" w:eastAsia="cs-CZ" w:bidi="cs-CZ"/>
        </w:rPr>
        <w:t>Povodí Ohře, státní podnik</w:t>
      </w:r>
      <w:bookmarkEnd w:id="3"/>
      <w:bookmarkEnd w:id="4"/>
    </w:p>
    <w:p>
      <w:pPr>
        <w:pStyle w:val="Style2"/>
        <w:keepNext w:val="0"/>
        <w:keepLines w:val="0"/>
        <w:widowControl w:val="0"/>
        <w:shd w:val="clear" w:color="auto" w:fill="auto"/>
        <w:bidi w:val="0"/>
        <w:spacing w:before="0" w:after="0" w:line="240" w:lineRule="auto"/>
        <w:ind w:left="2340" w:right="0" w:firstLine="20"/>
        <w:jc w:val="both"/>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CZ 70889988</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 na straně jedné a</w:t>
      </w:r>
    </w:p>
    <w:tbl>
      <w:tblPr>
        <w:tblOverlap w:val="never"/>
        <w:jc w:val="center"/>
        <w:tblLayout w:type="fixed"/>
      </w:tblPr>
      <w:tblGrid>
        <w:gridCol w:w="2467"/>
        <w:gridCol w:w="6605"/>
      </w:tblGrid>
      <w:tr>
        <w:trPr>
          <w:trHeight w:val="27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Zhotovitel:</w:t>
            </w:r>
          </w:p>
        </w:tc>
        <w:tc>
          <w:tcPr>
            <w:tcBorders>
              <w:top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1360" w:right="0" w:firstLine="0"/>
              <w:jc w:val="left"/>
            </w:pPr>
            <w:r>
              <w:rPr>
                <w:b/>
                <w:bCs/>
                <w:color w:val="000000"/>
                <w:spacing w:val="0"/>
                <w:w w:val="100"/>
                <w:position w:val="0"/>
                <w:shd w:val="clear" w:color="auto" w:fill="auto"/>
                <w:lang w:val="cs-CZ" w:eastAsia="cs-CZ" w:bidi="cs-CZ"/>
              </w:rPr>
              <w:t>Radek Kubač</w:t>
            </w:r>
          </w:p>
        </w:tc>
      </w:tr>
      <w:tr>
        <w:trPr>
          <w:trHeight w:val="25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sídlo:</w:t>
            </w:r>
          </w:p>
        </w:tc>
        <w:tc>
          <w:tcPr>
            <w:tcBorders>
              <w:top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1360" w:right="0" w:firstLine="0"/>
              <w:jc w:val="left"/>
            </w:pPr>
            <w:r>
              <w:rPr>
                <w:color w:val="000000"/>
                <w:spacing w:val="0"/>
                <w:w w:val="100"/>
                <w:position w:val="0"/>
                <w:shd w:val="clear" w:color="auto" w:fill="auto"/>
                <w:lang w:val="cs-CZ" w:eastAsia="cs-CZ" w:bidi="cs-CZ"/>
              </w:rPr>
              <w:t>Vančurova 1256, 43601 Litvínov - Horní Litvínov</w:t>
            </w:r>
          </w:p>
        </w:tc>
      </w:tr>
      <w:tr>
        <w:trPr>
          <w:trHeight w:val="288"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IČO:</w:t>
            </w:r>
          </w:p>
        </w:tc>
        <w:tc>
          <w:tcPr>
            <w:tcBorders>
              <w:top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1360" w:right="0" w:firstLine="0"/>
              <w:jc w:val="left"/>
            </w:pPr>
            <w:r>
              <w:rPr>
                <w:color w:val="000000"/>
                <w:spacing w:val="0"/>
                <w:w w:val="100"/>
                <w:position w:val="0"/>
                <w:shd w:val="clear" w:color="auto" w:fill="auto"/>
                <w:lang w:val="cs-CZ" w:eastAsia="cs-CZ" w:bidi="cs-CZ"/>
              </w:rPr>
              <w:t>66685851</w:t>
            </w:r>
          </w:p>
        </w:tc>
      </w:tr>
    </w:tbl>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widowControl w:val="0"/>
        <w:spacing w:after="5519" w:line="1" w:lineRule="exact"/>
      </w:pP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180" w:line="240" w:lineRule="auto"/>
        <w:ind w:right="0" w:hanging="380"/>
        <w:jc w:val="both"/>
      </w:pPr>
      <w:bookmarkStart w:id="6" w:name="bookmark6"/>
      <w:bookmarkStart w:id="7" w:name="bookmark7"/>
      <w:bookmarkStart w:id="8" w:name="bookmark8"/>
      <w:bookmarkStart w:id="9" w:name="bookmark9"/>
      <w:bookmarkEnd w:id="8"/>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Leska - probírka BP, úsek SM Mory - rybníky Mory</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6"/>
      <w:bookmarkEnd w:id="7"/>
      <w:bookmarkEnd w:id="9"/>
    </w:p>
    <w:p>
      <w:pPr>
        <w:pStyle w:val="Style2"/>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Předmětem veřejné zakázky je probírka břehových porostů na vodním toku Leska v k. ú. Kněžice u Podbořan v úseku sil. most Mory – rybníky Mory (ř. km 4,300-4,750).</w:t>
      </w:r>
    </w:p>
    <w:p>
      <w:pPr>
        <w:pStyle w:val="Style2"/>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Stromy určené ke kácení jsou proschlé, resp. zcela suché. Dále jde o stromy ve špatném zdravotním a technickém stavu - polámané, vyhnilé a napadené dřevokaznou houbou. Jedná se o tyto práce:</w:t>
      </w:r>
    </w:p>
    <w:p>
      <w:pPr>
        <w:pStyle w:val="Style2"/>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volné kácení 107 ks stromů </w:t>
      </w:r>
      <w:r>
        <w:rPr>
          <w:color w:val="000000"/>
          <w:spacing w:val="0"/>
          <w:w w:val="100"/>
          <w:position w:val="0"/>
          <w:shd w:val="clear" w:color="auto" w:fill="auto"/>
          <w:lang w:val="cs-CZ" w:eastAsia="cs-CZ" w:bidi="cs-CZ"/>
        </w:rPr>
        <w:t>(89 ks vrba, 14 ks olše, 2 ks topol, 1 ks javor, 1 ks jilm)</w:t>
      </w:r>
    </w:p>
    <w:p>
      <w:pPr>
        <w:pStyle w:val="Style2"/>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výřez křovin na ploše 2000 m2 </w:t>
      </w:r>
      <w:r>
        <w:rPr>
          <w:color w:val="000000"/>
          <w:spacing w:val="0"/>
          <w:w w:val="100"/>
          <w:position w:val="0"/>
          <w:shd w:val="clear" w:color="auto" w:fill="auto"/>
          <w:lang w:val="cs-CZ" w:eastAsia="cs-CZ" w:bidi="cs-CZ"/>
        </w:rPr>
        <w:t>(z důvodu přístupu ke stromům určeným k pokácení)</w:t>
      </w:r>
    </w:p>
    <w:p>
      <w:pPr>
        <w:pStyle w:val="Style2"/>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20 m3 polomů a naplavenin (nevyužitelné dřevní hmoty) z průtočného profilu vodního toku</w:t>
      </w:r>
    </w:p>
    <w:p>
      <w:pPr>
        <w:pStyle w:val="Style2"/>
        <w:keepNext w:val="0"/>
        <w:keepLines w:val="0"/>
        <w:widowControl w:val="0"/>
        <w:shd w:val="clear" w:color="auto" w:fill="auto"/>
        <w:bidi w:val="0"/>
        <w:spacing w:before="0" w:after="0" w:line="230" w:lineRule="auto"/>
        <w:ind w:left="740" w:right="0" w:hanging="34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likvidace veškeré nevyužitelné dřevní hmoty na místě štěpkováním nebo pálením (po předchozím nahlášení příslušnému HZS)</w:t>
      </w:r>
    </w:p>
    <w:p>
      <w:pPr>
        <w:pStyle w:val="Style12"/>
        <w:keepNext/>
        <w:keepLines/>
        <w:widowControl w:val="0"/>
        <w:shd w:val="clear" w:color="auto" w:fill="auto"/>
        <w:bidi w:val="0"/>
        <w:spacing w:before="0" w:after="180" w:line="240" w:lineRule="auto"/>
        <w:ind w:right="0" w:firstLine="20"/>
        <w:jc w:val="both"/>
      </w:pPr>
      <w:bookmarkStart w:id="10" w:name="bookmark10"/>
      <w:bookmarkStart w:id="11" w:name="bookmark11"/>
      <w:bookmarkStart w:id="12" w:name="bookmark12"/>
      <w:r>
        <w:rPr>
          <w:color w:val="000000"/>
          <w:spacing w:val="0"/>
          <w:w w:val="100"/>
          <w:position w:val="0"/>
          <w:shd w:val="clear" w:color="auto" w:fill="auto"/>
          <w:lang w:val="cs-CZ" w:eastAsia="cs-CZ" w:bidi="cs-CZ"/>
        </w:rPr>
        <w:t xml:space="preserve">Zhotovitel odkoupí vytěženou dřevní hmotu o objemu </w:t>
      </w:r>
      <w:r>
        <w:rPr>
          <w:b/>
          <w:bCs/>
          <w:color w:val="000000"/>
          <w:spacing w:val="0"/>
          <w:w w:val="100"/>
          <w:position w:val="0"/>
          <w:shd w:val="clear" w:color="auto" w:fill="auto"/>
          <w:lang w:val="cs-CZ" w:eastAsia="cs-CZ" w:bidi="cs-CZ"/>
        </w:rPr>
        <w:t xml:space="preserve">119,84 plm </w:t>
      </w:r>
      <w:r>
        <w:rPr>
          <w:color w:val="000000"/>
          <w:spacing w:val="0"/>
          <w:w w:val="100"/>
          <w:position w:val="0"/>
          <w:shd w:val="clear" w:color="auto" w:fill="auto"/>
          <w:lang w:val="cs-CZ" w:eastAsia="cs-CZ" w:bidi="cs-CZ"/>
        </w:rPr>
        <w:t xml:space="preserve">(podrobný přehled </w:t>
      </w:r>
      <w:r>
        <w:rPr>
          <w:b/>
          <w:bCs/>
          <w:color w:val="000000"/>
          <w:spacing w:val="0"/>
          <w:w w:val="100"/>
          <w:position w:val="0"/>
          <w:shd w:val="clear" w:color="auto" w:fill="auto"/>
          <w:lang w:val="cs-CZ" w:eastAsia="cs-CZ" w:bidi="cs-CZ"/>
        </w:rPr>
        <w:t xml:space="preserve">viz příloha č. 1 </w:t>
      </w:r>
      <w:r>
        <w:rPr>
          <w:color w:val="000000"/>
          <w:spacing w:val="0"/>
          <w:w w:val="100"/>
          <w:position w:val="0"/>
          <w:shd w:val="clear" w:color="auto" w:fill="auto"/>
          <w:lang w:val="cs-CZ" w:eastAsia="cs-CZ" w:bidi="cs-CZ"/>
        </w:rPr>
        <w:t>– Taxace dřevin) za jednotkovou cenu 500 Kč bez DPH za 1 plm.</w:t>
      </w:r>
      <w:bookmarkEnd w:id="10"/>
      <w:bookmarkEnd w:id="11"/>
      <w:bookmarkEnd w:id="12"/>
    </w:p>
    <w:p>
      <w:pPr>
        <w:pStyle w:val="Style2"/>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Místo provádění díla: Břehy vodního toku Leska v ř. km 4,300-4,750. Jedná se o tento pozemek ve správě objednatele: p. p. č. 1162 v k. ú. Kněžice u Podbořan.</w:t>
      </w:r>
    </w:p>
    <w:p>
      <w:pPr>
        <w:pStyle w:val="Style12"/>
        <w:keepNext/>
        <w:keepLines/>
        <w:widowControl w:val="0"/>
        <w:numPr>
          <w:ilvl w:val="0"/>
          <w:numId w:val="1"/>
        </w:numPr>
        <w:shd w:val="clear" w:color="auto" w:fill="auto"/>
        <w:tabs>
          <w:tab w:pos="382" w:val="left"/>
        </w:tabs>
        <w:bidi w:val="0"/>
        <w:spacing w:before="0" w:after="180" w:line="240" w:lineRule="auto"/>
        <w:ind w:right="0" w:hanging="380"/>
        <w:jc w:val="both"/>
      </w:pPr>
      <w:bookmarkStart w:id="13" w:name="bookmark13"/>
      <w:bookmarkStart w:id="14" w:name="bookmark14"/>
      <w:bookmarkStart w:id="15" w:name="bookmark15"/>
      <w:bookmarkStart w:id="16" w:name="bookmark16"/>
      <w:bookmarkEnd w:id="15"/>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2 </w:t>
      </w:r>
      <w:r>
        <w:rPr>
          <w:color w:val="000000"/>
          <w:spacing w:val="0"/>
          <w:w w:val="100"/>
          <w:position w:val="0"/>
          <w:shd w:val="clear" w:color="auto" w:fill="auto"/>
          <w:lang w:val="cs-CZ" w:eastAsia="cs-CZ" w:bidi="cs-CZ"/>
        </w:rPr>
        <w:t>této smlouvy.</w:t>
      </w:r>
      <w:bookmarkEnd w:id="13"/>
      <w:bookmarkEnd w:id="14"/>
      <w:bookmarkEnd w:id="16"/>
    </w:p>
    <w:p>
      <w:pPr>
        <w:pStyle w:val="Style1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7" w:name="bookmark17"/>
      <w:bookmarkStart w:id="18" w:name="bookmark18"/>
      <w:bookmarkStart w:id="19" w:name="bookmark19"/>
      <w:bookmarkStart w:id="20" w:name="bookmark20"/>
      <w:bookmarkEnd w:id="19"/>
      <w:r>
        <w:rPr>
          <w:color w:val="000000"/>
          <w:spacing w:val="0"/>
          <w:w w:val="100"/>
          <w:position w:val="0"/>
          <w:shd w:val="clear" w:color="auto" w:fill="auto"/>
          <w:lang w:val="cs-CZ" w:eastAsia="cs-CZ" w:bidi="cs-CZ"/>
        </w:rPr>
        <w:t>Za předmět díla se dále považuje:</w:t>
      </w:r>
      <w:bookmarkEnd w:id="17"/>
      <w:bookmarkEnd w:id="18"/>
      <w:bookmarkEnd w:id="20"/>
    </w:p>
    <w:p>
      <w:pPr>
        <w:pStyle w:val="Style12"/>
        <w:keepNext/>
        <w:keepLines/>
        <w:widowControl w:val="0"/>
        <w:numPr>
          <w:ilvl w:val="0"/>
          <w:numId w:val="3"/>
        </w:numPr>
        <w:shd w:val="clear" w:color="auto" w:fill="auto"/>
        <w:tabs>
          <w:tab w:pos="772" w:val="left"/>
        </w:tabs>
        <w:bidi w:val="0"/>
        <w:spacing w:before="0" w:after="0" w:line="240" w:lineRule="auto"/>
        <w:ind w:left="0" w:right="0" w:firstLine="380"/>
        <w:jc w:val="both"/>
      </w:pPr>
      <w:bookmarkStart w:id="21" w:name="bookmark21"/>
      <w:bookmarkStart w:id="22" w:name="bookmark22"/>
      <w:bookmarkStart w:id="23" w:name="bookmark23"/>
      <w:bookmarkStart w:id="24" w:name="bookmark24"/>
      <w:bookmarkEnd w:id="23"/>
      <w:r>
        <w:rPr>
          <w:color w:val="000000"/>
          <w:spacing w:val="0"/>
          <w:w w:val="100"/>
          <w:position w:val="0"/>
          <w:shd w:val="clear" w:color="auto" w:fill="auto"/>
          <w:lang w:val="cs-CZ" w:eastAsia="cs-CZ" w:bidi="cs-CZ"/>
        </w:rPr>
        <w:t>zdokumentování současného stavu, pro pozdější porovnání stavu po dokončení díla.</w:t>
      </w:r>
      <w:bookmarkEnd w:id="21"/>
      <w:bookmarkEnd w:id="22"/>
      <w:bookmarkEnd w:id="24"/>
    </w:p>
    <w:p>
      <w:pPr>
        <w:pStyle w:val="Style12"/>
        <w:keepNext/>
        <w:keepLines/>
        <w:widowControl w:val="0"/>
        <w:numPr>
          <w:ilvl w:val="0"/>
          <w:numId w:val="3"/>
        </w:numPr>
        <w:shd w:val="clear" w:color="auto" w:fill="auto"/>
        <w:tabs>
          <w:tab w:pos="786" w:val="left"/>
        </w:tabs>
        <w:bidi w:val="0"/>
        <w:spacing w:before="0" w:after="0" w:line="240" w:lineRule="auto"/>
        <w:ind w:left="0" w:right="0" w:firstLine="380"/>
        <w:jc w:val="both"/>
      </w:pPr>
      <w:bookmarkStart w:id="25" w:name="bookmark25"/>
      <w:bookmarkStart w:id="26" w:name="bookmark26"/>
      <w:bookmarkStart w:id="27" w:name="bookmark27"/>
      <w:bookmarkStart w:id="28" w:name="bookmark28"/>
      <w:bookmarkEnd w:id="27"/>
      <w:r>
        <w:rPr>
          <w:color w:val="000000"/>
          <w:spacing w:val="0"/>
          <w:w w:val="100"/>
          <w:position w:val="0"/>
          <w:shd w:val="clear" w:color="auto" w:fill="auto"/>
          <w:lang w:val="cs-CZ" w:eastAsia="cs-CZ" w:bidi="cs-CZ"/>
        </w:rPr>
        <w:t>pravidelné čištění a úklid příjezdových a manipulačních ploch,</w:t>
      </w:r>
      <w:bookmarkEnd w:id="25"/>
      <w:bookmarkEnd w:id="26"/>
      <w:bookmarkEnd w:id="28"/>
    </w:p>
    <w:p>
      <w:pPr>
        <w:pStyle w:val="Style12"/>
        <w:keepNext/>
        <w:keepLines/>
        <w:widowControl w:val="0"/>
        <w:numPr>
          <w:ilvl w:val="0"/>
          <w:numId w:val="3"/>
        </w:numPr>
        <w:shd w:val="clear" w:color="auto" w:fill="auto"/>
        <w:tabs>
          <w:tab w:pos="806" w:val="left"/>
        </w:tabs>
        <w:bidi w:val="0"/>
        <w:spacing w:before="0" w:after="0" w:line="240" w:lineRule="auto"/>
        <w:ind w:left="740" w:right="0"/>
        <w:jc w:val="both"/>
      </w:pPr>
      <w:bookmarkStart w:id="29" w:name="bookmark29"/>
      <w:bookmarkStart w:id="30" w:name="bookmark30"/>
      <w:bookmarkStart w:id="31" w:name="bookmark31"/>
      <w:bookmarkStart w:id="32" w:name="bookmark32"/>
      <w:bookmarkEnd w:id="31"/>
      <w:r>
        <w:rPr>
          <w:color w:val="000000"/>
          <w:spacing w:val="0"/>
          <w:w w:val="100"/>
          <w:position w:val="0"/>
          <w:shd w:val="clear" w:color="auto" w:fill="auto"/>
          <w:lang w:val="cs-CZ" w:eastAsia="cs-CZ" w:bidi="cs-CZ"/>
        </w:rPr>
        <w:t>opatření na zabezpečení místa plnění, povolení ke vstupu a vjezdu na pozemky (mimo pozemků ve vlastnictví objednatele), skladování a odvoz vytěžené dřevní hmoty,</w:t>
      </w:r>
      <w:bookmarkEnd w:id="29"/>
      <w:bookmarkEnd w:id="30"/>
      <w:bookmarkEnd w:id="32"/>
    </w:p>
    <w:p>
      <w:pPr>
        <w:pStyle w:val="Style12"/>
        <w:keepNext/>
        <w:keepLines/>
        <w:widowControl w:val="0"/>
        <w:numPr>
          <w:ilvl w:val="0"/>
          <w:numId w:val="3"/>
        </w:numPr>
        <w:shd w:val="clear" w:color="auto" w:fill="auto"/>
        <w:tabs>
          <w:tab w:pos="806" w:val="left"/>
        </w:tabs>
        <w:bidi w:val="0"/>
        <w:spacing w:before="0" w:after="0" w:line="240" w:lineRule="auto"/>
        <w:ind w:left="740" w:right="0"/>
        <w:jc w:val="both"/>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33"/>
      <w:bookmarkEnd w:id="34"/>
      <w:bookmarkEnd w:id="36"/>
    </w:p>
    <w:p>
      <w:pPr>
        <w:pStyle w:val="Style12"/>
        <w:keepNext/>
        <w:keepLines/>
        <w:widowControl w:val="0"/>
        <w:numPr>
          <w:ilvl w:val="0"/>
          <w:numId w:val="3"/>
        </w:numPr>
        <w:shd w:val="clear" w:color="auto" w:fill="auto"/>
        <w:tabs>
          <w:tab w:pos="786" w:val="left"/>
        </w:tabs>
        <w:bidi w:val="0"/>
        <w:spacing w:before="0" w:after="0" w:line="240" w:lineRule="auto"/>
        <w:ind w:left="0" w:right="0" w:firstLine="380"/>
        <w:jc w:val="both"/>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zajištění povolení zvláštního užívání silnic, bude-li potřeba,</w:t>
      </w:r>
      <w:bookmarkEnd w:id="37"/>
      <w:bookmarkEnd w:id="38"/>
      <w:bookmarkEnd w:id="40"/>
    </w:p>
    <w:p>
      <w:pPr>
        <w:pStyle w:val="Style12"/>
        <w:keepNext/>
        <w:keepLines/>
        <w:widowControl w:val="0"/>
        <w:numPr>
          <w:ilvl w:val="0"/>
          <w:numId w:val="3"/>
        </w:numPr>
        <w:shd w:val="clear" w:color="auto" w:fill="auto"/>
        <w:tabs>
          <w:tab w:pos="786" w:val="left"/>
        </w:tabs>
        <w:bidi w:val="0"/>
        <w:spacing w:before="0" w:after="0" w:line="240" w:lineRule="auto"/>
        <w:ind w:left="0" w:right="0" w:firstLine="380"/>
        <w:jc w:val="both"/>
      </w:pP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zajištění povolení pálení a nahlášení pálení dřevní hmoty příslušným orgánům,</w:t>
      </w:r>
      <w:bookmarkEnd w:id="41"/>
      <w:bookmarkEnd w:id="42"/>
      <w:bookmarkEnd w:id="44"/>
    </w:p>
    <w:p>
      <w:pPr>
        <w:pStyle w:val="Style12"/>
        <w:keepNext/>
        <w:keepLines/>
        <w:widowControl w:val="0"/>
        <w:numPr>
          <w:ilvl w:val="0"/>
          <w:numId w:val="3"/>
        </w:numPr>
        <w:shd w:val="clear" w:color="auto" w:fill="auto"/>
        <w:tabs>
          <w:tab w:pos="786" w:val="left"/>
        </w:tabs>
        <w:bidi w:val="0"/>
        <w:spacing w:before="0" w:after="0" w:line="240" w:lineRule="auto"/>
        <w:ind w:left="0" w:right="0" w:firstLine="380"/>
        <w:jc w:val="both"/>
      </w:pPr>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průběžná taxace vytěžené dřevní hmoty,</w:t>
      </w:r>
      <w:bookmarkEnd w:id="45"/>
      <w:bookmarkEnd w:id="46"/>
      <w:bookmarkEnd w:id="48"/>
    </w:p>
    <w:p>
      <w:pPr>
        <w:pStyle w:val="Style12"/>
        <w:keepNext/>
        <w:keepLines/>
        <w:widowControl w:val="0"/>
        <w:numPr>
          <w:ilvl w:val="0"/>
          <w:numId w:val="3"/>
        </w:numPr>
        <w:shd w:val="clear" w:color="auto" w:fill="auto"/>
        <w:tabs>
          <w:tab w:pos="806" w:val="left"/>
        </w:tabs>
        <w:bidi w:val="0"/>
        <w:spacing w:before="0" w:after="0" w:line="240" w:lineRule="auto"/>
        <w:ind w:left="740" w:right="0"/>
        <w:jc w:val="both"/>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zajištění bezpečnosti a ochrany zdraví při práci, požární ochrany, ochrany životního prostředí, zařízení a ostraha pracoviště,</w:t>
      </w:r>
      <w:bookmarkEnd w:id="49"/>
      <w:bookmarkEnd w:id="50"/>
      <w:bookmarkEnd w:id="52"/>
    </w:p>
    <w:p>
      <w:pPr>
        <w:pStyle w:val="Style12"/>
        <w:keepNext/>
        <w:keepLines/>
        <w:widowControl w:val="0"/>
        <w:numPr>
          <w:ilvl w:val="0"/>
          <w:numId w:val="3"/>
        </w:numPr>
        <w:shd w:val="clear" w:color="auto" w:fill="auto"/>
        <w:tabs>
          <w:tab w:pos="806" w:val="left"/>
        </w:tabs>
        <w:bidi w:val="0"/>
        <w:spacing w:before="0" w:after="0" w:line="240" w:lineRule="auto"/>
        <w:ind w:left="740" w:right="0"/>
        <w:jc w:val="both"/>
      </w:pPr>
      <w:bookmarkStart w:id="53" w:name="bookmark53"/>
      <w:bookmarkStart w:id="54" w:name="bookmark54"/>
      <w:bookmarkStart w:id="55" w:name="bookmark55"/>
      <w:bookmarkStart w:id="56" w:name="bookmark56"/>
      <w:bookmarkEnd w:id="55"/>
      <w:r>
        <w:rPr>
          <w:color w:val="000000"/>
          <w:spacing w:val="0"/>
          <w:w w:val="100"/>
          <w:position w:val="0"/>
          <w:shd w:val="clear" w:color="auto" w:fill="auto"/>
          <w:lang w:val="cs-CZ" w:eastAsia="cs-CZ" w:bidi="cs-CZ"/>
        </w:rPr>
        <w:t>vybudování pracoviště tak, aby byly splněny požadavky a podmínky všech dotčených vlastníků pozemků,</w:t>
      </w:r>
      <w:bookmarkEnd w:id="53"/>
      <w:bookmarkEnd w:id="54"/>
      <w:bookmarkEnd w:id="56"/>
    </w:p>
    <w:p>
      <w:pPr>
        <w:pStyle w:val="Style12"/>
        <w:keepNext/>
        <w:keepLines/>
        <w:widowControl w:val="0"/>
        <w:numPr>
          <w:ilvl w:val="0"/>
          <w:numId w:val="3"/>
        </w:numPr>
        <w:shd w:val="clear" w:color="auto" w:fill="auto"/>
        <w:tabs>
          <w:tab w:pos="806" w:val="left"/>
        </w:tabs>
        <w:bidi w:val="0"/>
        <w:spacing w:before="0" w:after="0" w:line="240" w:lineRule="auto"/>
        <w:ind w:left="740" w:right="0"/>
        <w:jc w:val="both"/>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odstranění případných škod na místních komunikacích a dalších plochách dotčených plněním zakázky, způsobených provozem zhotovitele při realizaci díla a jejich čištění v průběhu provádění díla,</w:t>
      </w:r>
      <w:bookmarkEnd w:id="57"/>
      <w:bookmarkEnd w:id="58"/>
      <w:bookmarkEnd w:id="60"/>
    </w:p>
    <w:p>
      <w:pPr>
        <w:pStyle w:val="Style12"/>
        <w:keepNext/>
        <w:keepLines/>
        <w:widowControl w:val="0"/>
        <w:numPr>
          <w:ilvl w:val="0"/>
          <w:numId w:val="3"/>
        </w:numPr>
        <w:shd w:val="clear" w:color="auto" w:fill="auto"/>
        <w:tabs>
          <w:tab w:pos="806" w:val="left"/>
        </w:tabs>
        <w:bidi w:val="0"/>
        <w:spacing w:before="0" w:after="0" w:line="240" w:lineRule="auto"/>
        <w:ind w:left="740" w:right="0"/>
        <w:jc w:val="both"/>
      </w:pPr>
      <w:bookmarkStart w:id="61" w:name="bookmark61"/>
      <w:bookmarkStart w:id="62" w:name="bookmark62"/>
      <w:bookmarkStart w:id="63" w:name="bookmark63"/>
      <w:bookmarkStart w:id="64" w:name="bookmark64"/>
      <w:bookmarkStart w:id="65" w:name="bookmark65"/>
      <w:bookmarkEnd w:id="63"/>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61"/>
      <w:bookmarkEnd w:id="62"/>
      <w:bookmarkEnd w:id="64"/>
      <w:bookmarkEnd w:id="65"/>
    </w:p>
    <w:p>
      <w:pPr>
        <w:pStyle w:val="Style2"/>
        <w:keepNext w:val="0"/>
        <w:keepLines w:val="0"/>
        <w:widowControl w:val="0"/>
        <w:numPr>
          <w:ilvl w:val="0"/>
          <w:numId w:val="3"/>
        </w:numPr>
        <w:shd w:val="clear" w:color="auto" w:fill="auto"/>
        <w:tabs>
          <w:tab w:pos="806" w:val="left"/>
        </w:tabs>
        <w:bidi w:val="0"/>
        <w:spacing w:before="0" w:after="0" w:line="240" w:lineRule="auto"/>
        <w:ind w:left="740" w:right="0" w:hanging="340"/>
        <w:jc w:val="both"/>
      </w:pPr>
      <w:bookmarkStart w:id="66" w:name="bookmark66"/>
      <w:bookmarkStart w:id="67" w:name="bookmark67"/>
      <w:bookmarkEnd w:id="66"/>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 nařízení vlády č. 362/2005 Sb., o bližších</w:t>
      </w:r>
      <w:bookmarkEnd w:id="6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požadavcích na bezpečnost a ochranu zdraví při práci na pracovištích s nebezpečím pádu z výšky nebo do hloubky),</w:t>
      </w:r>
    </w:p>
    <w:p>
      <w:pPr>
        <w:pStyle w:val="Style12"/>
        <w:keepNext/>
        <w:keepLines/>
        <w:widowControl w:val="0"/>
        <w:numPr>
          <w:ilvl w:val="0"/>
          <w:numId w:val="3"/>
        </w:numPr>
        <w:shd w:val="clear" w:color="auto" w:fill="auto"/>
        <w:tabs>
          <w:tab w:pos="884" w:val="left"/>
        </w:tabs>
        <w:bidi w:val="0"/>
        <w:spacing w:before="0" w:after="0" w:line="240" w:lineRule="auto"/>
        <w:ind w:left="720" w:right="0" w:hanging="30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při realizaci kácení dřevin rostoucích mimo les bude postupováno v souladu s arboristickými standardy SPPK A02 005:2018 a v případě řezu dřevin bude postupováno v souladu s arboristickými standardy SPPK A02 002:2015.</w:t>
      </w:r>
      <w:bookmarkEnd w:id="68"/>
      <w:bookmarkEnd w:id="69"/>
      <w:bookmarkEnd w:id="71"/>
    </w:p>
    <w:p>
      <w:pPr>
        <w:pStyle w:val="Style12"/>
        <w:keepNext/>
        <w:keepLines/>
        <w:widowControl w:val="0"/>
        <w:numPr>
          <w:ilvl w:val="0"/>
          <w:numId w:val="3"/>
        </w:numPr>
        <w:shd w:val="clear" w:color="auto" w:fill="auto"/>
        <w:tabs>
          <w:tab w:pos="844" w:val="left"/>
        </w:tabs>
        <w:bidi w:val="0"/>
        <w:spacing w:before="0" w:after="0" w:line="240" w:lineRule="auto"/>
        <w:ind w:left="0" w:right="0" w:firstLine="380"/>
        <w:jc w:val="both"/>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zhotovitel zodpovídá za místo realizace zakázky i v době přerušení prací,</w:t>
      </w:r>
      <w:bookmarkEnd w:id="72"/>
      <w:bookmarkEnd w:id="73"/>
      <w:bookmarkEnd w:id="75"/>
    </w:p>
    <w:p>
      <w:pPr>
        <w:pStyle w:val="Style12"/>
        <w:keepNext/>
        <w:keepLines/>
        <w:widowControl w:val="0"/>
        <w:numPr>
          <w:ilvl w:val="0"/>
          <w:numId w:val="3"/>
        </w:numPr>
        <w:shd w:val="clear" w:color="auto" w:fill="auto"/>
        <w:tabs>
          <w:tab w:pos="884" w:val="left"/>
        </w:tabs>
        <w:bidi w:val="0"/>
        <w:spacing w:before="0" w:after="200" w:line="240" w:lineRule="auto"/>
        <w:ind w:left="720" w:right="0" w:hanging="300"/>
        <w:jc w:val="both"/>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76"/>
      <w:bookmarkEnd w:id="77"/>
      <w:bookmarkEnd w:id="79"/>
    </w:p>
    <w:p>
      <w:pPr>
        <w:pStyle w:val="Style12"/>
        <w:keepNext/>
        <w:keepLines/>
        <w:widowControl w:val="0"/>
        <w:numPr>
          <w:ilvl w:val="0"/>
          <w:numId w:val="1"/>
        </w:numPr>
        <w:shd w:val="clear" w:color="auto" w:fill="auto"/>
        <w:tabs>
          <w:tab w:pos="382" w:val="left"/>
        </w:tabs>
        <w:bidi w:val="0"/>
        <w:spacing w:before="0" w:after="200" w:line="240" w:lineRule="auto"/>
        <w:ind w:right="0" w:hanging="380"/>
        <w:jc w:val="both"/>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80"/>
      <w:bookmarkEnd w:id="81"/>
      <w:bookmarkEnd w:id="83"/>
    </w:p>
    <w:p>
      <w:pPr>
        <w:pStyle w:val="Style12"/>
        <w:keepNext/>
        <w:keepLines/>
        <w:widowControl w:val="0"/>
        <w:numPr>
          <w:ilvl w:val="0"/>
          <w:numId w:val="1"/>
        </w:numPr>
        <w:shd w:val="clear" w:color="auto" w:fill="auto"/>
        <w:tabs>
          <w:tab w:pos="382" w:val="left"/>
        </w:tabs>
        <w:bidi w:val="0"/>
        <w:spacing w:before="0" w:after="200" w:line="240" w:lineRule="auto"/>
        <w:ind w:right="0" w:hanging="38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84"/>
      <w:bookmarkEnd w:id="85"/>
      <w:bookmarkEnd w:id="87"/>
    </w:p>
    <w:p>
      <w:pPr>
        <w:pStyle w:val="Style12"/>
        <w:keepNext/>
        <w:keepLines/>
        <w:widowControl w:val="0"/>
        <w:numPr>
          <w:ilvl w:val="0"/>
          <w:numId w:val="1"/>
        </w:numPr>
        <w:shd w:val="clear" w:color="auto" w:fill="auto"/>
        <w:tabs>
          <w:tab w:pos="382" w:val="left"/>
        </w:tabs>
        <w:bidi w:val="0"/>
        <w:spacing w:before="0" w:after="0" w:line="240" w:lineRule="auto"/>
        <w:ind w:right="0" w:hanging="38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Objednatel předá zhotoviteli pracoviště (nebo jeho ucelenou část) prosté práv třetích osob.</w:t>
      </w:r>
      <w:bookmarkEnd w:id="88"/>
      <w:bookmarkEnd w:id="89"/>
      <w:bookmarkEnd w:id="91"/>
    </w:p>
    <w:p>
      <w:pPr>
        <w:pStyle w:val="Style12"/>
        <w:keepNext/>
        <w:keepLines/>
        <w:widowControl w:val="0"/>
        <w:shd w:val="clear" w:color="auto" w:fill="auto"/>
        <w:bidi w:val="0"/>
        <w:spacing w:before="0" w:after="200" w:line="240" w:lineRule="auto"/>
        <w:ind w:right="0" w:firstLine="40"/>
        <w:jc w:val="both"/>
      </w:pPr>
      <w:bookmarkStart w:id="92" w:name="bookmark92"/>
      <w:bookmarkStart w:id="93" w:name="bookmark93"/>
      <w:bookmarkStart w:id="94" w:name="bookmark94"/>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92"/>
      <w:bookmarkEnd w:id="93"/>
      <w:bookmarkEnd w:id="94"/>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line="240" w:lineRule="auto"/>
        <w:ind w:left="0" w:right="0" w:firstLine="0"/>
        <w:jc w:val="both"/>
      </w:pPr>
      <w:bookmarkStart w:id="95" w:name="bookmark95"/>
      <w:bookmarkEnd w:id="95"/>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772" w:val="left"/>
        </w:tabs>
        <w:bidi w:val="0"/>
        <w:spacing w:before="0" w:after="0" w:line="293" w:lineRule="auto"/>
        <w:ind w:left="0" w:right="0" w:firstLine="380"/>
        <w:jc w:val="both"/>
      </w:pPr>
      <w:bookmarkStart w:id="96" w:name="bookmark96"/>
      <w:bookmarkEnd w:id="96"/>
      <w:r>
        <w:rPr>
          <w:b/>
          <w:bCs/>
          <w:color w:val="000000"/>
          <w:spacing w:val="0"/>
          <w:w w:val="100"/>
          <w:position w:val="0"/>
          <w:shd w:val="clear" w:color="auto" w:fill="auto"/>
          <w:lang w:val="cs-CZ" w:eastAsia="cs-CZ" w:bidi="cs-CZ"/>
        </w:rPr>
        <w:t>převzetí místa plnění</w:t>
      </w:r>
      <w:r>
        <w:rPr>
          <w:b/>
          <w:bCs/>
          <w:color w:val="80808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93" w:lineRule="auto"/>
        <w:ind w:left="720" w:right="0" w:firstLine="60"/>
        <w:jc w:val="both"/>
      </w:pPr>
      <w:r>
        <w:rPr>
          <w:color w:val="000000"/>
          <w:spacing w:val="0"/>
          <w:w w:val="100"/>
          <w:position w:val="0"/>
          <w:shd w:val="clear" w:color="auto" w:fill="auto"/>
          <w:lang w:val="cs-CZ" w:eastAsia="cs-CZ" w:bidi="cs-CZ"/>
        </w:rPr>
        <w:t>Zhotovitel je povinen si převzít pracoviště nejpozději do 10 kalendářních dnů od písemné výzvy TDI.</w:t>
      </w:r>
    </w:p>
    <w:p>
      <w:pPr>
        <w:pStyle w:val="Style2"/>
        <w:keepNext w:val="0"/>
        <w:keepLines w:val="0"/>
        <w:widowControl w:val="0"/>
        <w:shd w:val="clear" w:color="auto" w:fill="auto"/>
        <w:bidi w:val="0"/>
        <w:spacing w:before="0" w:after="260" w:line="293" w:lineRule="auto"/>
        <w:ind w:left="720" w:right="0" w:firstLine="60"/>
        <w:jc w:val="both"/>
      </w:pPr>
      <w:r>
        <w:rPr>
          <w:color w:val="000000"/>
          <w:spacing w:val="0"/>
          <w:w w:val="100"/>
          <w:position w:val="0"/>
          <w:shd w:val="clear" w:color="auto" w:fill="auto"/>
          <w:lang w:val="cs-CZ" w:eastAsia="cs-CZ" w:bidi="cs-CZ"/>
        </w:rPr>
        <w:t>Výzva bude odeslána na e-mail zhotovitele: ……………..</w:t>
      </w:r>
    </w:p>
    <w:p>
      <w:pPr>
        <w:pStyle w:val="Style2"/>
        <w:keepNext w:val="0"/>
        <w:keepLines w:val="0"/>
        <w:widowControl w:val="0"/>
        <w:numPr>
          <w:ilvl w:val="0"/>
          <w:numId w:val="7"/>
        </w:numPr>
        <w:shd w:val="clear" w:color="auto" w:fill="auto"/>
        <w:tabs>
          <w:tab w:pos="772" w:val="left"/>
        </w:tabs>
        <w:bidi w:val="0"/>
        <w:spacing w:before="0" w:after="0" w:line="240" w:lineRule="auto"/>
        <w:ind w:left="0" w:right="0" w:firstLine="380"/>
        <w:jc w:val="both"/>
      </w:pPr>
      <w:bookmarkStart w:id="97" w:name="bookmark97"/>
      <w:bookmarkEnd w:id="97"/>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místa plnění.</w:t>
      </w:r>
    </w:p>
    <w:p>
      <w:pPr>
        <w:pStyle w:val="Style2"/>
        <w:keepNext w:val="0"/>
        <w:keepLines w:val="0"/>
        <w:widowControl w:val="0"/>
        <w:numPr>
          <w:ilvl w:val="0"/>
          <w:numId w:val="7"/>
        </w:numPr>
        <w:shd w:val="clear" w:color="auto" w:fill="auto"/>
        <w:tabs>
          <w:tab w:pos="772" w:val="left"/>
        </w:tabs>
        <w:bidi w:val="0"/>
        <w:spacing w:before="0" w:after="0" w:line="240" w:lineRule="auto"/>
        <w:ind w:left="0" w:right="0" w:firstLine="380"/>
        <w:jc w:val="both"/>
      </w:pPr>
      <w:bookmarkStart w:id="98" w:name="bookmark98"/>
      <w:bookmarkEnd w:id="98"/>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Nejpozději do 31.12.2025</w:t>
      </w:r>
    </w:p>
    <w:p>
      <w:pPr>
        <w:pStyle w:val="Style2"/>
        <w:keepNext w:val="0"/>
        <w:keepLines w:val="0"/>
        <w:widowControl w:val="0"/>
        <w:numPr>
          <w:ilvl w:val="0"/>
          <w:numId w:val="7"/>
        </w:numPr>
        <w:shd w:val="clear" w:color="auto" w:fill="auto"/>
        <w:tabs>
          <w:tab w:pos="772" w:val="left"/>
        </w:tabs>
        <w:bidi w:val="0"/>
        <w:spacing w:before="0" w:after="0" w:line="240" w:lineRule="auto"/>
        <w:ind w:left="0" w:right="0" w:firstLine="380"/>
        <w:jc w:val="both"/>
      </w:pPr>
      <w:bookmarkStart w:id="99" w:name="bookmark99"/>
      <w:bookmarkEnd w:id="99"/>
      <w:r>
        <w:rPr>
          <w:b/>
          <w:bCs/>
          <w:color w:val="000000"/>
          <w:spacing w:val="0"/>
          <w:w w:val="100"/>
          <w:position w:val="0"/>
          <w:shd w:val="clear" w:color="auto" w:fill="auto"/>
          <w:lang w:val="cs-CZ" w:eastAsia="cs-CZ" w:bidi="cs-CZ"/>
        </w:rPr>
        <w:t>vyklizení místa plnění:</w:t>
      </w:r>
    </w:p>
    <w:p>
      <w:pPr>
        <w:pStyle w:val="Style2"/>
        <w:keepNext w:val="0"/>
        <w:keepLines w:val="0"/>
        <w:widowControl w:val="0"/>
        <w:shd w:val="clear" w:color="auto" w:fill="auto"/>
        <w:bidi w:val="0"/>
        <w:spacing w:before="0" w:line="240" w:lineRule="auto"/>
        <w:ind w:left="720" w:right="0" w:firstLine="60"/>
        <w:jc w:val="both"/>
      </w:pPr>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7"/>
        </w:numPr>
        <w:shd w:val="clear" w:color="auto" w:fill="auto"/>
        <w:tabs>
          <w:tab w:pos="812" w:val="left"/>
        </w:tabs>
        <w:bidi w:val="0"/>
        <w:spacing w:before="0" w:after="260" w:line="288" w:lineRule="auto"/>
        <w:ind w:left="720" w:right="0" w:hanging="300"/>
        <w:jc w:val="both"/>
      </w:pPr>
      <w:bookmarkStart w:id="100" w:name="bookmark100"/>
      <w:bookmarkEnd w:id="100"/>
      <w:r>
        <w:rPr>
          <w:color w:val="000000"/>
          <w:spacing w:val="0"/>
          <w:w w:val="100"/>
          <w:position w:val="0"/>
          <w:shd w:val="clear" w:color="auto" w:fill="auto"/>
          <w:lang w:val="cs-CZ" w:eastAsia="cs-CZ" w:bidi="cs-CZ"/>
        </w:rPr>
        <w:t>Kácení dřevin je možné provádět pouze v době vegetačního klidu, tj. od 1.11. do 31.3. příslušného kalendářního roku.</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shd w:val="clear" w:color="auto" w:fill="auto"/>
        <w:bidi w:val="0"/>
        <w:spacing w:before="0" w:line="240" w:lineRule="auto"/>
        <w:ind w:left="380" w:right="0" w:firstLine="40"/>
        <w:jc w:val="both"/>
        <w:sectPr>
          <w:headerReference w:type="default" r:id="rId5"/>
          <w:footerReference w:type="default" r:id="rId6"/>
          <w:footnotePr>
            <w:pos w:val="pageBottom"/>
            <w:numFmt w:val="decimal"/>
            <w:numRestart w:val="continuous"/>
          </w:footnotePr>
          <w:pgSz w:w="11909" w:h="16838"/>
          <w:pgMar w:top="1089" w:left="1392" w:right="1387" w:bottom="1233" w:header="0" w:footer="3" w:gutter="0"/>
          <w:pgNumType w:start="1"/>
          <w:cols w:space="720"/>
          <w:noEndnote/>
          <w:rtlGutter w:val="0"/>
          <w:docGrid w:linePitch="360"/>
        </w:sectPr>
      </w:pPr>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after="120" w:line="288" w:lineRule="auto"/>
        <w:ind w:left="380" w:right="0" w:hanging="380"/>
        <w:jc w:val="both"/>
      </w:pPr>
      <w:bookmarkStart w:id="101" w:name="bookmark101"/>
      <w:bookmarkEnd w:id="101"/>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2"/>
        <w:keepNext w:val="0"/>
        <w:keepLines w:val="0"/>
        <w:widowControl w:val="0"/>
        <w:shd w:val="clear" w:color="auto" w:fill="auto"/>
        <w:bidi w:val="0"/>
        <w:spacing w:before="0" w:line="264"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 za dílo: 189.590,00 Kč bez DPH</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05" w:name="bookmark105"/>
      <w:bookmarkEnd w:id="105"/>
      <w:r>
        <w:rPr>
          <w:b/>
          <w:bCs/>
          <w:color w:val="000000"/>
          <w:spacing w:val="0"/>
          <w:w w:val="100"/>
          <w:position w:val="0"/>
          <w:shd w:val="clear" w:color="auto" w:fill="auto"/>
          <w:lang w:val="cs-CZ" w:eastAsia="cs-CZ" w:bidi="cs-CZ"/>
        </w:rPr>
        <w:t xml:space="preserve">Odkoupení dřevní hmoty </w:t>
      </w:r>
      <w:r>
        <w:rPr>
          <w:color w:val="000000"/>
          <w:spacing w:val="0"/>
          <w:w w:val="100"/>
          <w:position w:val="0"/>
          <w:shd w:val="clear" w:color="auto" w:fill="auto"/>
          <w:lang w:val="cs-CZ" w:eastAsia="cs-CZ" w:bidi="cs-CZ"/>
        </w:rPr>
        <w:t xml:space="preserve">– Vytěženou dřevní hmotu odkoupí zhotovitel od objednatele </w:t>
      </w:r>
      <w:r>
        <w:rPr>
          <w:b/>
          <w:bCs/>
          <w:color w:val="000000"/>
          <w:spacing w:val="0"/>
          <w:w w:val="100"/>
          <w:position w:val="0"/>
          <w:shd w:val="clear" w:color="auto" w:fill="auto"/>
          <w:lang w:val="cs-CZ" w:eastAsia="cs-CZ" w:bidi="cs-CZ"/>
        </w:rPr>
        <w:t xml:space="preserve">za cenu 59.920,00 Kč bez DPH </w:t>
      </w:r>
      <w:r>
        <w:rPr>
          <w:color w:val="000000"/>
          <w:spacing w:val="0"/>
          <w:w w:val="100"/>
          <w:position w:val="0"/>
          <w:shd w:val="clear" w:color="auto" w:fill="auto"/>
          <w:lang w:val="cs-CZ" w:eastAsia="cs-CZ" w:bidi="cs-CZ"/>
        </w:rPr>
        <w:t>(výpočet: 500 Kč bez DPH x 119,84 plm). K ceně vytěžené dřevní hmoty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107" w:name="bookmark107"/>
      <w:bookmarkEnd w:id="107"/>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 xml:space="preserve">Cena za dílo bude hrazena průběžně po dokončení uceleně provedených a objednatelem odsouhlasených prací. </w:t>
      </w:r>
      <w:r>
        <w:rPr>
          <w:b/>
          <w:bCs/>
          <w:color w:val="000000"/>
          <w:spacing w:val="0"/>
          <w:w w:val="100"/>
          <w:position w:val="0"/>
          <w:shd w:val="clear" w:color="auto" w:fill="auto"/>
          <w:lang w:val="cs-CZ" w:eastAsia="cs-CZ" w:bidi="cs-CZ"/>
        </w:rPr>
        <w:t>Veškeré daňové doklady je zhotovitel povinen vystavovat nejpozději do 10 kalendářních dnů ode dne uskutečnění plnění.</w:t>
      </w:r>
    </w:p>
    <w:p>
      <w:pPr>
        <w:pStyle w:val="Style2"/>
        <w:keepNext w:val="0"/>
        <w:keepLines w:val="0"/>
        <w:widowControl w:val="0"/>
        <w:numPr>
          <w:ilvl w:val="0"/>
          <w:numId w:val="11"/>
        </w:numPr>
        <w:shd w:val="clear" w:color="auto" w:fill="auto"/>
        <w:tabs>
          <w:tab w:pos="382" w:val="left"/>
        </w:tabs>
        <w:bidi w:val="0"/>
        <w:spacing w:before="0" w:after="60" w:line="240" w:lineRule="auto"/>
        <w:ind w:left="0" w:right="0" w:firstLine="0"/>
        <w:jc w:val="both"/>
      </w:pPr>
      <w:bookmarkStart w:id="109" w:name="bookmark109"/>
      <w:bookmarkEnd w:id="109"/>
      <w:r>
        <w:rPr>
          <w:color w:val="000000"/>
          <w:spacing w:val="0"/>
          <w:w w:val="100"/>
          <w:position w:val="0"/>
          <w:shd w:val="clear" w:color="auto" w:fill="auto"/>
          <w:lang w:val="cs-CZ" w:eastAsia="cs-CZ" w:bidi="cs-CZ"/>
        </w:rPr>
        <w:t>Zdanitelné plnění se považuje za uskutečněné:</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110" w:name="bookmark110"/>
      <w:bookmarkEnd w:id="110"/>
      <w:r>
        <w:rPr>
          <w:color w:val="000000"/>
          <w:spacing w:val="0"/>
          <w:w w:val="100"/>
          <w:position w:val="0"/>
          <w:shd w:val="clear" w:color="auto" w:fill="auto"/>
          <w:lang w:val="cs-CZ" w:eastAsia="cs-CZ" w:bidi="cs-CZ"/>
        </w:rPr>
        <w:t xml:space="preserve">u jednorázového samostatného dílčího plnění uceleně provedených a objednatelem odsouhlasených prací, které bude dokončeno </w:t>
      </w:r>
      <w:r>
        <w:rPr>
          <w:b/>
          <w:bCs/>
          <w:color w:val="000000"/>
          <w:spacing w:val="0"/>
          <w:w w:val="100"/>
          <w:position w:val="0"/>
          <w:shd w:val="clear" w:color="auto" w:fill="auto"/>
          <w:lang w:val="cs-CZ" w:eastAsia="cs-CZ" w:bidi="cs-CZ"/>
        </w:rPr>
        <w:t>do 31.03.2025</w:t>
      </w:r>
      <w:r>
        <w:rPr>
          <w:color w:val="000000"/>
          <w:spacing w:val="0"/>
          <w:w w:val="100"/>
          <w:position w:val="0"/>
          <w:shd w:val="clear" w:color="auto" w:fill="auto"/>
          <w:lang w:val="cs-CZ" w:eastAsia="cs-CZ" w:bidi="cs-CZ"/>
        </w:rPr>
        <w:t>, k datu předání a převzetí dílčího plnění uvedeného na dílčím předávacím a přejímacím protokolu.</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111" w:name="bookmark111"/>
      <w:bookmarkEnd w:id="111"/>
      <w:r>
        <w:rPr>
          <w:color w:val="000000"/>
          <w:spacing w:val="0"/>
          <w:w w:val="100"/>
          <w:position w:val="0"/>
          <w:shd w:val="clear" w:color="auto" w:fill="auto"/>
          <w:lang w:val="cs-CZ" w:eastAsia="cs-CZ" w:bidi="cs-CZ"/>
        </w:rPr>
        <w:t>po dokončení díla dnem předání a převzetí díla uvedeného na předávacím a přejímacím protokolu.</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Konečný daňový doklad bude vystaven na celkovou hodnotu díla s rozpisem všech dílčích plateb a jeho nedílnou součástí bude předávací a přejímací protokol.</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rPr>
          <w:sz w:val="18"/>
          <w:szCs w:val="18"/>
        </w:rPr>
        <w:sectPr>
          <w:headerReference w:type="default" r:id="rId7"/>
          <w:footerReference w:type="default" r:id="rId8"/>
          <w:footnotePr>
            <w:pos w:val="pageBottom"/>
            <w:numFmt w:val="decimal"/>
            <w:numRestart w:val="continuous"/>
          </w:footnotePr>
          <w:pgSz w:w="11909" w:h="16838"/>
          <w:pgMar w:top="1411" w:left="1394" w:right="1384" w:bottom="878" w:header="0" w:footer="450" w:gutter="0"/>
          <w:cols w:space="720"/>
          <w:noEndnote/>
          <w:rtlGutter w:val="0"/>
          <w:docGrid w:linePitch="360"/>
        </w:sectPr>
      </w:pPr>
      <w:bookmarkStart w:id="112" w:name="bookmark112"/>
      <w:bookmarkEnd w:id="112"/>
      <w:r>
        <w:rPr>
          <w:color w:val="000000"/>
          <w:spacing w:val="0"/>
          <w:w w:val="100"/>
          <w:position w:val="0"/>
          <w:sz w:val="22"/>
          <w:szCs w:val="22"/>
          <w:shd w:val="clear" w:color="auto" w:fill="auto"/>
          <w:lang w:val="cs-CZ" w:eastAsia="cs-CZ" w:bidi="cs-CZ"/>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w:t>
      </w:r>
      <w:r>
        <w:rPr>
          <w:color w:val="000000"/>
          <w:spacing w:val="0"/>
          <w:w w:val="100"/>
          <w:position w:val="0"/>
          <w:sz w:val="18"/>
          <w:szCs w:val="18"/>
          <w:shd w:val="clear" w:color="auto" w:fill="auto"/>
          <w:lang w:val="cs-CZ" w:eastAsia="cs-CZ" w:bidi="cs-CZ"/>
        </w:rPr>
        <w:t xml:space="preserve">Stránka </w:t>
      </w:r>
      <w:r>
        <w:rPr>
          <w:b/>
          <w:bCs/>
          <w:color w:val="000000"/>
          <w:spacing w:val="0"/>
          <w:w w:val="100"/>
          <w:position w:val="0"/>
          <w:sz w:val="18"/>
          <w:szCs w:val="18"/>
          <w:shd w:val="clear" w:color="auto" w:fill="auto"/>
          <w:lang w:val="cs-CZ" w:eastAsia="cs-CZ" w:bidi="cs-CZ"/>
        </w:rPr>
        <w:t xml:space="preserve">4 </w:t>
      </w:r>
      <w:r>
        <w:rPr>
          <w:color w:val="000000"/>
          <w:spacing w:val="0"/>
          <w:w w:val="100"/>
          <w:position w:val="0"/>
          <w:sz w:val="18"/>
          <w:szCs w:val="18"/>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9</w:t>
      </w:r>
    </w:p>
    <w:p>
      <w:pPr>
        <w:pStyle w:val="Style2"/>
        <w:keepNext w:val="0"/>
        <w:keepLines w:val="0"/>
        <w:widowControl w:val="0"/>
        <w:shd w:val="clear" w:color="auto" w:fill="auto"/>
        <w:bidi w:val="0"/>
        <w:spacing w:before="120" w:after="0" w:line="240" w:lineRule="auto"/>
        <w:ind w:left="380" w:right="0" w:firstLine="0"/>
        <w:jc w:val="both"/>
      </w:pPr>
      <w:r>
        <w:rPr>
          <w:color w:val="000000"/>
          <w:spacing w:val="0"/>
          <w:w w:val="100"/>
          <w:position w:val="0"/>
          <w:shd w:val="clear" w:color="auto" w:fill="auto"/>
          <w:lang w:val="cs-CZ" w:eastAsia="cs-CZ" w:bidi="cs-CZ"/>
        </w:rPr>
        <w:t>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Úhrada za odkup dřevní hmoty bude provedena vzájemným zápočtem daňových dokladů při fakturaci těžebních prací zhotovitelem.</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60" w:val="left"/>
        </w:tabs>
        <w:bidi w:val="0"/>
        <w:spacing w:before="0" w:line="240" w:lineRule="auto"/>
        <w:ind w:left="0" w:right="0" w:firstLine="0"/>
        <w:jc w:val="both"/>
      </w:pPr>
      <w:bookmarkStart w:id="115" w:name="bookmark115"/>
      <w:bookmarkEnd w:id="115"/>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502" w:val="left"/>
        </w:tabs>
        <w:bidi w:val="0"/>
        <w:spacing w:before="0" w:after="18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502" w:val="left"/>
        </w:tabs>
        <w:bidi w:val="0"/>
        <w:spacing w:before="0" w:after="18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128" w:name="bookmark128"/>
      <w:bookmarkEnd w:id="128"/>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3"/>
        </w:numPr>
        <w:shd w:val="clear" w:color="auto" w:fill="auto"/>
        <w:tabs>
          <w:tab w:pos="973" w:val="left"/>
        </w:tabs>
        <w:bidi w:val="0"/>
        <w:spacing w:before="0" w:after="0" w:line="240" w:lineRule="auto"/>
        <w:ind w:left="0" w:right="0" w:firstLine="380"/>
        <w:jc w:val="both"/>
      </w:pPr>
      <w:bookmarkStart w:id="129" w:name="bookmark129"/>
      <w:bookmarkEnd w:id="129"/>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3"/>
        </w:numPr>
        <w:shd w:val="clear" w:color="auto" w:fill="auto"/>
        <w:tabs>
          <w:tab w:pos="973" w:val="left"/>
        </w:tabs>
        <w:bidi w:val="0"/>
        <w:spacing w:before="0" w:after="0" w:line="240" w:lineRule="auto"/>
        <w:ind w:left="1020" w:right="0" w:hanging="600"/>
        <w:jc w:val="both"/>
      </w:pPr>
      <w:bookmarkStart w:id="130" w:name="bookmark130"/>
      <w:bookmarkEnd w:id="13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3"/>
        </w:numPr>
        <w:shd w:val="clear" w:color="auto" w:fill="auto"/>
        <w:tabs>
          <w:tab w:pos="973" w:val="left"/>
        </w:tabs>
        <w:bidi w:val="0"/>
        <w:spacing w:before="0" w:after="0" w:line="240" w:lineRule="auto"/>
        <w:ind w:left="1020" w:right="0" w:hanging="600"/>
        <w:jc w:val="both"/>
      </w:pPr>
      <w:bookmarkStart w:id="131" w:name="bookmark131"/>
      <w:bookmarkEnd w:id="13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82" w:val="left"/>
        </w:tabs>
        <w:bidi w:val="0"/>
        <w:spacing w:before="0" w:after="18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82" w:val="left"/>
        </w:tabs>
        <w:bidi w:val="0"/>
        <w:spacing w:before="0" w:after="18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8" w:val="left"/>
        </w:tabs>
        <w:bidi w:val="0"/>
        <w:spacing w:before="0" w:after="18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8" w:val="left"/>
        </w:tabs>
        <w:bidi w:val="0"/>
        <w:spacing w:before="0" w:after="18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8" w:val="left"/>
        </w:tabs>
        <w:bidi w:val="0"/>
        <w:spacing w:before="0" w:after="18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1"/>
        </w:numPr>
        <w:shd w:val="clear" w:color="auto" w:fill="auto"/>
        <w:tabs>
          <w:tab w:pos="358" w:val="left"/>
        </w:tabs>
        <w:bidi w:val="0"/>
        <w:spacing w:before="0" w:after="18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numPr>
          <w:ilvl w:val="0"/>
          <w:numId w:val="21"/>
        </w:numPr>
        <w:shd w:val="clear" w:color="auto" w:fill="auto"/>
        <w:tabs>
          <w:tab w:pos="358" w:val="left"/>
        </w:tabs>
        <w:bidi w:val="0"/>
        <w:spacing w:before="0" w:after="30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Zhotovitel bere na vědomí, že okamžikem oddělení kmene od pařezu se dřevní hmota stává movitou věcí a vlastnické právo k ní přechází na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8" w:val="left"/>
        </w:tabs>
        <w:bidi w:val="0"/>
        <w:spacing w:before="0" w:after="18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8" w:val="left"/>
        </w:tabs>
        <w:bidi w:val="0"/>
        <w:spacing w:before="0" w:after="18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after="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42"/>
      <w:bookmarkEnd w:id="143"/>
      <w:bookmarkEnd w:id="145"/>
    </w:p>
    <w:p>
      <w:pPr>
        <w:pStyle w:val="Style1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bezdůvodném přerušení prací zhotovitele, které trvá více než 14 dnů,</w:t>
      </w:r>
      <w:bookmarkEnd w:id="146"/>
      <w:bookmarkEnd w:id="147"/>
      <w:bookmarkEnd w:id="149"/>
    </w:p>
    <w:p>
      <w:pPr>
        <w:pStyle w:val="Style12"/>
        <w:keepNext/>
        <w:keepLines/>
        <w:widowControl w:val="0"/>
        <w:numPr>
          <w:ilvl w:val="0"/>
          <w:numId w:val="25"/>
        </w:numPr>
        <w:shd w:val="clear" w:color="auto" w:fill="auto"/>
        <w:tabs>
          <w:tab w:pos="1376" w:val="left"/>
        </w:tabs>
        <w:bidi w:val="0"/>
        <w:spacing w:before="0" w:after="0" w:line="240" w:lineRule="auto"/>
        <w:ind w:left="1160" w:right="0" w:hanging="36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50"/>
      <w:bookmarkEnd w:id="151"/>
      <w:bookmarkEnd w:id="153"/>
    </w:p>
    <w:p>
      <w:pPr>
        <w:pStyle w:val="Style12"/>
        <w:keepNext/>
        <w:keepLines/>
        <w:widowControl w:val="0"/>
        <w:numPr>
          <w:ilvl w:val="0"/>
          <w:numId w:val="25"/>
        </w:numPr>
        <w:shd w:val="clear" w:color="auto" w:fill="auto"/>
        <w:tabs>
          <w:tab w:pos="1376" w:val="left"/>
        </w:tabs>
        <w:bidi w:val="0"/>
        <w:spacing w:before="0" w:after="180" w:line="240" w:lineRule="auto"/>
        <w:ind w:left="0" w:right="0" w:firstLine="80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neplněním povinností zhotovitele vést řádně zápisy do stavebního deníku.</w:t>
      </w:r>
      <w:bookmarkEnd w:id="154"/>
      <w:bookmarkEnd w:id="155"/>
      <w:bookmarkEnd w:id="157"/>
    </w:p>
    <w:p>
      <w:pPr>
        <w:pStyle w:val="Style2"/>
        <w:keepNext w:val="0"/>
        <w:keepLines w:val="0"/>
        <w:widowControl w:val="0"/>
        <w:numPr>
          <w:ilvl w:val="0"/>
          <w:numId w:val="23"/>
        </w:numPr>
        <w:shd w:val="clear" w:color="auto" w:fill="auto"/>
        <w:tabs>
          <w:tab w:pos="358" w:val="left"/>
        </w:tabs>
        <w:bidi w:val="0"/>
        <w:spacing w:before="0" w:after="18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42" w:val="left"/>
        </w:tabs>
        <w:bidi w:val="0"/>
        <w:spacing w:before="0" w:after="0" w:line="240" w:lineRule="auto"/>
        <w:ind w:left="0" w:right="0" w:firstLine="0"/>
        <w:jc w:val="both"/>
      </w:pPr>
      <w:bookmarkStart w:id="166" w:name="bookmark166"/>
      <w:bookmarkEnd w:id="166"/>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shd w:val="clear" w:color="auto" w:fill="auto"/>
        <w:bidi w:val="0"/>
        <w:spacing w:before="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2" w:val="left"/>
        </w:tabs>
        <w:bidi w:val="0"/>
        <w:spacing w:before="0" w:after="0" w:line="240" w:lineRule="auto"/>
        <w:ind w:left="380" w:right="0" w:hanging="380"/>
        <w:jc w:val="left"/>
      </w:pPr>
      <w:bookmarkStart w:id="169" w:name="bookmark169"/>
      <w:bookmarkEnd w:id="16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1: Taxace dřevin</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2: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line="240" w:lineRule="auto"/>
        <w:ind w:left="1460" w:right="0" w:hanging="1080"/>
        <w:jc w:val="left"/>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sectPr>
          <w:headerReference w:type="default" r:id="rId9"/>
          <w:footerReference w:type="default" r:id="rId10"/>
          <w:footnotePr>
            <w:pos w:val="pageBottom"/>
            <w:numFmt w:val="decimal"/>
            <w:numRestart w:val="continuous"/>
          </w:footnotePr>
          <w:pgSz w:w="11909" w:h="16838"/>
          <w:pgMar w:top="1083" w:left="1392" w:right="1386" w:bottom="1245" w:header="0" w:footer="3" w:gutter="0"/>
          <w:cols w:space="720"/>
          <w:noEndnote/>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4086225</wp:posOffset>
                </wp:positionH>
                <wp:positionV relativeFrom="paragraph">
                  <wp:posOffset>12700</wp:posOffset>
                </wp:positionV>
                <wp:extent cx="1222375" cy="228600"/>
                <wp:wrapSquare wrapText="left"/>
                <wp:docPr id="13" name="Shape 13"/>
                <a:graphic xmlns:a="http://schemas.openxmlformats.org/drawingml/2006/main">
                  <a:graphicData uri="http://schemas.microsoft.com/office/word/2010/wordprocessingShape">
                    <wps:wsp>
                      <wps:cNvSpPr txBox="1"/>
                      <wps:spPr>
                        <a:xfrm>
                          <a:ext cx="122237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wps:txbx>
                      <wps:bodyPr wrap="none" lIns="0" tIns="0" rIns="0" bIns="0">
                        <a:noAutoFit/>
                      </wps:bodyPr>
                    </wps:wsp>
                  </a:graphicData>
                </a:graphic>
              </wp:anchor>
            </w:drawing>
          </mc:Choice>
          <mc:Fallback>
            <w:pict>
              <v:shape id="_x0000_s1039" type="#_x0000_t202" style="position:absolute;margin-left:321.75pt;margin-top:1.pt;width:96.25pt;height:18.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v:textbox>
                <w10:wrap type="square" side="left" anchorx="page"/>
              </v:shape>
            </w:pict>
          </mc:Fallback>
        </mc:AlternateContent>
      </w:r>
      <w:r>
        <w:rPr>
          <w:color w:val="000000"/>
          <w:spacing w:val="0"/>
          <w:w w:val="100"/>
          <w:position w:val="0"/>
          <w:shd w:val="clear" w:color="auto" w:fill="auto"/>
          <w:lang w:val="cs-CZ" w:eastAsia="cs-CZ" w:bidi="cs-CZ"/>
        </w:rPr>
        <w:t>Digitálně podepsal: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2" w:after="11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Povodí Ohře, státní podnik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Radek Kubač</w:t>
      </w:r>
    </w:p>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5991225</wp:posOffset>
              </wp:positionH>
              <wp:positionV relativeFrom="page">
                <wp:posOffset>9970135</wp:posOffset>
              </wp:positionV>
              <wp:extent cx="673735" cy="164465"/>
              <wp:wrapNone/>
              <wp:docPr id="5" name="Shape 5"/>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1" type="#_x0000_t202" style="position:absolute;margin-left:471.75pt;margin-top:785.05000000000007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5991225</wp:posOffset>
              </wp:positionH>
              <wp:positionV relativeFrom="page">
                <wp:posOffset>9970135</wp:posOffset>
              </wp:positionV>
              <wp:extent cx="673735" cy="164465"/>
              <wp:wrapNone/>
              <wp:docPr id="11" name="Shape 11"/>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7" type="#_x0000_t202" style="position:absolute;margin-left:471.75pt;margin-top:785.05000000000007pt;width:53.050000000000004pt;height:12.95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3363595</wp:posOffset>
              </wp:positionH>
              <wp:positionV relativeFrom="page">
                <wp:posOffset>388620</wp:posOffset>
              </wp:positionV>
              <wp:extent cx="838200" cy="173990"/>
              <wp:wrapNone/>
              <wp:docPr id="3" name="Shape 3"/>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29" type="#_x0000_t202" style="position:absolute;margin-left:264.85000000000002pt;margin-top:30.60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3362960</wp:posOffset>
              </wp:positionH>
              <wp:positionV relativeFrom="page">
                <wp:posOffset>438785</wp:posOffset>
              </wp:positionV>
              <wp:extent cx="838200" cy="173990"/>
              <wp:wrapNone/>
              <wp:docPr id="7" name="Shape 7"/>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264.80000000000001pt;margin-top:34.550000000000004pt;width:66.pt;height:13.70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3363595</wp:posOffset>
              </wp:positionH>
              <wp:positionV relativeFrom="page">
                <wp:posOffset>388620</wp:posOffset>
              </wp:positionV>
              <wp:extent cx="838200" cy="173990"/>
              <wp:wrapNone/>
              <wp:docPr id="9" name="Shape 9"/>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264.85000000000002pt;margin-top:30.600000000000001pt;width:66.pt;height:13.700000000000001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6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ind w:left="380" w:hanging="340"/>
      <w:outlineLvl w:val="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