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096" w:h="202" w:hRule="exact" w:wrap="none" w:vAnchor="page" w:hAnchor="page" w:x="1401" w:y="611"/>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34" w:h="1416" w:hRule="exact" w:wrap="none" w:vAnchor="page" w:hAnchor="page" w:x="1387" w:y="87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8"/>
        <w:keepNext w:val="0"/>
        <w:keepLines w:val="0"/>
        <w:framePr w:w="9134" w:h="1416" w:hRule="exact" w:wrap="none" w:vAnchor="page" w:hAnchor="page" w:x="1387" w:y="87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SMLOUVA O DÍLO č. OMI-VZMR-2025-02</w:t>
      </w:r>
    </w:p>
    <w:p>
      <w:pPr>
        <w:pStyle w:val="Style10"/>
        <w:keepNext w:val="0"/>
        <w:keepLines w:val="0"/>
        <w:framePr w:w="9134" w:h="1416" w:hRule="exact" w:wrap="none" w:vAnchor="page" w:hAnchor="page" w:x="1387" w:y="875"/>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uzavřená podle ust. § 2586 a následujících ustanovení zák. č. 89/2012 Sb., občanský zákoník, ve znění</w:t>
        <w:br/>
        <w:t>pozdějších předpisů</w:t>
      </w:r>
    </w:p>
    <w:p>
      <w:pPr>
        <w:pStyle w:val="Style10"/>
        <w:keepNext w:val="0"/>
        <w:keepLines w:val="0"/>
        <w:framePr w:w="9134" w:h="1416" w:hRule="exact" w:wrap="none" w:vAnchor="page" w:hAnchor="page" w:x="1387" w:y="87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xml:space="preserve">(dále jen </w:t>
      </w:r>
      <w:r>
        <w:rPr>
          <w:b/>
          <w:bCs/>
          <w:i/>
          <w:iCs/>
          <w:color w:val="000000"/>
          <w:spacing w:val="0"/>
          <w:w w:val="100"/>
          <w:position w:val="0"/>
          <w:sz w:val="22"/>
          <w:szCs w:val="22"/>
          <w:shd w:val="clear" w:color="auto" w:fill="auto"/>
          <w:lang w:val="cs-CZ" w:eastAsia="cs-CZ" w:bidi="cs-CZ"/>
        </w:rPr>
        <w:t>„občanský zákoník")</w:t>
      </w:r>
    </w:p>
    <w:p>
      <w:pPr>
        <w:pStyle w:val="Style8"/>
        <w:keepNext w:val="0"/>
        <w:keepLines w:val="0"/>
        <w:framePr w:w="9134" w:h="11885" w:hRule="exact" w:wrap="none" w:vAnchor="page" w:hAnchor="page" w:x="1387" w:y="2963"/>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cs-CZ" w:eastAsia="cs-CZ" w:bidi="cs-CZ"/>
        </w:rPr>
        <w:t>Smluvní strany</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Statutární město Pardubice</w:t>
      </w:r>
    </w:p>
    <w:p>
      <w:pPr>
        <w:pStyle w:val="Style10"/>
        <w:keepNext w:val="0"/>
        <w:keepLines w:val="0"/>
        <w:framePr w:w="9134" w:h="11885" w:hRule="exact" w:wrap="none" w:vAnchor="page" w:hAnchor="page" w:x="1387" w:y="2963"/>
        <w:widowControl w:val="0"/>
        <w:shd w:val="clear" w:color="auto" w:fill="auto"/>
        <w:tabs>
          <w:tab w:pos="1394"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Pernštýnské náměstí 1</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530 21 Pardubice</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smluvních: Ing. Kateřinou Skladanovou - vedoucí Odboru majetku a investic MmP</w:t>
      </w:r>
    </w:p>
    <w:p>
      <w:pPr>
        <w:pStyle w:val="Style10"/>
        <w:keepNext w:val="0"/>
        <w:keepLines w:val="0"/>
        <w:framePr w:w="9134" w:h="11885" w:hRule="exact" w:wrap="none" w:vAnchor="page" w:hAnchor="page" w:x="1387" w:y="2963"/>
        <w:widowControl w:val="0"/>
        <w:shd w:val="clear" w:color="auto" w:fill="auto"/>
        <w:tabs>
          <w:tab w:pos="4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technických:</w:t>
        <w:tab/>
        <w:t xml:space="preserve">- technikem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investic a technické správy</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Odboru majetku a investic MmP</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466 859 132, 736 519 080 e-mail:</w:t>
      </w:r>
    </w:p>
    <w:p>
      <w:pPr>
        <w:pStyle w:val="Style10"/>
        <w:keepNext w:val="0"/>
        <w:keepLines w:val="0"/>
        <w:framePr w:w="9134" w:h="11885" w:hRule="exact" w:wrap="none" w:vAnchor="page" w:hAnchor="page" w:x="1387" w:y="2963"/>
        <w:widowControl w:val="0"/>
        <w:shd w:val="clear" w:color="auto" w:fill="auto"/>
        <w:tabs>
          <w:tab w:pos="286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 00274046</w:t>
        <w:tab/>
        <w:t>DIČ: CZ00274046</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bankovní spojení: KB, a.s., Pardubice číslo účtu:</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z w:val="22"/>
          <w:szCs w:val="22"/>
          <w:shd w:val="clear" w:color="auto" w:fill="auto"/>
          <w:lang w:val="cs-CZ" w:eastAsia="cs-CZ" w:bidi="cs-CZ"/>
        </w:rPr>
        <w:t>„objednatel")</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b/>
          <w:bCs/>
          <w:color w:val="000000"/>
          <w:spacing w:val="0"/>
          <w:w w:val="100"/>
          <w:position w:val="0"/>
          <w:shd w:val="clear" w:color="auto" w:fill="auto"/>
          <w:lang w:val="cs-CZ" w:eastAsia="cs-CZ" w:bidi="cs-CZ"/>
        </w:rPr>
        <w:t>a</w:t>
      </w:r>
    </w:p>
    <w:p>
      <w:pPr>
        <w:pStyle w:val="Style10"/>
        <w:keepNext w:val="0"/>
        <w:keepLines w:val="0"/>
        <w:framePr w:w="9134" w:h="11885" w:hRule="exact" w:wrap="none" w:vAnchor="page" w:hAnchor="page" w:x="1387" w:y="2963"/>
        <w:widowControl w:val="0"/>
        <w:shd w:val="clear" w:color="auto" w:fill="auto"/>
        <w:tabs>
          <w:tab w:pos="13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tab/>
        <w:t>IngPro Litoměřice, s.r.o.</w:t>
      </w:r>
    </w:p>
    <w:p>
      <w:pPr>
        <w:pStyle w:val="Style10"/>
        <w:keepNext w:val="0"/>
        <w:keepLines w:val="0"/>
        <w:framePr w:w="9134" w:h="11885" w:hRule="exact" w:wrap="none" w:vAnchor="page" w:hAnchor="page" w:x="1387" w:y="2963"/>
        <w:widowControl w:val="0"/>
        <w:shd w:val="clear" w:color="auto" w:fill="auto"/>
        <w:tabs>
          <w:tab w:pos="1394"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Velká Dominikánská 129/10</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412 01 Litoměřice</w:t>
      </w:r>
    </w:p>
    <w:p>
      <w:pPr>
        <w:pStyle w:val="Style10"/>
        <w:keepNext w:val="0"/>
        <w:keepLines w:val="0"/>
        <w:framePr w:w="9134" w:h="11885" w:hRule="exact" w:wrap="none" w:vAnchor="page" w:hAnchor="page" w:x="1387" w:y="2963"/>
        <w:widowControl w:val="0"/>
        <w:shd w:val="clear" w:color="auto" w:fill="auto"/>
        <w:tabs>
          <w:tab w:pos="4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smluvních:</w:t>
        <w:tab/>
        <w:t>-jednatel</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technických:</w:t>
      </w:r>
    </w:p>
    <w:p>
      <w:pPr>
        <w:pStyle w:val="Style10"/>
        <w:keepNext w:val="0"/>
        <w:keepLines w:val="0"/>
        <w:framePr w:w="9134" w:h="11885" w:hRule="exact" w:wrap="none" w:vAnchor="page" w:hAnchor="page" w:x="1387" w:y="29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10"/>
        <w:keepNext w:val="0"/>
        <w:keepLines w:val="0"/>
        <w:framePr w:w="9134" w:h="11885" w:hRule="exact" w:wrap="none" w:vAnchor="page" w:hAnchor="page" w:x="1387" w:y="2963"/>
        <w:widowControl w:val="0"/>
        <w:shd w:val="clear" w:color="auto" w:fill="auto"/>
        <w:tabs>
          <w:tab w:pos="255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IČO:27301176</w:t>
        <w:tab/>
        <w:t>DIČ: CZ27301176</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společnost je zapsána v obchodním rejstříku vedeném Krajským soudem v Ústí nad Labem, oddíl C, vložka 23345 bankovní spojení: Komerční banka, a.s. číslo účtu:</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z w:val="22"/>
          <w:szCs w:val="22"/>
          <w:shd w:val="clear" w:color="auto" w:fill="auto"/>
          <w:lang w:val="cs-CZ" w:eastAsia="cs-CZ" w:bidi="cs-CZ"/>
        </w:rPr>
        <w:t>„zhotovitel")</w:t>
      </w:r>
    </w:p>
    <w:p>
      <w:pPr>
        <w:pStyle w:val="Style10"/>
        <w:keepNext w:val="0"/>
        <w:keepLines w:val="0"/>
        <w:framePr w:w="9134" w:h="11885" w:hRule="exact" w:wrap="none" w:vAnchor="page" w:hAnchor="page" w:x="1387" w:y="2963"/>
        <w:widowControl w:val="0"/>
        <w:shd w:val="clear" w:color="auto" w:fill="auto"/>
        <w:bidi w:val="0"/>
        <w:spacing w:before="0" w:after="260" w:line="240" w:lineRule="auto"/>
        <w:ind w:left="0" w:right="0" w:firstLine="0"/>
        <w:jc w:val="left"/>
      </w:pPr>
      <w:r>
        <w:rPr>
          <w:b/>
          <w:bCs/>
          <w:i/>
          <w:iCs/>
          <w:color w:val="000000"/>
          <w:spacing w:val="0"/>
          <w:w w:val="100"/>
          <w:position w:val="0"/>
          <w:sz w:val="22"/>
          <w:szCs w:val="22"/>
          <w:shd w:val="clear" w:color="auto" w:fill="auto"/>
          <w:lang w:val="cs-CZ" w:eastAsia="cs-CZ" w:bidi="cs-CZ"/>
        </w:rPr>
        <w:t>(„objednatel"</w:t>
      </w:r>
      <w:r>
        <w:rPr>
          <w:color w:val="000000"/>
          <w:spacing w:val="0"/>
          <w:w w:val="100"/>
          <w:position w:val="0"/>
          <w:shd w:val="clear" w:color="auto" w:fill="auto"/>
          <w:lang w:val="cs-CZ" w:eastAsia="cs-CZ" w:bidi="cs-CZ"/>
        </w:rPr>
        <w:t xml:space="preserve"> a </w:t>
      </w:r>
      <w:r>
        <w:rPr>
          <w:b/>
          <w:bCs/>
          <w:i/>
          <w:iCs/>
          <w:color w:val="000000"/>
          <w:spacing w:val="0"/>
          <w:w w:val="100"/>
          <w:position w:val="0"/>
          <w:sz w:val="22"/>
          <w:szCs w:val="22"/>
          <w:shd w:val="clear" w:color="auto" w:fill="auto"/>
          <w:lang w:val="cs-CZ" w:eastAsia="cs-CZ" w:bidi="cs-CZ"/>
        </w:rPr>
        <w:t>„zhotovitel"</w:t>
      </w:r>
      <w:r>
        <w:rPr>
          <w:color w:val="000000"/>
          <w:spacing w:val="0"/>
          <w:w w:val="100"/>
          <w:position w:val="0"/>
          <w:shd w:val="clear" w:color="auto" w:fill="auto"/>
          <w:lang w:val="cs-CZ" w:eastAsia="cs-CZ" w:bidi="cs-CZ"/>
        </w:rPr>
        <w:t xml:space="preserve"> dále společně též také jako </w:t>
      </w:r>
      <w:r>
        <w:rPr>
          <w:b/>
          <w:bCs/>
          <w:i/>
          <w:iCs/>
          <w:color w:val="000000"/>
          <w:spacing w:val="0"/>
          <w:w w:val="100"/>
          <w:position w:val="0"/>
          <w:sz w:val="22"/>
          <w:szCs w:val="22"/>
          <w:shd w:val="clear" w:color="auto" w:fill="auto"/>
          <w:lang w:val="cs-CZ" w:eastAsia="cs-CZ" w:bidi="cs-CZ"/>
        </w:rPr>
        <w:t>„smluvnístrany")</w:t>
      </w:r>
    </w:p>
    <w:p>
      <w:pPr>
        <w:pStyle w:val="Style14"/>
        <w:keepNext w:val="0"/>
        <w:keepLines w:val="0"/>
        <w:framePr w:w="9134" w:h="11885" w:hRule="exact" w:wrap="none" w:vAnchor="page" w:hAnchor="page" w:x="1387" w:y="2963"/>
        <w:widowControl w:val="0"/>
        <w:shd w:val="clear" w:color="auto" w:fill="auto"/>
        <w:bidi w:val="0"/>
        <w:spacing w:before="0" w:after="0" w:line="240" w:lineRule="auto"/>
        <w:ind w:left="0" w:right="0" w:firstLine="0"/>
        <w:jc w:val="center"/>
      </w:pPr>
      <w:bookmarkStart w:id="0" w:name="bookmark0"/>
      <w:r>
        <w:rPr>
          <w:color w:val="000000"/>
          <w:spacing w:val="0"/>
          <w:w w:val="100"/>
          <w:position w:val="0"/>
          <w:u w:val="none"/>
          <w:shd w:val="clear" w:color="auto" w:fill="auto"/>
          <w:lang w:val="cs-CZ" w:eastAsia="cs-CZ" w:bidi="cs-CZ"/>
        </w:rPr>
        <w:t>Oddíl I.</w:t>
      </w:r>
      <w:bookmarkEnd w:id="0"/>
    </w:p>
    <w:p>
      <w:pPr>
        <w:pStyle w:val="Style14"/>
        <w:keepNext w:val="0"/>
        <w:keepLines w:val="0"/>
        <w:framePr w:w="9134" w:h="11885" w:hRule="exact" w:wrap="none" w:vAnchor="page" w:hAnchor="page" w:x="1387" w:y="2963"/>
        <w:widowControl w:val="0"/>
        <w:shd w:val="clear" w:color="auto" w:fill="auto"/>
        <w:bidi w:val="0"/>
        <w:spacing w:before="0" w:line="230" w:lineRule="auto"/>
        <w:ind w:left="0" w:right="0" w:firstLine="0"/>
        <w:jc w:val="center"/>
      </w:pPr>
      <w:r>
        <w:rPr>
          <w:color w:val="000000"/>
          <w:spacing w:val="0"/>
          <w:w w:val="100"/>
          <w:position w:val="0"/>
          <w:shd w:val="clear" w:color="auto" w:fill="auto"/>
          <w:lang w:val="cs-CZ" w:eastAsia="cs-CZ" w:bidi="cs-CZ"/>
        </w:rPr>
        <w:t>Předmět smlouvy a doba plnění, cena díla</w:t>
      </w:r>
    </w:p>
    <w:p>
      <w:pPr>
        <w:pStyle w:val="Style14"/>
        <w:keepNext w:val="0"/>
        <w:keepLines w:val="0"/>
        <w:framePr w:w="9134" w:h="11885" w:hRule="exact" w:wrap="none" w:vAnchor="page" w:hAnchor="page" w:x="1387" w:y="2963"/>
        <w:widowControl w:val="0"/>
        <w:numPr>
          <w:ilvl w:val="0"/>
          <w:numId w:val="1"/>
        </w:numPr>
        <w:shd w:val="clear" w:color="auto" w:fill="auto"/>
        <w:tabs>
          <w:tab w:pos="391" w:val="left"/>
        </w:tabs>
        <w:bidi w:val="0"/>
        <w:spacing w:before="0" w:line="240" w:lineRule="auto"/>
        <w:ind w:left="0" w:right="0" w:firstLine="0"/>
        <w:jc w:val="center"/>
      </w:pPr>
      <w:bookmarkStart w:id="3" w:name="bookmark3"/>
      <w:r>
        <w:rPr>
          <w:color w:val="000000"/>
          <w:spacing w:val="0"/>
          <w:w w:val="100"/>
          <w:position w:val="0"/>
          <w:shd w:val="clear" w:color="auto" w:fill="auto"/>
          <w:lang w:val="cs-CZ" w:eastAsia="cs-CZ" w:bidi="cs-CZ"/>
        </w:rPr>
        <w:t>Předmět smlouvy</w:t>
      </w:r>
      <w:bookmarkEnd w:id="3"/>
    </w:p>
    <w:p>
      <w:pPr>
        <w:pStyle w:val="Style10"/>
        <w:keepNext w:val="0"/>
        <w:keepLines w:val="0"/>
        <w:framePr w:w="9134" w:h="11885" w:hRule="exact" w:wrap="none" w:vAnchor="page" w:hAnchor="page" w:x="1387" w:y="2963"/>
        <w:widowControl w:val="0"/>
        <w:numPr>
          <w:ilvl w:val="0"/>
          <w:numId w:val="3"/>
        </w:numPr>
        <w:shd w:val="clear" w:color="auto" w:fill="auto"/>
        <w:tabs>
          <w:tab w:pos="391" w:val="left"/>
        </w:tabs>
        <w:bidi w:val="0"/>
        <w:spacing w:before="0" w:after="260" w:line="240" w:lineRule="auto"/>
        <w:ind w:left="360" w:right="0" w:hanging="360"/>
        <w:jc w:val="left"/>
      </w:pPr>
      <w:r>
        <w:rPr>
          <w:color w:val="000000"/>
          <w:spacing w:val="0"/>
          <w:w w:val="100"/>
          <w:position w:val="0"/>
          <w:shd w:val="clear" w:color="auto" w:fill="auto"/>
          <w:lang w:val="cs-CZ" w:eastAsia="cs-CZ" w:bidi="cs-CZ"/>
        </w:rPr>
        <w:t xml:space="preserve">Předmětem plnění podle této smlouvy (dále jen </w:t>
      </w:r>
      <w:r>
        <w:rPr>
          <w:b/>
          <w:bCs/>
          <w:i/>
          <w:iCs/>
          <w:color w:val="000000"/>
          <w:spacing w:val="0"/>
          <w:w w:val="100"/>
          <w:position w:val="0"/>
          <w:sz w:val="22"/>
          <w:szCs w:val="22"/>
          <w:shd w:val="clear" w:color="auto" w:fill="auto"/>
          <w:lang w:val="cs-CZ" w:eastAsia="cs-CZ" w:bidi="cs-CZ"/>
        </w:rPr>
        <w:t>„SOD"</w:t>
      </w:r>
      <w:r>
        <w:rPr>
          <w:color w:val="000000"/>
          <w:spacing w:val="0"/>
          <w:w w:val="100"/>
          <w:position w:val="0"/>
          <w:shd w:val="clear" w:color="auto" w:fill="auto"/>
          <w:lang w:val="cs-CZ" w:eastAsia="cs-CZ" w:bidi="cs-CZ"/>
        </w:rPr>
        <w:t xml:space="preserve"> nebo též </w:t>
      </w:r>
      <w:r>
        <w:rPr>
          <w:b/>
          <w:bCs/>
          <w:i/>
          <w:iCs/>
          <w:color w:val="000000"/>
          <w:spacing w:val="0"/>
          <w:w w:val="100"/>
          <w:position w:val="0"/>
          <w:sz w:val="22"/>
          <w:szCs w:val="22"/>
          <w:shd w:val="clear" w:color="auto" w:fill="auto"/>
          <w:lang w:val="cs-CZ" w:eastAsia="cs-CZ" w:bidi="cs-CZ"/>
        </w:rPr>
        <w:t>„Smlouva")</w:t>
      </w:r>
      <w:r>
        <w:rPr>
          <w:color w:val="000000"/>
          <w:spacing w:val="0"/>
          <w:w w:val="100"/>
          <w:position w:val="0"/>
          <w:shd w:val="clear" w:color="auto" w:fill="auto"/>
          <w:lang w:val="cs-CZ" w:eastAsia="cs-CZ" w:bidi="cs-CZ"/>
        </w:rPr>
        <w:t xml:space="preserve"> je zhotovení stavebního díla (dále jen </w:t>
      </w:r>
      <w:r>
        <w:rPr>
          <w:b/>
          <w:bCs/>
          <w:i/>
          <w:iCs/>
          <w:color w:val="000000"/>
          <w:spacing w:val="0"/>
          <w:w w:val="100"/>
          <w:position w:val="0"/>
          <w:sz w:val="22"/>
          <w:szCs w:val="22"/>
          <w:shd w:val="clear" w:color="auto" w:fill="auto"/>
          <w:lang w:val="cs-CZ" w:eastAsia="cs-CZ" w:bidi="cs-CZ"/>
        </w:rPr>
        <w:t>„DÍLO"):</w:t>
      </w:r>
    </w:p>
    <w:p>
      <w:pPr>
        <w:pStyle w:val="Style14"/>
        <w:keepNext w:val="0"/>
        <w:keepLines w:val="0"/>
        <w:framePr w:w="9134" w:h="11885" w:hRule="exact" w:wrap="none" w:vAnchor="page" w:hAnchor="page" w:x="1387" w:y="2963"/>
        <w:widowControl w:val="0"/>
        <w:shd w:val="clear" w:color="auto" w:fill="auto"/>
        <w:bidi w:val="0"/>
        <w:spacing w:before="0" w:after="0" w:line="240" w:lineRule="auto"/>
        <w:ind w:left="0" w:right="0" w:firstLine="0"/>
        <w:jc w:val="center"/>
      </w:pPr>
      <w:bookmarkStart w:id="5" w:name="bookmark5"/>
      <w:r>
        <w:rPr>
          <w:color w:val="000000"/>
          <w:spacing w:val="0"/>
          <w:w w:val="100"/>
          <w:position w:val="0"/>
          <w:u w:val="none"/>
          <w:shd w:val="clear" w:color="auto" w:fill="auto"/>
          <w:lang w:val="cs-CZ" w:eastAsia="cs-CZ" w:bidi="cs-CZ"/>
        </w:rPr>
        <w:t>Oprava rozhlasové kabiny - MAS Dukla v Pardubicích</w:t>
      </w:r>
      <w:bookmarkEnd w:id="5"/>
    </w:p>
    <w:p>
      <w:pPr>
        <w:pStyle w:val="Style2"/>
        <w:keepNext w:val="0"/>
        <w:keepLines w:val="0"/>
        <w:framePr w:wrap="none" w:vAnchor="page" w:hAnchor="page" w:x="5731" w:y="1562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-1 -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30" w:h="206" w:hRule="exact" w:wrap="none" w:vAnchor="page" w:hAnchor="page" w:x="1388" w:y="608"/>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30" w:h="14549" w:hRule="exact" w:wrap="none" w:vAnchor="page" w:hAnchor="page" w:x="1388" w:y="87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30" w:h="14549" w:hRule="exact" w:wrap="none" w:vAnchor="page" w:hAnchor="page" w:x="1388" w:y="877"/>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Jedná se o opravu rozhlasové kabiny tribuny Městského atletického stadionu (MAS) Dukla, nacházejícího se na adrese Čs. Armády 2515, 530 02 Pardubice. Budou vyměněny okna a dveře, vyměněny boční a čelní stěny kabiny.</w:t>
      </w:r>
    </w:p>
    <w:p>
      <w:pPr>
        <w:pStyle w:val="Style10"/>
        <w:keepNext w:val="0"/>
        <w:keepLines w:val="0"/>
        <w:framePr w:w="9130" w:h="14549" w:hRule="exact" w:wrap="none" w:vAnchor="page" w:hAnchor="page" w:x="1388" w:y="877"/>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Technické požadavky a podmínky jsou podrobně popsány v Technické zprávě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 xml:space="preserve"> (dále též také jako „</w:t>
      </w:r>
      <w:r>
        <w:rPr>
          <w:b/>
          <w:bCs/>
          <w:i/>
          <w:iCs/>
          <w:color w:val="000000"/>
          <w:spacing w:val="0"/>
          <w:w w:val="100"/>
          <w:position w:val="0"/>
          <w:sz w:val="22"/>
          <w:szCs w:val="22"/>
          <w:shd w:val="clear" w:color="auto" w:fill="auto"/>
          <w:lang w:val="cs-CZ" w:eastAsia="cs-CZ" w:bidi="cs-CZ"/>
        </w:rPr>
        <w:t>TZ</w:t>
      </w:r>
      <w:r>
        <w:rPr>
          <w:i/>
          <w:iCs/>
          <w:color w:val="000000"/>
          <w:spacing w:val="0"/>
          <w:w w:val="100"/>
          <w:position w:val="0"/>
          <w:shd w:val="clear" w:color="auto" w:fill="auto"/>
          <w:lang w:val="cs-CZ" w:eastAsia="cs-CZ" w:bidi="cs-CZ"/>
        </w:rPr>
        <w:t>“).</w:t>
      </w:r>
    </w:p>
    <w:p>
      <w:pPr>
        <w:pStyle w:val="Style10"/>
        <w:keepNext w:val="0"/>
        <w:keepLines w:val="0"/>
        <w:framePr w:w="9130" w:h="14549" w:hRule="exact" w:wrap="none" w:vAnchor="page" w:hAnchor="page" w:x="1388" w:y="877"/>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Součástí DÍLA je také dodržení podmínek zadání, doprava; zařízení staveniště; ekologická likvidace vybouraného a demontovaného materiálu; provedení závěrečného úklidu všech prostor dotčených stavbou a vyklizení staveniště; provedení komplexního vyzkoušení zařízení a předložení výsledků nezbytných zkoušek; předložení dokladů o nezávadné likvidaci odpadu a veškerých atestů a certifikátů použitého materiálu; záručních listů; částečná revize elektro s kladným výsledkem</w:t>
      </w:r>
      <w:r>
        <w:rPr>
          <w:b/>
          <w:bCs/>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pořízení dokumentace skutečného provedení stavby ve třech výtiscích, pokud dojde ke změnám oproti zadávací dokumentaci, zaměření.</w:t>
      </w:r>
    </w:p>
    <w:p>
      <w:pPr>
        <w:pStyle w:val="Style10"/>
        <w:keepNext w:val="0"/>
        <w:keepLines w:val="0"/>
        <w:framePr w:w="9130" w:h="14549" w:hRule="exact" w:wrap="none" w:vAnchor="page" w:hAnchor="page" w:x="1388" w:y="877"/>
        <w:widowControl w:val="0"/>
        <w:shd w:val="clear" w:color="auto" w:fill="auto"/>
        <w:bidi w:val="0"/>
        <w:spacing w:before="0" w:after="260" w:line="240" w:lineRule="auto"/>
        <w:ind w:left="0" w:right="0" w:firstLine="0"/>
        <w:jc w:val="both"/>
      </w:pPr>
      <w:r>
        <w:rPr>
          <w:b/>
          <w:bCs/>
          <w:color w:val="000000"/>
          <w:spacing w:val="0"/>
          <w:w w:val="100"/>
          <w:position w:val="0"/>
          <w:u w:val="single"/>
          <w:shd w:val="clear" w:color="auto" w:fill="auto"/>
          <w:lang w:val="cs-CZ" w:eastAsia="cs-CZ" w:bidi="cs-CZ"/>
        </w:rPr>
        <w:t>Rozsah prací:</w:t>
      </w:r>
    </w:p>
    <w:p>
      <w:pPr>
        <w:pStyle w:val="Style10"/>
        <w:keepNext w:val="0"/>
        <w:keepLines w:val="0"/>
        <w:framePr w:w="9130" w:h="14549" w:hRule="exact" w:wrap="none" w:vAnchor="page" w:hAnchor="page" w:x="1388" w:y="877"/>
        <w:widowControl w:val="0"/>
        <w:shd w:val="clear" w:color="auto" w:fill="auto"/>
        <w:bidi w:val="0"/>
        <w:spacing w:before="0" w:after="260" w:line="240" w:lineRule="auto"/>
        <w:ind w:left="0" w:right="0" w:firstLine="0"/>
        <w:jc w:val="both"/>
      </w:pPr>
      <w:r>
        <w:rPr>
          <w:b/>
          <w:bCs/>
          <w:color w:val="000000"/>
          <w:spacing w:val="0"/>
          <w:w w:val="100"/>
          <w:position w:val="0"/>
          <w:shd w:val="clear" w:color="auto" w:fill="auto"/>
          <w:lang w:val="cs-CZ" w:eastAsia="cs-CZ" w:bidi="cs-CZ"/>
        </w:rPr>
        <w:t xml:space="preserve">Předmět plnění této veřejné zakázky je podrobně vymezen zadáním TZ </w:t>
      </w: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w:t>
      </w:r>
      <w:r>
        <w:rPr>
          <w:b/>
          <w:bCs/>
          <w:i/>
          <w:iCs/>
          <w:color w:val="000000"/>
          <w:spacing w:val="0"/>
          <w:w w:val="100"/>
          <w:position w:val="0"/>
          <w:sz w:val="22"/>
          <w:szCs w:val="22"/>
          <w:shd w:val="clear" w:color="auto" w:fill="auto"/>
          <w:lang w:val="cs-CZ" w:eastAsia="cs-CZ" w:bidi="cs-CZ"/>
        </w:rPr>
        <w:t>.</w:t>
      </w:r>
    </w:p>
    <w:p>
      <w:pPr>
        <w:pStyle w:val="Style10"/>
        <w:keepNext w:val="0"/>
        <w:keepLines w:val="0"/>
        <w:framePr w:w="9130" w:h="14549" w:hRule="exact" w:wrap="none" w:vAnchor="page" w:hAnchor="page" w:x="1388" w:y="877"/>
        <w:widowControl w:val="0"/>
        <w:shd w:val="clear" w:color="auto" w:fill="auto"/>
        <w:bidi w:val="0"/>
        <w:spacing w:before="0" w:after="380" w:line="240" w:lineRule="auto"/>
        <w:ind w:left="0" w:right="0" w:firstLine="0"/>
        <w:jc w:val="both"/>
      </w:pPr>
      <w:r>
        <w:rPr>
          <w:b/>
          <w:bCs/>
          <w:color w:val="000000"/>
          <w:spacing w:val="0"/>
          <w:w w:val="100"/>
          <w:position w:val="0"/>
          <w:shd w:val="clear" w:color="auto" w:fill="auto"/>
          <w:lang w:val="cs-CZ" w:eastAsia="cs-CZ" w:bidi="cs-CZ"/>
        </w:rPr>
        <w:t>Jedná se o práce uvedené v číselníku CZ-CPA 41-43, který je součástí Klasifikace produkce zavedené Českým statistickým úřadem, platné ke dni podpisu této Smlouvy. Platné znění</w:t>
      </w:r>
      <w:r>
        <w:fldChar w:fldCharType="begin"/>
      </w:r>
      <w:r>
        <w:rPr/>
        <w:instrText> HYPERLINK "http://www.czso.cz/csu/klasifik.nsf/i/klasifikace_produkce_(cz_cpa)" </w:instrText>
      </w:r>
      <w:r>
        <w:fldChar w:fldCharType="separate"/>
      </w:r>
      <w:r>
        <w:rPr>
          <w:b/>
          <w:bCs/>
          <w:color w:val="000000"/>
          <w:spacing w:val="0"/>
          <w:w w:val="100"/>
          <w:position w:val="0"/>
          <w:shd w:val="clear" w:color="auto" w:fill="auto"/>
          <w:lang w:val="cs-CZ" w:eastAsia="cs-CZ" w:bidi="cs-CZ"/>
        </w:rPr>
        <w:t xml:space="preserve"> Klasifikace</w:t>
      </w:r>
      <w:r>
        <w:fldChar w:fldCharType="end"/>
      </w:r>
      <w:r>
        <w:rPr>
          <w:b/>
          <w:bCs/>
          <w:color w:val="000000"/>
          <w:spacing w:val="0"/>
          <w:w w:val="100"/>
          <w:position w:val="0"/>
          <w:shd w:val="clear" w:color="auto" w:fill="auto"/>
          <w:lang w:val="cs-CZ" w:eastAsia="cs-CZ" w:bidi="cs-CZ"/>
        </w:rPr>
        <w:t xml:space="preserve"> </w:t>
      </w:r>
      <w:r>
        <w:fldChar w:fldCharType="begin"/>
      </w:r>
      <w:r>
        <w:rPr/>
        <w:instrText> HYPERLINK "http://www.czso.cz/csu/klasifik.nsf/i/klasifikace_produkce_(cz_cpa)" </w:instrText>
      </w:r>
      <w:r>
        <w:fldChar w:fldCharType="separate"/>
      </w:r>
      <w:r>
        <w:rPr>
          <w:b/>
          <w:bCs/>
          <w:color w:val="000000"/>
          <w:spacing w:val="0"/>
          <w:w w:val="100"/>
          <w:position w:val="0"/>
          <w:shd w:val="clear" w:color="auto" w:fill="auto"/>
          <w:lang w:val="cs-CZ" w:eastAsia="cs-CZ" w:bidi="cs-CZ"/>
        </w:rPr>
        <w:t xml:space="preserve">produkce (CZ-CPA) </w:t>
      </w:r>
      <w:r>
        <w:fldChar w:fldCharType="end"/>
      </w:r>
      <w:r>
        <w:rPr>
          <w:b/>
          <w:bCs/>
          <w:color w:val="000000"/>
          <w:spacing w:val="0"/>
          <w:w w:val="100"/>
          <w:position w:val="0"/>
          <w:shd w:val="clear" w:color="auto" w:fill="auto"/>
          <w:lang w:val="cs-CZ" w:eastAsia="cs-CZ" w:bidi="cs-CZ"/>
        </w:rPr>
        <w:t>je dostupné na stránkách Českého statistického úřadu.</w:t>
      </w:r>
    </w:p>
    <w:p>
      <w:pPr>
        <w:pStyle w:val="Style10"/>
        <w:keepNext w:val="0"/>
        <w:keepLines w:val="0"/>
        <w:framePr w:w="9130" w:h="14549" w:hRule="exact" w:wrap="none" w:vAnchor="page" w:hAnchor="page" w:x="1388" w:y="877"/>
        <w:widowControl w:val="0"/>
        <w:numPr>
          <w:ilvl w:val="0"/>
          <w:numId w:val="5"/>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DÍLO bude provedeno dle zadávací dokumentace veřejné zakázky:</w:t>
      </w:r>
    </w:p>
    <w:p>
      <w:pPr>
        <w:pStyle w:val="Style10"/>
        <w:keepNext w:val="0"/>
        <w:keepLines w:val="0"/>
        <w:framePr w:w="9130" w:h="14549" w:hRule="exact" w:wrap="none" w:vAnchor="page" w:hAnchor="page" w:x="1388" w:y="877"/>
        <w:widowControl w:val="0"/>
        <w:numPr>
          <w:ilvl w:val="0"/>
          <w:numId w:val="7"/>
        </w:numPr>
        <w:shd w:val="clear" w:color="auto" w:fill="auto"/>
        <w:tabs>
          <w:tab w:pos="193" w:val="left"/>
        </w:tabs>
        <w:bidi w:val="0"/>
        <w:spacing w:before="0" w:after="0" w:line="240" w:lineRule="auto"/>
        <w:ind w:left="0" w:right="0" w:firstLine="0"/>
        <w:jc w:val="left"/>
      </w:pPr>
      <w:r>
        <w:rPr>
          <w:color w:val="000000"/>
          <w:spacing w:val="0"/>
          <w:w w:val="100"/>
          <w:position w:val="0"/>
          <w:shd w:val="clear" w:color="auto" w:fill="auto"/>
          <w:lang w:val="cs-CZ" w:eastAsia="cs-CZ" w:bidi="cs-CZ"/>
        </w:rPr>
        <w:t>TZ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w:t>
      </w:r>
    </w:p>
    <w:p>
      <w:pPr>
        <w:pStyle w:val="Style10"/>
        <w:keepNext w:val="0"/>
        <w:keepLines w:val="0"/>
        <w:framePr w:w="9130" w:h="14549" w:hRule="exact" w:wrap="none" w:vAnchor="page" w:hAnchor="page" w:x="1388" w:y="877"/>
        <w:widowControl w:val="0"/>
        <w:numPr>
          <w:ilvl w:val="0"/>
          <w:numId w:val="7"/>
        </w:numPr>
        <w:shd w:val="clear" w:color="auto" w:fill="auto"/>
        <w:tabs>
          <w:tab w:pos="193"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zadávacích podmínek veřejné zakázky;</w:t>
      </w:r>
    </w:p>
    <w:p>
      <w:pPr>
        <w:pStyle w:val="Style10"/>
        <w:keepNext w:val="0"/>
        <w:keepLines w:val="0"/>
        <w:framePr w:w="9130" w:h="14549" w:hRule="exact" w:wrap="none" w:vAnchor="page" w:hAnchor="page" w:x="1388" w:y="877"/>
        <w:widowControl w:val="0"/>
        <w:numPr>
          <w:ilvl w:val="0"/>
          <w:numId w:val="7"/>
        </w:numPr>
        <w:shd w:val="clear" w:color="auto" w:fill="auto"/>
        <w:tabs>
          <w:tab w:pos="193" w:val="left"/>
        </w:tabs>
        <w:bidi w:val="0"/>
        <w:spacing w:before="0" w:after="260" w:line="240" w:lineRule="auto"/>
        <w:ind w:left="0" w:right="0" w:firstLine="0"/>
        <w:jc w:val="left"/>
      </w:pPr>
      <w:r>
        <w:rPr>
          <w:color w:val="000000"/>
          <w:spacing w:val="0"/>
          <w:w w:val="100"/>
          <w:position w:val="0"/>
          <w:shd w:val="clear" w:color="auto" w:fill="auto"/>
          <w:lang w:val="cs-CZ" w:eastAsia="cs-CZ" w:bidi="cs-CZ"/>
        </w:rPr>
        <w:t>dle nabídky zhotovitele podané dne 12.2.2025</w:t>
      </w:r>
    </w:p>
    <w:p>
      <w:pPr>
        <w:pStyle w:val="Style10"/>
        <w:keepNext w:val="0"/>
        <w:keepLines w:val="0"/>
        <w:framePr w:w="9130" w:h="14549" w:hRule="exact" w:wrap="none" w:vAnchor="page" w:hAnchor="page" w:x="1388" w:y="877"/>
        <w:widowControl w:val="0"/>
        <w:numPr>
          <w:ilvl w:val="0"/>
          <w:numId w:val="5"/>
        </w:numPr>
        <w:shd w:val="clear" w:color="auto" w:fill="auto"/>
        <w:tabs>
          <w:tab w:pos="355" w:val="left"/>
        </w:tabs>
        <w:bidi w:val="0"/>
        <w:spacing w:before="0" w:after="0" w:line="240" w:lineRule="auto"/>
        <w:ind w:left="300" w:right="0" w:hanging="300"/>
        <w:jc w:val="both"/>
      </w:pPr>
      <w:r>
        <w:rPr>
          <w:color w:val="000000"/>
          <w:spacing w:val="0"/>
          <w:w w:val="100"/>
          <w:position w:val="0"/>
          <w:shd w:val="clear" w:color="auto" w:fill="auto"/>
          <w:lang w:val="cs-CZ" w:eastAsia="cs-CZ" w:bidi="cs-CZ"/>
        </w:rPr>
        <w:t>DÍLO bude provedeno a dokladováno v souladu se všemi právními normami, ČSN, předpisy vztahujícími se k provádění DÍLA a předpisy o ochraně zdraví (zákonem č. 283/2021 Sb., stavební zákon, ve znění pozdějších předpisů a dále dle prováděcích vyhlášek a dle souvisejících předpisů platných a účinných v době realizace DÍLA ); zák. č. 541/2020 Sb., o odpadech, ve znění pozdějších předpisů, vyhl. MŽP a MZ č. 8/2021 Sb., o Katalogu odpadů a posuzování vlastností odpadů (Katalog odpadů), ve znění pozdějších předpisů a ČSN dle § 4 zákona č. 22/1997 Sb., o technických požadavcích na výrobky a o změně a doplnění některých zákonů, ve znění pozdějších předpisů), a dalších souvisejících předpisů a norem.</w:t>
      </w:r>
    </w:p>
    <w:p>
      <w:pPr>
        <w:pStyle w:val="Style10"/>
        <w:keepNext w:val="0"/>
        <w:keepLines w:val="0"/>
        <w:framePr w:w="9130" w:h="14549" w:hRule="exact" w:wrap="none" w:vAnchor="page" w:hAnchor="page" w:x="1388" w:y="877"/>
        <w:widowControl w:val="0"/>
        <w:numPr>
          <w:ilvl w:val="0"/>
          <w:numId w:val="5"/>
        </w:numPr>
        <w:shd w:val="clear" w:color="auto" w:fill="auto"/>
        <w:tabs>
          <w:tab w:pos="355"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se zavazuje pro objednatele zhotovit DÍLO svým jménem a na vlastní odpovědnost v termínech, rozsahu a za podmínek, sjednaných v této Smlouvě a ve věcném rozsahu vymezeném výše uvedenou TZ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 Objednatel se zavazuje řádně provedené DÍLO v souladu s touto Smlouvou převzít a zaplatit cenu DÍLA ve výši, způsobem a za podmínek, uvedených v této Smlouvě.</w:t>
      </w:r>
    </w:p>
    <w:p>
      <w:pPr>
        <w:pStyle w:val="Style10"/>
        <w:keepNext w:val="0"/>
        <w:keepLines w:val="0"/>
        <w:framePr w:w="9130" w:h="14549" w:hRule="exact" w:wrap="none" w:vAnchor="page" w:hAnchor="page" w:x="1388" w:y="877"/>
        <w:widowControl w:val="0"/>
        <w:numPr>
          <w:ilvl w:val="0"/>
          <w:numId w:val="5"/>
        </w:numPr>
        <w:shd w:val="clear" w:color="auto" w:fill="auto"/>
        <w:tabs>
          <w:tab w:pos="355" w:val="left"/>
        </w:tabs>
        <w:bidi w:val="0"/>
        <w:spacing w:before="0" w:after="0" w:line="240" w:lineRule="auto"/>
        <w:ind w:left="300" w:right="0" w:hanging="300"/>
        <w:jc w:val="both"/>
      </w:pPr>
      <w:r>
        <w:rPr>
          <w:color w:val="000000"/>
          <w:spacing w:val="0"/>
          <w:w w:val="100"/>
          <w:position w:val="0"/>
          <w:shd w:val="clear" w:color="auto" w:fill="auto"/>
          <w:lang w:val="cs-CZ" w:eastAsia="cs-CZ" w:bidi="cs-CZ"/>
        </w:rP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pPr>
        <w:pStyle w:val="Style10"/>
        <w:keepNext w:val="0"/>
        <w:keepLines w:val="0"/>
        <w:framePr w:w="9130" w:h="14549" w:hRule="exact" w:wrap="none" w:vAnchor="page" w:hAnchor="page" w:x="1388" w:y="877"/>
        <w:widowControl w:val="0"/>
        <w:numPr>
          <w:ilvl w:val="0"/>
          <w:numId w:val="5"/>
        </w:numPr>
        <w:shd w:val="clear" w:color="auto" w:fill="auto"/>
        <w:tabs>
          <w:tab w:pos="355" w:val="left"/>
        </w:tabs>
        <w:bidi w:val="0"/>
        <w:spacing w:before="0" w:after="0" w:line="240" w:lineRule="auto"/>
        <w:ind w:left="300" w:right="0" w:hanging="300"/>
        <w:jc w:val="both"/>
      </w:pPr>
      <w:r>
        <w:rPr>
          <w:color w:val="000000"/>
          <w:spacing w:val="0"/>
          <w:w w:val="100"/>
          <w:position w:val="0"/>
          <w:shd w:val="clear" w:color="auto" w:fill="auto"/>
          <w:lang w:val="cs-CZ" w:eastAsia="cs-CZ" w:bidi="cs-CZ"/>
        </w:rP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pPr>
        <w:pStyle w:val="Style2"/>
        <w:keepNext w:val="0"/>
        <w:keepLines w:val="0"/>
        <w:framePr w:w="437" w:h="298" w:hRule="exact" w:wrap="none" w:vAnchor="page" w:hAnchor="page" w:x="5737" w:y="15618"/>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- 2 -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10" w:h="206" w:hRule="exact" w:wrap="none" w:vAnchor="page" w:hAnchor="page" w:x="1398" w:y="515"/>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9110" w:h="125" w:hRule="exact" w:wrap="none" w:vAnchor="page" w:hAnchor="page" w:x="1398" w:y="784"/>
        <w:widowControl w:val="0"/>
        <w:shd w:val="clear" w:color="auto" w:fill="auto"/>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Smlouva o dílo č. OMI-VZMR-2025-02..</w:t>
      </w:r>
    </w:p>
    <w:p>
      <w:pPr>
        <w:pStyle w:val="Style10"/>
        <w:keepNext w:val="0"/>
        <w:keepLines w:val="0"/>
        <w:framePr w:w="9120" w:h="3456" w:hRule="exact" w:wrap="none" w:vAnchor="page" w:hAnchor="page" w:x="1393" w:y="1009"/>
        <w:widowControl w:val="0"/>
        <w:numPr>
          <w:ilvl w:val="0"/>
          <w:numId w:val="5"/>
        </w:numPr>
        <w:shd w:val="clear" w:color="auto" w:fill="auto"/>
        <w:tabs>
          <w:tab w:pos="32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pPr>
        <w:pStyle w:val="Style10"/>
        <w:keepNext w:val="0"/>
        <w:keepLines w:val="0"/>
        <w:framePr w:w="9120" w:h="3456" w:hRule="exact" w:wrap="none" w:vAnchor="page" w:hAnchor="page" w:x="1393" w:y="1009"/>
        <w:widowControl w:val="0"/>
        <w:numPr>
          <w:ilvl w:val="0"/>
          <w:numId w:val="5"/>
        </w:numPr>
        <w:shd w:val="clear" w:color="auto" w:fill="auto"/>
        <w:tabs>
          <w:tab w:pos="32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Zadávání případných víceprací bude realizováno v souladu se zákonem č. 134/2016 Sb., o zadávání veřejných zakázek, ve znění pozdějších předpisů.</w:t>
      </w:r>
    </w:p>
    <w:p>
      <w:pPr>
        <w:pStyle w:val="Style10"/>
        <w:keepNext w:val="0"/>
        <w:keepLines w:val="0"/>
        <w:framePr w:w="9120" w:h="3456" w:hRule="exact" w:wrap="none" w:vAnchor="page" w:hAnchor="page" w:x="1393" w:y="1009"/>
        <w:widowControl w:val="0"/>
        <w:numPr>
          <w:ilvl w:val="0"/>
          <w:numId w:val="5"/>
        </w:numPr>
        <w:shd w:val="clear" w:color="auto" w:fill="auto"/>
        <w:tabs>
          <w:tab w:pos="32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Veškeré změny předmětu DÍLA musí být provedeny formou písemného dodatku k této Smlouvě, opatřeného podpisy obou smluvních stran. Věcná náplň takového písemného dodatku k této Smlouvě, bude odsouhlasena zplnomocněnými zástupci obou smluvních stran (tj. zástupcem objednatele ve věcech smluvních a zástupcem zhotovitele) před jejich provedením.</w:t>
      </w:r>
    </w:p>
    <w:p>
      <w:pPr>
        <w:pStyle w:val="Style10"/>
        <w:keepNext w:val="0"/>
        <w:keepLines w:val="0"/>
        <w:framePr w:w="9120" w:h="3456" w:hRule="exact" w:wrap="none" w:vAnchor="page" w:hAnchor="page" w:x="1393" w:y="1009"/>
        <w:widowControl w:val="0"/>
        <w:numPr>
          <w:ilvl w:val="0"/>
          <w:numId w:val="5"/>
        </w:numPr>
        <w:shd w:val="clear" w:color="auto" w:fill="auto"/>
        <w:tabs>
          <w:tab w:pos="385" w:val="left"/>
        </w:tabs>
        <w:bidi w:val="0"/>
        <w:spacing w:before="0" w:after="0" w:line="240" w:lineRule="auto"/>
        <w:ind w:left="300" w:right="0" w:hanging="300"/>
        <w:jc w:val="both"/>
      </w:pPr>
      <w:r>
        <w:rPr>
          <w:color w:val="000000"/>
          <w:spacing w:val="0"/>
          <w:w w:val="100"/>
          <w:position w:val="0"/>
          <w:shd w:val="clear" w:color="auto" w:fill="auto"/>
          <w:lang w:val="cs-CZ" w:eastAsia="cs-CZ" w:bidi="cs-CZ"/>
        </w:rPr>
        <w:t>Součástí plnění DÍLA je provedení veškerých prací, které jsou nezbytné k řádnému provedení DÍLA i v případě, že nejsou výslovně uvedeny ve výčtu v odst. 1 tohoto článku této Smlouvy.</w:t>
      </w:r>
    </w:p>
    <w:p>
      <w:pPr>
        <w:pStyle w:val="Style14"/>
        <w:keepNext w:val="0"/>
        <w:keepLines w:val="0"/>
        <w:framePr w:w="9120" w:h="8544" w:hRule="exact" w:wrap="none" w:vAnchor="page" w:hAnchor="page" w:x="1393" w:y="4979"/>
        <w:widowControl w:val="0"/>
        <w:numPr>
          <w:ilvl w:val="0"/>
          <w:numId w:val="9"/>
        </w:numPr>
        <w:shd w:val="clear" w:color="auto" w:fill="auto"/>
        <w:tabs>
          <w:tab w:pos="328" w:val="left"/>
        </w:tabs>
        <w:bidi w:val="0"/>
        <w:spacing w:before="0" w:after="180" w:line="240" w:lineRule="auto"/>
        <w:ind w:left="0" w:right="0" w:firstLine="0"/>
        <w:jc w:val="center"/>
      </w:pPr>
      <w:bookmarkStart w:id="7" w:name="bookmark7"/>
      <w:r>
        <w:rPr>
          <w:color w:val="000000"/>
          <w:spacing w:val="0"/>
          <w:w w:val="100"/>
          <w:position w:val="0"/>
          <w:shd w:val="clear" w:color="auto" w:fill="auto"/>
          <w:lang w:val="cs-CZ" w:eastAsia="cs-CZ" w:bidi="cs-CZ"/>
        </w:rPr>
        <w:t>Termín a místo plnění</w:t>
      </w:r>
      <w:bookmarkEnd w:id="7"/>
    </w:p>
    <w:p>
      <w:pPr>
        <w:pStyle w:val="Style10"/>
        <w:keepNext w:val="0"/>
        <w:keepLines w:val="0"/>
        <w:framePr w:w="9120" w:h="8544" w:hRule="exact" w:wrap="none" w:vAnchor="page" w:hAnchor="page" w:x="1393" w:y="4979"/>
        <w:widowControl w:val="0"/>
        <w:numPr>
          <w:ilvl w:val="0"/>
          <w:numId w:val="11"/>
        </w:numPr>
        <w:shd w:val="clear" w:color="auto" w:fill="auto"/>
        <w:tabs>
          <w:tab w:pos="328" w:val="left"/>
        </w:tabs>
        <w:bidi w:val="0"/>
        <w:spacing w:before="0" w:after="180" w:line="240" w:lineRule="auto"/>
        <w:ind w:left="0" w:right="0" w:firstLine="0"/>
        <w:jc w:val="both"/>
      </w:pPr>
      <w:r>
        <w:rPr>
          <w:color w:val="000000"/>
          <w:spacing w:val="0"/>
          <w:w w:val="100"/>
          <w:position w:val="0"/>
          <w:shd w:val="clear" w:color="auto" w:fill="auto"/>
          <w:lang w:val="cs-CZ" w:eastAsia="cs-CZ" w:bidi="cs-CZ"/>
        </w:rPr>
        <w:t>Zhotovitel se zavazuje provést sjednané DÍLO v termínech:</w:t>
      </w:r>
    </w:p>
    <w:p>
      <w:pPr>
        <w:pStyle w:val="Style10"/>
        <w:keepNext w:val="0"/>
        <w:keepLines w:val="0"/>
        <w:framePr w:w="9120" w:h="8544" w:hRule="exact" w:wrap="none" w:vAnchor="page" w:hAnchor="page" w:x="1393" w:y="4979"/>
        <w:widowControl w:val="0"/>
        <w:shd w:val="clear" w:color="auto" w:fill="auto"/>
        <w:bidi w:val="0"/>
        <w:spacing w:before="0" w:after="520" w:line="240" w:lineRule="auto"/>
        <w:ind w:left="3000" w:right="0" w:hanging="2280"/>
        <w:jc w:val="both"/>
      </w:pPr>
      <w:r>
        <w:rPr>
          <w:b/>
          <w:bCs/>
          <w:color w:val="000000"/>
          <w:spacing w:val="0"/>
          <w:w w:val="100"/>
          <w:position w:val="0"/>
          <w:shd w:val="clear" w:color="auto" w:fill="auto"/>
          <w:lang w:val="cs-CZ" w:eastAsia="cs-CZ" w:bidi="cs-CZ"/>
        </w:rPr>
        <w:t>Termín zahájení DÍLA: ihned po nabytí účinnosti této Smlouvy a předání staveniště dle oddílu II., čl. I. této Smlouvy</w:t>
      </w:r>
    </w:p>
    <w:p>
      <w:pPr>
        <w:pStyle w:val="Style10"/>
        <w:keepNext w:val="0"/>
        <w:keepLines w:val="0"/>
        <w:framePr w:w="9120" w:h="8544" w:hRule="exact" w:wrap="none" w:vAnchor="page" w:hAnchor="page" w:x="1393" w:y="4979"/>
        <w:widowControl w:val="0"/>
        <w:shd w:val="clear" w:color="auto" w:fill="auto"/>
        <w:bidi w:val="0"/>
        <w:spacing w:before="0" w:after="520" w:line="240" w:lineRule="auto"/>
        <w:ind w:left="2900" w:right="0" w:hanging="2180"/>
        <w:jc w:val="both"/>
      </w:pPr>
      <w:r>
        <w:rPr>
          <w:b/>
          <w:bCs/>
          <w:color w:val="000000"/>
          <w:spacing w:val="0"/>
          <w:w w:val="100"/>
          <w:position w:val="0"/>
          <w:shd w:val="clear" w:color="auto" w:fill="auto"/>
          <w:lang w:val="cs-CZ" w:eastAsia="cs-CZ" w:bidi="cs-CZ"/>
        </w:rPr>
        <w:t>Termín dokončení DÍLA včetně jeho řádného odevzdání dle oddílu II., čl. V. této Smlouvy: do 8 kalendářních týdnů ode dne předání staveniště.</w:t>
      </w:r>
    </w:p>
    <w:p>
      <w:pPr>
        <w:pStyle w:val="Style10"/>
        <w:keepNext w:val="0"/>
        <w:keepLines w:val="0"/>
        <w:framePr w:w="9120" w:h="8544" w:hRule="exact" w:wrap="none" w:vAnchor="page" w:hAnchor="page" w:x="1393" w:y="4979"/>
        <w:widowControl w:val="0"/>
        <w:numPr>
          <w:ilvl w:val="0"/>
          <w:numId w:val="11"/>
        </w:numPr>
        <w:shd w:val="clear" w:color="auto" w:fill="auto"/>
        <w:tabs>
          <w:tab w:pos="328" w:val="left"/>
        </w:tabs>
        <w:bidi w:val="0"/>
        <w:spacing w:before="0" w:after="0" w:line="240" w:lineRule="auto"/>
        <w:ind w:left="380" w:right="0" w:hanging="380"/>
        <w:jc w:val="both"/>
      </w:pPr>
      <w:r>
        <w:rPr>
          <w:b/>
          <w:bCs/>
          <w:color w:val="000000"/>
          <w:spacing w:val="0"/>
          <w:w w:val="100"/>
          <w:position w:val="0"/>
          <w:shd w:val="clear" w:color="auto" w:fill="auto"/>
          <w:lang w:val="cs-CZ" w:eastAsia="cs-CZ" w:bidi="cs-CZ"/>
        </w:rPr>
        <w:t>Místo plnění předmětu této Smlouvy: areál Městského atletického stadionu (MAS) Dukla v Pardubicích.</w:t>
      </w:r>
    </w:p>
    <w:p>
      <w:pPr>
        <w:pStyle w:val="Style10"/>
        <w:keepNext w:val="0"/>
        <w:keepLines w:val="0"/>
        <w:framePr w:w="9120" w:h="8544" w:hRule="exact" w:wrap="none" w:vAnchor="page" w:hAnchor="page" w:x="1393" w:y="4979"/>
        <w:widowControl w:val="0"/>
        <w:numPr>
          <w:ilvl w:val="0"/>
          <w:numId w:val="11"/>
        </w:numPr>
        <w:shd w:val="clear" w:color="auto" w:fill="auto"/>
        <w:tabs>
          <w:tab w:pos="328" w:val="left"/>
        </w:tabs>
        <w:bidi w:val="0"/>
        <w:spacing w:before="0" w:after="0" w:line="240" w:lineRule="auto"/>
        <w:ind w:left="380" w:right="0" w:hanging="380"/>
        <w:jc w:val="both"/>
      </w:pPr>
      <w:r>
        <w:rPr>
          <w:color w:val="000000"/>
          <w:spacing w:val="0"/>
          <w:w w:val="100"/>
          <w:position w:val="0"/>
          <w:shd w:val="clear" w:color="auto" w:fill="auto"/>
          <w:lang w:val="cs-CZ" w:eastAsia="cs-CZ" w:bidi="cs-CZ"/>
        </w:rPr>
        <w:t>Smluvní strany se dále dohodly, že pokud by v průběhu realizace DÍLA došlo k prodlení s plněním z důvodu neočekávaných okolností, které nastaly bez zavinění některého z účastníků této Smlouvy, ve smyslu ust.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w:t>
      </w:r>
    </w:p>
    <w:p>
      <w:pPr>
        <w:pStyle w:val="Style10"/>
        <w:keepNext w:val="0"/>
        <w:keepLines w:val="0"/>
        <w:framePr w:w="9120" w:h="8544" w:hRule="exact" w:wrap="none" w:vAnchor="page" w:hAnchor="page" w:x="1393" w:y="4979"/>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Zhotovitel je povinen pokračovat v provádění DÍLA bezodkladně poté, co důvod přerušení odpadne, neučiní-li tak do třech pracovních dnů ode dne, kdy důvod přerušení odpadl, je povinen objednateli uhradit smluvní pokutu ve výši 5.000,- Kč, dále je v takovém případě objednatel oprávněn od této Smlouvy odstoupit.</w:t>
      </w:r>
    </w:p>
    <w:p>
      <w:pPr>
        <w:pStyle w:val="Style10"/>
        <w:keepNext w:val="0"/>
        <w:keepLines w:val="0"/>
        <w:framePr w:w="9120" w:h="8544" w:hRule="exact" w:wrap="none" w:vAnchor="page" w:hAnchor="page" w:x="1393" w:y="4979"/>
        <w:widowControl w:val="0"/>
        <w:numPr>
          <w:ilvl w:val="0"/>
          <w:numId w:val="11"/>
        </w:numPr>
        <w:shd w:val="clear" w:color="auto" w:fill="auto"/>
        <w:tabs>
          <w:tab w:pos="328"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pPr>
        <w:pStyle w:val="Style10"/>
        <w:keepNext w:val="0"/>
        <w:keepLines w:val="0"/>
        <w:framePr w:w="9120" w:h="8544" w:hRule="exact" w:wrap="none" w:vAnchor="page" w:hAnchor="page" w:x="1393" w:y="4979"/>
        <w:widowControl w:val="0"/>
        <w:numPr>
          <w:ilvl w:val="0"/>
          <w:numId w:val="11"/>
        </w:numPr>
        <w:shd w:val="clear" w:color="auto" w:fill="auto"/>
        <w:tabs>
          <w:tab w:pos="328"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pPr>
        <w:pStyle w:val="Style14"/>
        <w:keepNext w:val="0"/>
        <w:keepLines w:val="0"/>
        <w:framePr w:w="9120" w:h="370" w:hRule="exact" w:wrap="none" w:vAnchor="page" w:hAnchor="page" w:x="1393" w:y="14795"/>
        <w:widowControl w:val="0"/>
        <w:numPr>
          <w:ilvl w:val="0"/>
          <w:numId w:val="9"/>
        </w:numPr>
        <w:shd w:val="clear" w:color="auto" w:fill="auto"/>
        <w:tabs>
          <w:tab w:pos="404" w:val="left"/>
        </w:tabs>
        <w:bidi w:val="0"/>
        <w:spacing w:before="0" w:after="0" w:line="240" w:lineRule="auto"/>
        <w:ind w:left="0" w:right="0" w:firstLine="0"/>
        <w:jc w:val="center"/>
      </w:pPr>
      <w:bookmarkStart w:id="9" w:name="bookmark9"/>
      <w:r>
        <w:rPr>
          <w:color w:val="000000"/>
          <w:spacing w:val="0"/>
          <w:w w:val="100"/>
          <w:position w:val="0"/>
          <w:shd w:val="clear" w:color="auto" w:fill="auto"/>
          <w:lang w:val="cs-CZ" w:eastAsia="cs-CZ" w:bidi="cs-CZ"/>
        </w:rPr>
        <w:t>Cena za DÍLO</w:t>
      </w:r>
      <w:bookmarkEnd w:id="9"/>
    </w:p>
    <w:p>
      <w:pPr>
        <w:pStyle w:val="Style2"/>
        <w:keepNext w:val="0"/>
        <w:keepLines w:val="0"/>
        <w:framePr w:w="437" w:h="298" w:hRule="exact" w:wrap="none" w:vAnchor="page" w:hAnchor="page" w:x="5732" w:y="15524"/>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- 3 -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34" w:h="206" w:hRule="exact" w:wrap="none" w:vAnchor="page" w:hAnchor="page" w:x="1386" w:y="608"/>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34" w:h="14597" w:hRule="exact" w:wrap="none" w:vAnchor="page" w:hAnchor="page" w:x="1386" w:y="87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34" w:h="14597" w:hRule="exact" w:wrap="none" w:vAnchor="page" w:hAnchor="page" w:x="1386" w:y="877"/>
        <w:widowControl w:val="0"/>
        <w:numPr>
          <w:ilvl w:val="0"/>
          <w:numId w:val="13"/>
        </w:numPr>
        <w:shd w:val="clear" w:color="auto" w:fill="auto"/>
        <w:tabs>
          <w:tab w:pos="270" w:val="left"/>
        </w:tabs>
        <w:bidi w:val="0"/>
        <w:spacing w:before="0" w:after="260" w:line="240" w:lineRule="auto"/>
        <w:ind w:left="260" w:right="0" w:hanging="260"/>
        <w:jc w:val="both"/>
      </w:pPr>
      <w:r>
        <w:rPr>
          <w:color w:val="000000"/>
          <w:spacing w:val="0"/>
          <w:w w:val="100"/>
          <w:position w:val="0"/>
          <w:shd w:val="clear" w:color="auto" w:fill="auto"/>
          <w:lang w:val="cs-CZ" w:eastAsia="cs-CZ" w:bidi="cs-CZ"/>
        </w:rPr>
        <w:t>Cena za kompletní, řádné a včasné provedení DÍLA je nejvýše přípustná, platná po celou dobu realizace DÍLA a obsahuje veškeré práce, dodávky, činnosti a náklady, související s realizací DÍLA:</w:t>
      </w:r>
    </w:p>
    <w:p>
      <w:pPr>
        <w:pStyle w:val="Style10"/>
        <w:keepNext w:val="0"/>
        <w:keepLines w:val="0"/>
        <w:framePr w:w="9134" w:h="14597" w:hRule="exact" w:wrap="none" w:vAnchor="page" w:hAnchor="page" w:x="1386" w:y="877"/>
        <w:widowControl w:val="0"/>
        <w:shd w:val="clear" w:color="auto" w:fill="auto"/>
        <w:tabs>
          <w:tab w:leader="dot" w:pos="4266" w:val="left"/>
        </w:tabs>
        <w:bidi w:val="0"/>
        <w:spacing w:before="0" w:after="0" w:line="240" w:lineRule="auto"/>
        <w:ind w:left="0" w:right="0" w:firstLine="260"/>
        <w:jc w:val="both"/>
      </w:pPr>
      <w:r>
        <w:rPr>
          <w:b/>
          <w:bCs/>
          <w:color w:val="000000"/>
          <w:spacing w:val="0"/>
          <w:w w:val="100"/>
          <w:position w:val="0"/>
          <w:shd w:val="clear" w:color="auto" w:fill="auto"/>
          <w:lang w:val="cs-CZ" w:eastAsia="cs-CZ" w:bidi="cs-CZ"/>
        </w:rPr>
        <w:t>Celková cena za DÍLO - bez DPH</w:t>
        <w:tab/>
        <w:t>212.758,65 Kč</w:t>
      </w:r>
    </w:p>
    <w:p>
      <w:pPr>
        <w:pStyle w:val="Style10"/>
        <w:keepNext w:val="0"/>
        <w:keepLines w:val="0"/>
        <w:framePr w:w="9134" w:h="14597" w:hRule="exact" w:wrap="none" w:vAnchor="page" w:hAnchor="page" w:x="1386" w:y="877"/>
        <w:widowControl w:val="0"/>
        <w:shd w:val="clear" w:color="auto" w:fill="auto"/>
        <w:tabs>
          <w:tab w:leader="dot" w:pos="4266" w:val="left"/>
        </w:tabs>
        <w:bidi w:val="0"/>
        <w:spacing w:before="0" w:after="0" w:line="240" w:lineRule="auto"/>
        <w:ind w:left="0" w:right="0" w:firstLine="260"/>
        <w:jc w:val="both"/>
      </w:pPr>
      <w:r>
        <w:rPr>
          <w:b/>
          <w:bCs/>
          <w:color w:val="000000"/>
          <w:spacing w:val="0"/>
          <w:w w:val="100"/>
          <w:position w:val="0"/>
          <w:u w:val="single"/>
          <w:shd w:val="clear" w:color="auto" w:fill="auto"/>
          <w:lang w:val="cs-CZ" w:eastAsia="cs-CZ" w:bidi="cs-CZ"/>
        </w:rPr>
        <w:t>DPH 21%</w:t>
        <w:tab/>
        <w:t>44.679,32 Kč</w:t>
      </w:r>
    </w:p>
    <w:p>
      <w:pPr>
        <w:pStyle w:val="Style10"/>
        <w:keepNext w:val="0"/>
        <w:keepLines w:val="0"/>
        <w:framePr w:w="9134" w:h="14597" w:hRule="exact" w:wrap="none" w:vAnchor="page" w:hAnchor="page" w:x="1386" w:y="877"/>
        <w:widowControl w:val="0"/>
        <w:shd w:val="clear" w:color="auto" w:fill="auto"/>
        <w:tabs>
          <w:tab w:leader="dot" w:pos="4266" w:val="left"/>
        </w:tabs>
        <w:bidi w:val="0"/>
        <w:spacing w:before="0" w:after="260" w:line="240" w:lineRule="auto"/>
        <w:ind w:left="0" w:right="0" w:firstLine="260"/>
        <w:jc w:val="both"/>
      </w:pPr>
      <w:r>
        <w:rPr>
          <w:b/>
          <w:bCs/>
          <w:color w:val="000000"/>
          <w:spacing w:val="0"/>
          <w:w w:val="100"/>
          <w:position w:val="0"/>
          <w:shd w:val="clear" w:color="auto" w:fill="auto"/>
          <w:lang w:val="cs-CZ" w:eastAsia="cs-CZ" w:bidi="cs-CZ"/>
        </w:rPr>
        <w:t xml:space="preserve">Celková cena za DÍLO včetně DPH </w:t>
        <w:tab/>
        <w:t>257.437,97 Kč</w:t>
      </w:r>
    </w:p>
    <w:p>
      <w:pPr>
        <w:pStyle w:val="Style10"/>
        <w:keepNext w:val="0"/>
        <w:keepLines w:val="0"/>
        <w:framePr w:w="9134" w:h="14597" w:hRule="exact" w:wrap="none" w:vAnchor="page" w:hAnchor="page" w:x="1386" w:y="877"/>
        <w:widowControl w:val="0"/>
        <w:shd w:val="clear" w:color="auto" w:fill="auto"/>
        <w:bidi w:val="0"/>
        <w:spacing w:before="0" w:after="260" w:line="240" w:lineRule="auto"/>
        <w:ind w:left="0" w:right="0" w:firstLine="300"/>
        <w:jc w:val="both"/>
      </w:pPr>
      <w:r>
        <w:rPr>
          <w:i/>
          <w:iCs/>
          <w:color w:val="000000"/>
          <w:spacing w:val="0"/>
          <w:w w:val="100"/>
          <w:position w:val="0"/>
          <w:shd w:val="clear" w:color="auto" w:fill="auto"/>
          <w:lang w:val="cs-CZ" w:eastAsia="cs-CZ" w:bidi="cs-CZ"/>
        </w:rPr>
        <w:t>(slovy: dvěstěpadesátsedmtisícčtyřistatřicetsedm korun českých, devadesátsedm haléřů včetně DPH)</w:t>
      </w:r>
    </w:p>
    <w:p>
      <w:pPr>
        <w:pStyle w:val="Style10"/>
        <w:keepNext w:val="0"/>
        <w:keepLines w:val="0"/>
        <w:framePr w:w="9134" w:h="14597" w:hRule="exact" w:wrap="none" w:vAnchor="page" w:hAnchor="page" w:x="1386" w:y="877"/>
        <w:widowControl w:val="0"/>
        <w:shd w:val="clear" w:color="auto" w:fill="auto"/>
        <w:bidi w:val="0"/>
        <w:spacing w:before="0" w:after="260" w:line="240" w:lineRule="auto"/>
        <w:ind w:left="0" w:right="0" w:firstLine="0"/>
        <w:jc w:val="both"/>
      </w:pPr>
      <w:r>
        <w:rPr>
          <w:i/>
          <w:iCs/>
          <w:color w:val="000000"/>
          <w:spacing w:val="0"/>
          <w:w w:val="100"/>
          <w:position w:val="0"/>
          <w:shd w:val="clear" w:color="auto" w:fill="auto"/>
          <w:lang w:val="cs-CZ" w:eastAsia="cs-CZ" w:bidi="cs-CZ"/>
        </w:rPr>
        <w:t>Podrobný rozpis ceny (oceněný položkový výkaz výměr) je uveden v cenové nabídce zhotovitele, která tvoří přílohu č. 1 této Smlouvy, jako její nedílná součást. Změna výše ceny DÍLA je možná jen písemným dodatkem k této Smlouvě, podepsaným oběma smluvními stranami, v souladu s touto Smlouvou.</w:t>
      </w:r>
    </w:p>
    <w:p>
      <w:pPr>
        <w:pStyle w:val="Style10"/>
        <w:keepNext w:val="0"/>
        <w:keepLines w:val="0"/>
        <w:framePr w:w="9134" w:h="14597" w:hRule="exact" w:wrap="none" w:vAnchor="page" w:hAnchor="page" w:x="1386" w:y="877"/>
        <w:widowControl w:val="0"/>
        <w:shd w:val="clear" w:color="auto" w:fill="auto"/>
        <w:bidi w:val="0"/>
        <w:spacing w:before="0" w:after="260" w:line="240" w:lineRule="auto"/>
        <w:ind w:left="0" w:right="0" w:firstLine="0"/>
        <w:jc w:val="both"/>
      </w:pPr>
      <w:r>
        <w:rPr>
          <w:i/>
          <w:iCs/>
          <w:color w:val="000000"/>
          <w:spacing w:val="0"/>
          <w:w w:val="100"/>
          <w:position w:val="0"/>
          <w:shd w:val="clear" w:color="auto" w:fill="auto"/>
          <w:lang w:val="cs-CZ" w:eastAsia="cs-CZ" w:bidi="cs-CZ"/>
        </w:rPr>
        <w:t>Smluvní strany se dohodly, že cena za DÍLO může být změněna pouze z důvodu:</w:t>
      </w:r>
    </w:p>
    <w:p>
      <w:pPr>
        <w:pStyle w:val="Style10"/>
        <w:keepNext w:val="0"/>
        <w:keepLines w:val="0"/>
        <w:framePr w:w="9134" w:h="14597" w:hRule="exact" w:wrap="none" w:vAnchor="page" w:hAnchor="page" w:x="1386" w:y="877"/>
        <w:widowControl w:val="0"/>
        <w:numPr>
          <w:ilvl w:val="0"/>
          <w:numId w:val="15"/>
        </w:numPr>
        <w:shd w:val="clear" w:color="auto" w:fill="auto"/>
        <w:tabs>
          <w:tab w:pos="313" w:val="left"/>
        </w:tabs>
        <w:bidi w:val="0"/>
        <w:spacing w:before="0" w:after="260" w:line="240" w:lineRule="auto"/>
        <w:ind w:left="0" w:right="0" w:firstLine="0"/>
        <w:jc w:val="both"/>
      </w:pPr>
      <w:r>
        <w:rPr>
          <w:i/>
          <w:iCs/>
          <w:color w:val="000000"/>
          <w:spacing w:val="0"/>
          <w:w w:val="100"/>
          <w:position w:val="0"/>
          <w:shd w:val="clear" w:color="auto" w:fill="auto"/>
          <w:lang w:val="cs-CZ" w:eastAsia="cs-CZ" w:bidi="cs-CZ"/>
        </w:rP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pPr>
        <w:pStyle w:val="Style10"/>
        <w:keepNext w:val="0"/>
        <w:keepLines w:val="0"/>
        <w:framePr w:w="9134" w:h="14597" w:hRule="exact" w:wrap="none" w:vAnchor="page" w:hAnchor="page" w:x="1386" w:y="877"/>
        <w:widowControl w:val="0"/>
        <w:numPr>
          <w:ilvl w:val="0"/>
          <w:numId w:val="15"/>
        </w:numPr>
        <w:shd w:val="clear" w:color="auto" w:fill="auto"/>
        <w:tabs>
          <w:tab w:pos="308" w:val="left"/>
        </w:tabs>
        <w:bidi w:val="0"/>
        <w:spacing w:before="0" w:after="260" w:line="240" w:lineRule="auto"/>
        <w:ind w:left="0" w:right="0" w:firstLine="0"/>
        <w:jc w:val="both"/>
      </w:pPr>
      <w:r>
        <w:rPr>
          <w:i/>
          <w:iCs/>
          <w:color w:val="000000"/>
          <w:spacing w:val="0"/>
          <w:w w:val="100"/>
          <w:position w:val="0"/>
          <w:shd w:val="clear" w:color="auto" w:fill="auto"/>
          <w:lang w:val="cs-CZ" w:eastAsia="cs-CZ" w:bidi="cs-CZ"/>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pPr>
        <w:pStyle w:val="Style10"/>
        <w:keepNext w:val="0"/>
        <w:keepLines w:val="0"/>
        <w:framePr w:w="9134" w:h="14597" w:hRule="exact" w:wrap="none" w:vAnchor="page" w:hAnchor="page" w:x="1386" w:y="877"/>
        <w:widowControl w:val="0"/>
        <w:shd w:val="clear" w:color="auto" w:fill="auto"/>
        <w:bidi w:val="0"/>
        <w:spacing w:before="0" w:after="520" w:line="240" w:lineRule="auto"/>
        <w:ind w:left="0" w:right="0" w:firstLine="0"/>
        <w:jc w:val="both"/>
      </w:pPr>
      <w:r>
        <w:rPr>
          <w:i/>
          <w:iCs/>
          <w:color w:val="000000"/>
          <w:spacing w:val="0"/>
          <w:w w:val="100"/>
          <w:position w:val="0"/>
          <w:shd w:val="clear" w:color="auto" w:fill="auto"/>
          <w:lang w:val="cs-CZ" w:eastAsia="cs-CZ" w:bidi="cs-CZ"/>
        </w:rPr>
        <w:t>K ceně za provedení DÍLA bez DPH bude zhotovitel účtovat DPH (daň z přidané hodnoty) ve výši stanovené zákonem č. 235/2004 Sb., o dani z přidané hodnoty, v platném znění (dále též „</w:t>
      </w:r>
      <w:r>
        <w:rPr>
          <w:b/>
          <w:bCs/>
          <w:i/>
          <w:iCs/>
          <w:color w:val="000000"/>
          <w:spacing w:val="0"/>
          <w:w w:val="100"/>
          <w:position w:val="0"/>
          <w:sz w:val="22"/>
          <w:szCs w:val="22"/>
          <w:shd w:val="clear" w:color="auto" w:fill="auto"/>
          <w:lang w:val="cs-CZ" w:eastAsia="cs-CZ" w:bidi="cs-CZ"/>
        </w:rPr>
        <w:t>zákon o DPH</w:t>
      </w:r>
      <w:r>
        <w:rPr>
          <w:i/>
          <w:iCs/>
          <w:color w:val="000000"/>
          <w:spacing w:val="0"/>
          <w:w w:val="100"/>
          <w:position w:val="0"/>
          <w:shd w:val="clear" w:color="auto" w:fill="auto"/>
          <w:lang w:val="cs-CZ" w:eastAsia="cs-CZ" w:bidi="cs-CZ"/>
        </w:rPr>
        <w:t>“).</w:t>
      </w:r>
    </w:p>
    <w:p>
      <w:pPr>
        <w:pStyle w:val="Style10"/>
        <w:keepNext w:val="0"/>
        <w:keepLines w:val="0"/>
        <w:framePr w:w="9134" w:h="14597" w:hRule="exact" w:wrap="none" w:vAnchor="page" w:hAnchor="page" w:x="1386" w:y="877"/>
        <w:widowControl w:val="0"/>
        <w:numPr>
          <w:ilvl w:val="0"/>
          <w:numId w:val="13"/>
        </w:numPr>
        <w:shd w:val="clear" w:color="auto" w:fill="auto"/>
        <w:tabs>
          <w:tab w:pos="279" w:val="left"/>
        </w:tabs>
        <w:bidi w:val="0"/>
        <w:spacing w:before="0" w:after="0" w:line="240" w:lineRule="auto"/>
        <w:ind w:left="260" w:right="0" w:hanging="260"/>
        <w:jc w:val="both"/>
      </w:pPr>
      <w:r>
        <w:rPr>
          <w:color w:val="000000"/>
          <w:spacing w:val="0"/>
          <w:w w:val="100"/>
          <w:position w:val="0"/>
          <w:shd w:val="clear" w:color="auto" w:fill="auto"/>
          <w:lang w:val="cs-CZ" w:eastAsia="cs-CZ" w:bidi="cs-CZ"/>
        </w:rP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 aniž by byl uzavřen tento písemný dodatek k této Smlouvě, není objednatel povinen zhotoviteli uhradit.</w:t>
      </w:r>
    </w:p>
    <w:p>
      <w:pPr>
        <w:pStyle w:val="Style10"/>
        <w:keepNext w:val="0"/>
        <w:keepLines w:val="0"/>
        <w:framePr w:w="9134" w:h="14597" w:hRule="exact" w:wrap="none" w:vAnchor="page" w:hAnchor="page" w:x="1386" w:y="877"/>
        <w:widowControl w:val="0"/>
        <w:numPr>
          <w:ilvl w:val="0"/>
          <w:numId w:val="13"/>
        </w:numPr>
        <w:shd w:val="clear" w:color="auto" w:fill="auto"/>
        <w:tabs>
          <w:tab w:pos="279" w:val="left"/>
        </w:tabs>
        <w:bidi w:val="0"/>
        <w:spacing w:before="0" w:after="260" w:line="240" w:lineRule="auto"/>
        <w:ind w:left="260" w:right="0" w:hanging="260"/>
        <w:jc w:val="both"/>
      </w:pPr>
      <w:r>
        <w:rPr>
          <w:color w:val="000000"/>
          <w:spacing w:val="0"/>
          <w:w w:val="100"/>
          <w:position w:val="0"/>
          <w:shd w:val="clear" w:color="auto" w:fill="auto"/>
          <w:lang w:val="cs-CZ" w:eastAsia="cs-CZ" w:bidi="cs-CZ"/>
        </w:rP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ocenění - méněpráce, budou odečteny v nabídkových cenách.</w:t>
      </w:r>
    </w:p>
    <w:p>
      <w:pPr>
        <w:pStyle w:val="Style14"/>
        <w:keepNext w:val="0"/>
        <w:keepLines w:val="0"/>
        <w:framePr w:w="9134" w:h="14597" w:hRule="exact" w:wrap="none" w:vAnchor="page" w:hAnchor="page" w:x="1386" w:y="877"/>
        <w:widowControl w:val="0"/>
        <w:numPr>
          <w:ilvl w:val="0"/>
          <w:numId w:val="9"/>
        </w:numPr>
        <w:shd w:val="clear" w:color="auto" w:fill="auto"/>
        <w:tabs>
          <w:tab w:pos="419" w:val="left"/>
        </w:tabs>
        <w:bidi w:val="0"/>
        <w:spacing w:before="0" w:after="340" w:line="240" w:lineRule="auto"/>
        <w:ind w:left="0" w:right="0" w:firstLine="0"/>
        <w:jc w:val="center"/>
      </w:pPr>
      <w:bookmarkStart w:id="11" w:name="bookmark11"/>
      <w:r>
        <w:rPr>
          <w:color w:val="000000"/>
          <w:spacing w:val="0"/>
          <w:w w:val="100"/>
          <w:position w:val="0"/>
          <w:shd w:val="clear" w:color="auto" w:fill="auto"/>
          <w:lang w:val="cs-CZ" w:eastAsia="cs-CZ" w:bidi="cs-CZ"/>
        </w:rPr>
        <w:t>Placení DÍLA a fakturace</w:t>
      </w:r>
      <w:bookmarkEnd w:id="11"/>
    </w:p>
    <w:p>
      <w:pPr>
        <w:pStyle w:val="Style10"/>
        <w:keepNext w:val="0"/>
        <w:keepLines w:val="0"/>
        <w:framePr w:w="9134" w:h="14597" w:hRule="exact" w:wrap="none" w:vAnchor="page" w:hAnchor="page" w:x="1386" w:y="877"/>
        <w:widowControl w:val="0"/>
        <w:numPr>
          <w:ilvl w:val="0"/>
          <w:numId w:val="17"/>
        </w:numPr>
        <w:shd w:val="clear" w:color="auto" w:fill="auto"/>
        <w:tabs>
          <w:tab w:pos="419"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nebude poskytovat zhotoviteli zálohy.</w:t>
      </w:r>
    </w:p>
    <w:p>
      <w:pPr>
        <w:pStyle w:val="Style10"/>
        <w:keepNext w:val="0"/>
        <w:keepLines w:val="0"/>
        <w:framePr w:w="9134" w:h="14597" w:hRule="exact" w:wrap="none" w:vAnchor="page" w:hAnchor="page" w:x="1386" w:y="877"/>
        <w:widowControl w:val="0"/>
        <w:numPr>
          <w:ilvl w:val="0"/>
          <w:numId w:val="17"/>
        </w:numPr>
        <w:shd w:val="clear" w:color="auto" w:fill="auto"/>
        <w:tabs>
          <w:tab w:pos="419"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Pro fakturování a placení DÍLA se smluvní strany dohodly, že právo na zaplacení ceny DÍLA vznikne zhotoviteli teprve po provedení DÍLA, tj. dokončením kompletního DÍLA bez vad a</w:t>
      </w:r>
    </w:p>
    <w:p>
      <w:pPr>
        <w:pStyle w:val="Style2"/>
        <w:keepNext w:val="0"/>
        <w:keepLines w:val="0"/>
        <w:framePr w:w="437" w:h="298" w:hRule="exact" w:wrap="none" w:vAnchor="page" w:hAnchor="page" w:x="5730" w:y="15618"/>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- 4 -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20" w:h="206" w:hRule="exact" w:wrap="none" w:vAnchor="page" w:hAnchor="page" w:x="1400" w:y="606"/>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10"/>
        <w:keepNext w:val="0"/>
        <w:keepLines w:val="0"/>
        <w:framePr w:w="9134" w:h="14424" w:hRule="exact" w:wrap="none" w:vAnchor="page" w:hAnchor="page" w:x="1386" w:y="875"/>
        <w:widowControl w:val="0"/>
        <w:shd w:val="clear" w:color="auto" w:fill="auto"/>
        <w:bidi w:val="0"/>
        <w:spacing w:before="0" w:after="0" w:line="252" w:lineRule="auto"/>
        <w:ind w:left="380" w:right="0" w:firstLine="5800"/>
        <w:jc w:val="left"/>
      </w:pPr>
      <w:r>
        <w:rPr>
          <w:color w:val="000000"/>
          <w:spacing w:val="0"/>
          <w:w w:val="100"/>
          <w:position w:val="0"/>
          <w:sz w:val="18"/>
          <w:szCs w:val="18"/>
          <w:shd w:val="clear" w:color="auto" w:fill="auto"/>
          <w:lang w:val="cs-CZ" w:eastAsia="cs-CZ" w:bidi="cs-CZ"/>
        </w:rPr>
        <w:t xml:space="preserve">Smlouva o dílo č. OMI-VZMR-2025-02.. </w:t>
      </w:r>
      <w:r>
        <w:rPr>
          <w:color w:val="000000"/>
          <w:spacing w:val="0"/>
          <w:w w:val="100"/>
          <w:position w:val="0"/>
          <w:shd w:val="clear" w:color="auto" w:fill="auto"/>
          <w:lang w:val="cs-CZ" w:eastAsia="cs-CZ" w:bidi="cs-CZ"/>
        </w:rPr>
        <w:t>nedodělků a po jeho protokolárním předání a převzetí objednatelem, vč. vyklizení staveniště, dle oddílu II., čl. V. této Smlouvy.</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Bude-li zhotovitel v prodlení s prováděním DÍLA delším než 15 kalendářních dnů, je objednatel oprávněn úhradu daňových dokladů - faktur, pozastavit.</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Faktura bude v souladu s touto Smlouvou zhotovitelem vystavena na základě soupisu skutečně provedených prací, odsouhlaseného technickým zástupcem objednatele, který bude nedílnou součástí daňového dokladu, vystaveného zhotovitelem. Při absenci tohoto soupisu skutečně provedených prací, je faktura neúplná. Zhotovitel je povinen doručit objednateli daňové doklady nejpozději do 10 dnů od data uskutečnění zdanitelného plnění.</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Přílohou konečné faktury bude oboustranně odsouhlasený a podepsaný Protokol o předání a převzetí DÍLA a o vyklizení staveniště, případně také zápis o odstranění vad a nedodělků DÍLA. Splatnost konečné faktury činí 30 kalendářních dnů od data jejího prokazatelného doručení objednateli. Úhrada částky odpovídající provedenému zvětšení rozsahu DÍLA a víceprací, bude provedena objednatelem na základě samostatné fakturace zhotovitele, v souladu s cenou dohodnutou v příslušném písemném dodatku k této Smlouvě.</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Faktura zhotovitele musí obsahovat všechny obvyklé náležitosti platebních dokladů, stanovené zákonem o DPH a občanským zákoníkem, zejména:</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označení faktury a číslo,</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obchodní název a sídlo objednatele a zhotovitele, jejich IČO a DIČ,</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předmět plnění a den splnění,</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den vystavení faktury, den uskutečnění zdanitelného plnění a lhůtu splatnosti,</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označení banky a číslo bankovního účtu, na který má být placeno,</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 w:pos="82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fakturovanou částku a další náležitosti podle zákona č. 235/2004 Sb., o DPH, ve znění</w:t>
      </w:r>
    </w:p>
    <w:p>
      <w:pPr>
        <w:pStyle w:val="Style10"/>
        <w:keepNext w:val="0"/>
        <w:keepLines w:val="0"/>
        <w:framePr w:w="9134" w:h="14424" w:hRule="exact" w:wrap="none" w:vAnchor="page" w:hAnchor="page" w:x="1386" w:y="875"/>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pozdějších předpisů, včetně razítka zhotovitele a podpisu oprávněné osoby zhotovitele,</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 w:pos="82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jako přílohu soupis skutečně provedených prací, odsouhlasený technickým zástupcem</w:t>
      </w:r>
    </w:p>
    <w:p>
      <w:pPr>
        <w:pStyle w:val="Style10"/>
        <w:keepNext w:val="0"/>
        <w:keepLines w:val="0"/>
        <w:framePr w:w="9134" w:h="14424" w:hRule="exact" w:wrap="none" w:vAnchor="page" w:hAnchor="page" w:x="1386" w:y="875"/>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objednatele,</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260" w:line="240" w:lineRule="auto"/>
        <w:ind w:left="0" w:right="0" w:firstLine="460"/>
        <w:jc w:val="both"/>
      </w:pPr>
      <w:r>
        <w:rPr>
          <w:color w:val="000000"/>
          <w:spacing w:val="0"/>
          <w:w w:val="100"/>
          <w:position w:val="0"/>
          <w:shd w:val="clear" w:color="auto" w:fill="auto"/>
          <w:lang w:val="cs-CZ" w:eastAsia="cs-CZ" w:bidi="cs-CZ"/>
        </w:rPr>
        <w:t>údaje pro daňové účely.</w:t>
      </w:r>
    </w:p>
    <w:p>
      <w:pPr>
        <w:pStyle w:val="Style10"/>
        <w:keepNext w:val="0"/>
        <w:keepLines w:val="0"/>
        <w:framePr w:w="9134" w:h="14424" w:hRule="exact" w:wrap="none" w:vAnchor="page" w:hAnchor="page" w:x="1386" w:y="875"/>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Konečná faktura DÍLA musí mimo výše uvedené náležitosti obsahovat:</w:t>
      </w:r>
    </w:p>
    <w:p>
      <w:pPr>
        <w:pStyle w:val="Style10"/>
        <w:keepNext w:val="0"/>
        <w:keepLines w:val="0"/>
        <w:framePr w:w="9134" w:h="14424" w:hRule="exact" w:wrap="none" w:vAnchor="page" w:hAnchor="page" w:x="1386" w:y="875"/>
        <w:widowControl w:val="0"/>
        <w:numPr>
          <w:ilvl w:val="0"/>
          <w:numId w:val="19"/>
        </w:numPr>
        <w:shd w:val="clear" w:color="auto" w:fill="auto"/>
        <w:tabs>
          <w:tab w:pos="813" w:val="left"/>
        </w:tabs>
        <w:bidi w:val="0"/>
        <w:spacing w:before="0" w:after="260" w:line="240" w:lineRule="auto"/>
        <w:ind w:left="820" w:right="0" w:hanging="360"/>
        <w:jc w:val="both"/>
      </w:pPr>
      <w:r>
        <w:rPr>
          <w:color w:val="000000"/>
          <w:spacing w:val="0"/>
          <w:w w:val="100"/>
          <w:position w:val="0"/>
          <w:shd w:val="clear" w:color="auto" w:fill="auto"/>
          <w:lang w:val="cs-CZ" w:eastAsia="cs-CZ" w:bidi="cs-CZ"/>
        </w:rPr>
        <w:t>jako přílohu oboustranně odsouhlasený Protokol o předání a převzetí DÍLA a zápis o odstranění vad a nedodělků DÍLA a o vyklizení jednotlivých míst realizace prací.</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V případě, že faktura vystavená dle tohoto oddílu této Smlouvy,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Daň z přidané hodnoty bude při fakturaci veškerých prací a dodávek účtována ve výši dle zákona o DPH, v platném znění. Objednatel prohlašuje, že objekt je používán k ekonomické činnosti a ve smyslu informace GFŘ a MFČR ze dne 9. 11. 2011 bude pro výše uvedenou dodávku aplikován režim přenesené daňové povinnosti podle § 92a zákona č. 235/2004 Sb., o DPH, ve znění pozdějších předpisů. Zhotovitel je povinen vystavit za podmínek uvedených v zákoně doklad s náležitostmi dle § 92a odst. 2 a § 29 zákona č. 235/2004 Sb., o DPH, ve znění pozdějších předpisů.</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 w:pos="4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Požadavkem objednatele je, aby faktury byly zhotovitelem přednostně zasílány do datové</w:t>
      </w:r>
    </w:p>
    <w:p>
      <w:pPr>
        <w:pStyle w:val="Style10"/>
        <w:keepNext w:val="0"/>
        <w:keepLines w:val="0"/>
        <w:framePr w:w="9134" w:h="14424" w:hRule="exact" w:wrap="none" w:vAnchor="page" w:hAnchor="page" w:x="1386" w:y="875"/>
        <w:widowControl w:val="0"/>
        <w:shd w:val="clear" w:color="auto" w:fill="auto"/>
        <w:bidi w:val="0"/>
        <w:spacing w:before="0" w:after="0" w:line="240" w:lineRule="auto"/>
        <w:ind w:left="460" w:right="0" w:firstLine="0"/>
        <w:jc w:val="both"/>
      </w:pPr>
      <w:r>
        <w:rPr>
          <w:color w:val="000000"/>
          <w:spacing w:val="0"/>
          <w:w w:val="100"/>
          <w:position w:val="0"/>
          <w:shd w:val="clear" w:color="auto" w:fill="auto"/>
          <w:lang w:val="cs-CZ" w:eastAsia="cs-CZ" w:bidi="cs-CZ"/>
        </w:rPr>
        <w:t>schránky objednatele ID: ukzbx4z, nebo případně lze faktury zaslat elektronicky e-mailem na adresu:</w:t>
      </w:r>
      <w:r>
        <w:fldChar w:fldCharType="begin"/>
      </w:r>
      <w:r>
        <w:rPr/>
        <w:instrText> HYPERLINK "mailto:posta@mmp.cz" </w:instrText>
      </w:r>
      <w:r>
        <w:fldChar w:fldCharType="separate"/>
      </w:r>
      <w:r>
        <w:rPr>
          <w:color w:val="000000"/>
          <w:spacing w:val="0"/>
          <w:w w:val="100"/>
          <w:position w:val="0"/>
          <w:shd w:val="clear" w:color="auto" w:fill="auto"/>
          <w:lang w:val="cs-CZ" w:eastAsia="cs-CZ" w:bidi="cs-CZ"/>
        </w:rPr>
        <w:t xml:space="preserve"> </w:t>
      </w:r>
      <w:r>
        <w:rPr>
          <w:color w:val="0000FF"/>
          <w:spacing w:val="0"/>
          <w:w w:val="100"/>
          <w:position w:val="0"/>
          <w:u w:val="single"/>
          <w:shd w:val="clear" w:color="auto" w:fill="auto"/>
          <w:lang w:val="en-US" w:eastAsia="en-US" w:bidi="en-US"/>
        </w:rPr>
        <w:t>posta@mmp.cz</w:t>
      </w:r>
      <w:r>
        <w:rPr>
          <w:color w:val="000000"/>
          <w:spacing w:val="0"/>
          <w:w w:val="100"/>
          <w:position w:val="0"/>
          <w:shd w:val="clear" w:color="auto" w:fill="auto"/>
          <w:lang w:val="en-US" w:eastAsia="en-US" w:bidi="en-US"/>
        </w:rPr>
        <w:t>.</w:t>
      </w:r>
      <w:r>
        <w:fldChar w:fldCharType="end"/>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Platba bude provedena formou bezhotovostního bankovního převodu na bankovní účet zhotovitele.</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Za okamžik úhrady se považuje okamžik odepsání hrazené částky z bankovního účtu objednatele.</w:t>
      </w:r>
    </w:p>
    <w:p>
      <w:pPr>
        <w:pStyle w:val="Style10"/>
        <w:keepNext w:val="0"/>
        <w:keepLines w:val="0"/>
        <w:framePr w:w="9134" w:h="14424" w:hRule="exact" w:wrap="none" w:vAnchor="page" w:hAnchor="page" w:x="1386" w:y="875"/>
        <w:widowControl w:val="0"/>
        <w:numPr>
          <w:ilvl w:val="0"/>
          <w:numId w:val="17"/>
        </w:numPr>
        <w:shd w:val="clear" w:color="auto" w:fill="auto"/>
        <w:tabs>
          <w:tab w:pos="41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Zhotovitel prohlašuje, že v okamžiku uskutečnění zdanitelného plnění nebude/není nespolehlivým plátcem a má zveřejněn bankovní účet v Registru plátců DPH. V případě</w:t>
      </w:r>
    </w:p>
    <w:p>
      <w:pPr>
        <w:pStyle w:val="Style2"/>
        <w:keepNext w:val="0"/>
        <w:keepLines w:val="0"/>
        <w:framePr w:w="437" w:h="298" w:hRule="exact" w:wrap="none" w:vAnchor="page" w:hAnchor="page" w:x="5739" w:y="15616"/>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- 5 -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20" w:h="206" w:hRule="exact" w:wrap="none" w:vAnchor="page" w:hAnchor="page" w:x="1391" w:y="608"/>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34" w:h="14635" w:hRule="exact" w:wrap="none" w:vAnchor="page" w:hAnchor="page" w:x="1386" w:y="87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34" w:h="14635" w:hRule="exact" w:wrap="none" w:vAnchor="page" w:hAnchor="page" w:x="1386" w:y="877"/>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nesplnění této podmínky bude objednatel zhotoviteli hradit pouze částku ve výši základu daně a DPH bude odvedeno místně příslušnému správci daně zhotovitele.</w:t>
      </w:r>
    </w:p>
    <w:p>
      <w:pPr>
        <w:pStyle w:val="Style10"/>
        <w:keepNext w:val="0"/>
        <w:keepLines w:val="0"/>
        <w:framePr w:w="9134" w:h="14635" w:hRule="exact" w:wrap="none" w:vAnchor="page" w:hAnchor="page" w:x="1386" w:y="877"/>
        <w:widowControl w:val="0"/>
        <w:numPr>
          <w:ilvl w:val="0"/>
          <w:numId w:val="17"/>
        </w:numPr>
        <w:shd w:val="clear" w:color="auto" w:fill="auto"/>
        <w:tabs>
          <w:tab w:pos="418" w:val="left"/>
        </w:tabs>
        <w:bidi w:val="0"/>
        <w:spacing w:before="0" w:after="0" w:line="240" w:lineRule="auto"/>
        <w:ind w:left="380" w:right="0" w:hanging="380"/>
        <w:jc w:val="both"/>
      </w:pPr>
      <w:r>
        <w:rPr>
          <w:color w:val="000000"/>
          <w:spacing w:val="0"/>
          <w:w w:val="100"/>
          <w:position w:val="0"/>
          <w:shd w:val="clear" w:color="auto" w:fill="auto"/>
          <w:lang w:val="cs-CZ" w:eastAsia="cs-CZ" w:bidi="cs-CZ"/>
        </w:rP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pPr>
        <w:pStyle w:val="Style10"/>
        <w:keepNext w:val="0"/>
        <w:keepLines w:val="0"/>
        <w:framePr w:w="9134" w:h="14635" w:hRule="exact" w:wrap="none" w:vAnchor="page" w:hAnchor="page" w:x="1386" w:y="877"/>
        <w:widowControl w:val="0"/>
        <w:numPr>
          <w:ilvl w:val="0"/>
          <w:numId w:val="17"/>
        </w:numPr>
        <w:shd w:val="clear" w:color="auto" w:fill="auto"/>
        <w:tabs>
          <w:tab w:pos="418" w:val="left"/>
        </w:tabs>
        <w:bidi w:val="0"/>
        <w:spacing w:before="0" w:after="240" w:line="240" w:lineRule="auto"/>
        <w:ind w:left="380" w:right="0" w:hanging="380"/>
        <w:jc w:val="both"/>
        <w:rPr>
          <w:sz w:val="24"/>
          <w:szCs w:val="24"/>
        </w:rPr>
      </w:pPr>
      <w:r>
        <w:rPr>
          <w:color w:val="000000"/>
          <w:spacing w:val="0"/>
          <w:w w:val="100"/>
          <w:position w:val="0"/>
          <w:sz w:val="22"/>
          <w:szCs w:val="22"/>
          <w:shd w:val="clear" w:color="auto" w:fill="auto"/>
          <w:lang w:val="cs-CZ" w:eastAsia="cs-CZ" w:bidi="cs-CZ"/>
        </w:rP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14"/>
        <w:keepNext w:val="0"/>
        <w:keepLines w:val="0"/>
        <w:framePr w:w="9134" w:h="14635" w:hRule="exact" w:wrap="none" w:vAnchor="page" w:hAnchor="page" w:x="1386" w:y="877"/>
        <w:widowControl w:val="0"/>
        <w:shd w:val="clear" w:color="auto" w:fill="auto"/>
        <w:bidi w:val="0"/>
        <w:spacing w:before="0" w:after="0" w:line="240" w:lineRule="auto"/>
        <w:ind w:left="0" w:right="0" w:firstLine="0"/>
        <w:jc w:val="center"/>
      </w:pPr>
      <w:bookmarkStart w:id="13" w:name="bookmark13"/>
      <w:r>
        <w:rPr>
          <w:color w:val="000000"/>
          <w:spacing w:val="0"/>
          <w:w w:val="100"/>
          <w:position w:val="0"/>
          <w:u w:val="none"/>
          <w:shd w:val="clear" w:color="auto" w:fill="auto"/>
          <w:lang w:val="cs-CZ" w:eastAsia="cs-CZ" w:bidi="cs-CZ"/>
        </w:rPr>
        <w:t>Oddíl II.</w:t>
      </w:r>
      <w:bookmarkEnd w:id="13"/>
    </w:p>
    <w:p>
      <w:pPr>
        <w:pStyle w:val="Style14"/>
        <w:keepNext w:val="0"/>
        <w:keepLines w:val="0"/>
        <w:framePr w:w="9134" w:h="14635" w:hRule="exact" w:wrap="none" w:vAnchor="page" w:hAnchor="page" w:x="1386" w:y="877"/>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Realizace DÍLA</w:t>
      </w:r>
    </w:p>
    <w:p>
      <w:pPr>
        <w:pStyle w:val="Style14"/>
        <w:keepNext w:val="0"/>
        <w:keepLines w:val="0"/>
        <w:framePr w:w="9134" w:h="14635" w:hRule="exact" w:wrap="none" w:vAnchor="page" w:hAnchor="page" w:x="1386" w:y="877"/>
        <w:widowControl w:val="0"/>
        <w:numPr>
          <w:ilvl w:val="0"/>
          <w:numId w:val="21"/>
        </w:numPr>
        <w:shd w:val="clear" w:color="auto" w:fill="auto"/>
        <w:tabs>
          <w:tab w:pos="250" w:val="left"/>
        </w:tabs>
        <w:bidi w:val="0"/>
        <w:spacing w:before="0" w:after="240" w:line="240" w:lineRule="auto"/>
        <w:ind w:left="0" w:right="0" w:firstLine="0"/>
        <w:jc w:val="center"/>
      </w:pPr>
      <w:bookmarkStart w:id="16" w:name="bookmark16"/>
      <w:r>
        <w:rPr>
          <w:color w:val="000000"/>
          <w:spacing w:val="0"/>
          <w:w w:val="100"/>
          <w:position w:val="0"/>
          <w:shd w:val="clear" w:color="auto" w:fill="auto"/>
          <w:lang w:val="cs-CZ" w:eastAsia="cs-CZ" w:bidi="cs-CZ"/>
        </w:rPr>
        <w:t>Odevzdání a převzetí staveniště</w:t>
      </w:r>
      <w:bookmarkEnd w:id="16"/>
    </w:p>
    <w:p>
      <w:pPr>
        <w:pStyle w:val="Style10"/>
        <w:keepNext w:val="0"/>
        <w:keepLines w:val="0"/>
        <w:framePr w:w="9134" w:h="14635" w:hRule="exact" w:wrap="none" w:vAnchor="page" w:hAnchor="page" w:x="1386" w:y="877"/>
        <w:widowControl w:val="0"/>
        <w:numPr>
          <w:ilvl w:val="0"/>
          <w:numId w:val="23"/>
        </w:numPr>
        <w:shd w:val="clear" w:color="auto" w:fill="auto"/>
        <w:tabs>
          <w:tab w:pos="270"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předá zhotoviteli staveniště bezprostředně, nejpozději do 10 dnů od nabytí účinnosti této SOD, nebude-li mezi smluvními stranami dohodnuto jinak, přičemž zhotovitel je povinen staveniště v uvedeném termínu převzít. Nesplní-li zhotovitel svou povinnost převzít místo plnění DÍLA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pPr>
        <w:pStyle w:val="Style10"/>
        <w:keepNext w:val="0"/>
        <w:keepLines w:val="0"/>
        <w:framePr w:w="9134" w:h="14635" w:hRule="exact" w:wrap="none" w:vAnchor="page" w:hAnchor="page" w:x="1386" w:y="877"/>
        <w:widowControl w:val="0"/>
        <w:numPr>
          <w:ilvl w:val="0"/>
          <w:numId w:val="23"/>
        </w:numPr>
        <w:shd w:val="clear" w:color="auto" w:fill="auto"/>
        <w:tabs>
          <w:tab w:pos="27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 předání staveniště smluvní strany sepíší zápis, podepsaný jejich zástupci a k datu podpisu tohoto zápisu zhotovitel prohlašuje, že se seznámil se stavem staveniště, a tento je mu znám. Odmítne-li zhotovitel převzít staveniště, je povinen uvést do zápisu důvody tohoto nepřevzetí. Dnem převzetí staveniště se má za to, že zhotovitel je obeznámen s lokalitou staveniště.</w:t>
      </w:r>
    </w:p>
    <w:p>
      <w:pPr>
        <w:pStyle w:val="Style10"/>
        <w:keepNext w:val="0"/>
        <w:keepLines w:val="0"/>
        <w:framePr w:w="9134" w:h="14635" w:hRule="exact" w:wrap="none" w:vAnchor="page" w:hAnchor="page" w:x="1386" w:y="877"/>
        <w:widowControl w:val="0"/>
        <w:numPr>
          <w:ilvl w:val="0"/>
          <w:numId w:val="23"/>
        </w:numPr>
        <w:shd w:val="clear" w:color="auto" w:fill="auto"/>
        <w:tabs>
          <w:tab w:pos="27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pPr>
        <w:pStyle w:val="Style10"/>
        <w:keepNext w:val="0"/>
        <w:keepLines w:val="0"/>
        <w:framePr w:w="9134" w:h="14635" w:hRule="exact" w:wrap="none" w:vAnchor="page" w:hAnchor="page" w:x="1386" w:y="877"/>
        <w:widowControl w:val="0"/>
        <w:numPr>
          <w:ilvl w:val="0"/>
          <w:numId w:val="23"/>
        </w:numPr>
        <w:shd w:val="clear" w:color="auto" w:fill="auto"/>
        <w:tabs>
          <w:tab w:pos="284"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pPr>
        <w:pStyle w:val="Style10"/>
        <w:keepNext w:val="0"/>
        <w:keepLines w:val="0"/>
        <w:framePr w:w="9134" w:h="14635" w:hRule="exact" w:wrap="none" w:vAnchor="page" w:hAnchor="page" w:x="1386" w:y="877"/>
        <w:widowControl w:val="0"/>
        <w:numPr>
          <w:ilvl w:val="0"/>
          <w:numId w:val="23"/>
        </w:numPr>
        <w:shd w:val="clear" w:color="auto" w:fill="auto"/>
        <w:tabs>
          <w:tab w:pos="27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je povinen seznámit se s riziky na staveništi, upozornit na ně své pracovníky a určit způsob ochrany a prevence proti úrazům a jinému poškození zdraví.</w:t>
      </w:r>
    </w:p>
    <w:p>
      <w:pPr>
        <w:pStyle w:val="Style10"/>
        <w:keepNext w:val="0"/>
        <w:keepLines w:val="0"/>
        <w:framePr w:w="9134" w:h="14635" w:hRule="exact" w:wrap="none" w:vAnchor="page" w:hAnchor="page" w:x="1386" w:y="877"/>
        <w:widowControl w:val="0"/>
        <w:numPr>
          <w:ilvl w:val="0"/>
          <w:numId w:val="23"/>
        </w:numPr>
        <w:shd w:val="clear" w:color="auto" w:fill="auto"/>
        <w:tabs>
          <w:tab w:pos="279"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odpovídá za veškeré škody, které by objednateli či třetím osobám v důsledku provádění DÍLA, vznikly.</w:t>
      </w:r>
    </w:p>
    <w:p>
      <w:pPr>
        <w:pStyle w:val="Style2"/>
        <w:keepNext w:val="0"/>
        <w:keepLines w:val="0"/>
        <w:framePr w:w="437" w:h="298" w:hRule="exact" w:wrap="none" w:vAnchor="page" w:hAnchor="page" w:x="5730" w:y="15618"/>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- 6 -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1403" w:y="512"/>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rap="none" w:vAnchor="page" w:hAnchor="page" w:x="7537" w:y="748"/>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Smlouva o dílo č. OMI-VZMR-2025-02..</w:t>
      </w:r>
    </w:p>
    <w:p>
      <w:pPr>
        <w:pStyle w:val="Style14"/>
        <w:keepNext w:val="0"/>
        <w:keepLines w:val="0"/>
        <w:framePr w:w="9120" w:h="13598" w:hRule="exact" w:wrap="none" w:vAnchor="page" w:hAnchor="page" w:x="1393" w:y="1559"/>
        <w:widowControl w:val="0"/>
        <w:numPr>
          <w:ilvl w:val="0"/>
          <w:numId w:val="21"/>
        </w:numPr>
        <w:shd w:val="clear" w:color="auto" w:fill="auto"/>
        <w:tabs>
          <w:tab w:pos="327" w:val="left"/>
        </w:tabs>
        <w:bidi w:val="0"/>
        <w:spacing w:before="0" w:line="240" w:lineRule="auto"/>
        <w:ind w:left="0" w:right="0" w:firstLine="0"/>
        <w:jc w:val="center"/>
      </w:pPr>
      <w:bookmarkStart w:id="18" w:name="bookmark18"/>
      <w:r>
        <w:rPr>
          <w:color w:val="000000"/>
          <w:spacing w:val="0"/>
          <w:w w:val="100"/>
          <w:position w:val="0"/>
          <w:shd w:val="clear" w:color="auto" w:fill="auto"/>
          <w:lang w:val="cs-CZ" w:eastAsia="cs-CZ" w:bidi="cs-CZ"/>
        </w:rPr>
        <w:t>Kvalifikační podmínky</w:t>
      </w:r>
      <w:bookmarkEnd w:id="18"/>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w:t>
      </w:r>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Kč, za každé jednotlivé porušení těchto povinností.</w:t>
      </w:r>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pPr>
        <w:pStyle w:val="Style10"/>
        <w:keepNext w:val="0"/>
        <w:keepLines w:val="0"/>
        <w:framePr w:w="9120" w:h="13598" w:hRule="exact" w:wrap="none" w:vAnchor="page" w:hAnchor="page" w:x="1393" w:y="1559"/>
        <w:widowControl w:val="0"/>
        <w:numPr>
          <w:ilvl w:val="0"/>
          <w:numId w:val="25"/>
        </w:numPr>
        <w:shd w:val="clear" w:color="auto" w:fill="auto"/>
        <w:tabs>
          <w:tab w:pos="346" w:val="left"/>
        </w:tabs>
        <w:bidi w:val="0"/>
        <w:spacing w:before="0" w:after="260" w:line="240" w:lineRule="auto"/>
        <w:ind w:left="380" w:right="0" w:hanging="380"/>
        <w:jc w:val="both"/>
      </w:pPr>
      <w:r>
        <w:rPr>
          <w:color w:val="000000"/>
          <w:spacing w:val="0"/>
          <w:w w:val="100"/>
          <w:position w:val="0"/>
          <w:shd w:val="clear" w:color="auto" w:fill="auto"/>
          <w:lang w:val="cs-CZ" w:eastAsia="cs-CZ" w:bidi="cs-CZ"/>
        </w:rPr>
        <w:t>Součástí zhotovení DÍLA je zajištění a předložení všech dokladů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pPr>
        <w:pStyle w:val="Style14"/>
        <w:keepNext w:val="0"/>
        <w:keepLines w:val="0"/>
        <w:framePr w:w="9120" w:h="13598" w:hRule="exact" w:wrap="none" w:vAnchor="page" w:hAnchor="page" w:x="1393" w:y="1559"/>
        <w:widowControl w:val="0"/>
        <w:numPr>
          <w:ilvl w:val="0"/>
          <w:numId w:val="21"/>
        </w:numPr>
        <w:shd w:val="clear" w:color="auto" w:fill="auto"/>
        <w:tabs>
          <w:tab w:pos="490" w:val="left"/>
        </w:tabs>
        <w:bidi w:val="0"/>
        <w:spacing w:before="0" w:line="240" w:lineRule="auto"/>
        <w:ind w:left="0" w:right="0" w:firstLine="0"/>
        <w:jc w:val="center"/>
      </w:pPr>
      <w:bookmarkStart w:id="20" w:name="bookmark20"/>
      <w:r>
        <w:rPr>
          <w:color w:val="000000"/>
          <w:spacing w:val="0"/>
          <w:w w:val="100"/>
          <w:position w:val="0"/>
          <w:shd w:val="clear" w:color="auto" w:fill="auto"/>
          <w:lang w:val="cs-CZ" w:eastAsia="cs-CZ" w:bidi="cs-CZ"/>
        </w:rPr>
        <w:t>Povinnosti zhotovitele</w:t>
      </w:r>
      <w:bookmarkEnd w:id="20"/>
    </w:p>
    <w:p>
      <w:pPr>
        <w:pStyle w:val="Style10"/>
        <w:keepNext w:val="0"/>
        <w:keepLines w:val="0"/>
        <w:framePr w:w="9120" w:h="13598" w:hRule="exact" w:wrap="none" w:vAnchor="page" w:hAnchor="page" w:x="1393" w:y="1559"/>
        <w:widowControl w:val="0"/>
        <w:numPr>
          <w:ilvl w:val="0"/>
          <w:numId w:val="27"/>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po uzavření této Smlouvy zabezpečit nutnou přípravu pro zhotovení DÍLA a organizovat svoji činnost tak, aby bylo DÍLO splněno v dohodnutém termínu, stanoveném v oddílu I., čl. II. této Smlouvy.</w:t>
      </w:r>
    </w:p>
    <w:p>
      <w:pPr>
        <w:pStyle w:val="Style10"/>
        <w:keepNext w:val="0"/>
        <w:keepLines w:val="0"/>
        <w:framePr w:w="9120" w:h="13598" w:hRule="exact" w:wrap="none" w:vAnchor="page" w:hAnchor="page" w:x="1393" w:y="1559"/>
        <w:widowControl w:val="0"/>
        <w:numPr>
          <w:ilvl w:val="0"/>
          <w:numId w:val="27"/>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pPr>
        <w:pStyle w:val="Style10"/>
        <w:keepNext w:val="0"/>
        <w:keepLines w:val="0"/>
        <w:framePr w:w="9120" w:h="13598" w:hRule="exact" w:wrap="none" w:vAnchor="page" w:hAnchor="page" w:x="1393" w:y="1559"/>
        <w:widowControl w:val="0"/>
        <w:numPr>
          <w:ilvl w:val="0"/>
          <w:numId w:val="27"/>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dodržet veškeré povinnosti, uložené v souvislosti se zhotovováním DÍLA, příslušnými správními orgány.</w:t>
      </w:r>
    </w:p>
    <w:p>
      <w:pPr>
        <w:pStyle w:val="Style10"/>
        <w:keepNext w:val="0"/>
        <w:keepLines w:val="0"/>
        <w:framePr w:w="9120" w:h="13598" w:hRule="exact" w:wrap="none" w:vAnchor="page" w:hAnchor="page" w:x="1393" w:y="1559"/>
        <w:widowControl w:val="0"/>
        <w:numPr>
          <w:ilvl w:val="0"/>
          <w:numId w:val="27"/>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odpovídá za veškeré škody a sankce, které by v důsledku porušení právních předpisů či povinností uložených příslušnými správními orgány při provádění DÍLA zhotovitelem, vznikly.</w:t>
      </w:r>
    </w:p>
    <w:p>
      <w:pPr>
        <w:pStyle w:val="Style2"/>
        <w:keepNext w:val="0"/>
        <w:keepLines w:val="0"/>
        <w:framePr w:w="437" w:h="298" w:hRule="exact" w:wrap="none" w:vAnchor="page" w:hAnchor="page" w:x="5732" w:y="15522"/>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- 7 -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15" w:h="206" w:hRule="exact" w:wrap="none" w:vAnchor="page" w:hAnchor="page" w:x="1398" w:y="493"/>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9115" w:h="178" w:hRule="exact" w:wrap="none" w:vAnchor="page" w:hAnchor="page" w:x="1398" w:y="752"/>
        <w:widowControl w:val="0"/>
        <w:shd w:val="clear" w:color="auto" w:fill="auto"/>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Smlouva o dílo č. OMI-VZMR-2025-02..</w:t>
      </w:r>
    </w:p>
    <w:p>
      <w:pPr>
        <w:pStyle w:val="Style10"/>
        <w:keepNext w:val="0"/>
        <w:keepLines w:val="0"/>
        <w:framePr w:w="9120" w:h="14438" w:hRule="exact" w:wrap="none" w:vAnchor="page" w:hAnchor="page" w:x="1393" w:y="978"/>
        <w:widowControl w:val="0"/>
        <w:numPr>
          <w:ilvl w:val="0"/>
          <w:numId w:val="27"/>
        </w:numPr>
        <w:shd w:val="clear" w:color="auto" w:fill="auto"/>
        <w:tabs>
          <w:tab w:pos="34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se zavazuje zajistit na své náklady a odpovědnost vybudování veškerého zařízení staveniště, které bude nezbytné pro provedení DÍLA a jeho provoz dle TZ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 xml:space="preserve">“. </w:t>
      </w: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případě porušení této povinnosti je zhotovitel povinen objednateli uhradit smluvní pokutu ve výši 5.000,-- Kč, za každé jednotlivé porušení této povinnosti.</w:t>
      </w:r>
    </w:p>
    <w:p>
      <w:pPr>
        <w:pStyle w:val="Style10"/>
        <w:keepNext w:val="0"/>
        <w:keepLines w:val="0"/>
        <w:framePr w:w="9120" w:h="14438" w:hRule="exact" w:wrap="none" w:vAnchor="page" w:hAnchor="page" w:x="1393" w:y="978"/>
        <w:widowControl w:val="0"/>
        <w:numPr>
          <w:ilvl w:val="0"/>
          <w:numId w:val="27"/>
        </w:numPr>
        <w:shd w:val="clear" w:color="auto" w:fill="auto"/>
        <w:tabs>
          <w:tab w:pos="34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si zajistit na své náklady odběrná místa el. energie, vody a ostatních služeb, nutných k provedení DÍLA, včetně měření odběrů. Napojovací body si dohodne s odběratelem příslušných energií.</w:t>
      </w:r>
    </w:p>
    <w:p>
      <w:pPr>
        <w:pStyle w:val="Style10"/>
        <w:keepNext w:val="0"/>
        <w:keepLines w:val="0"/>
        <w:framePr w:w="9120" w:h="14438" w:hRule="exact" w:wrap="none" w:vAnchor="page" w:hAnchor="page" w:x="1393" w:y="978"/>
        <w:widowControl w:val="0"/>
        <w:numPr>
          <w:ilvl w:val="0"/>
          <w:numId w:val="27"/>
        </w:numPr>
        <w:shd w:val="clear" w:color="auto" w:fill="auto"/>
        <w:tabs>
          <w:tab w:pos="34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v rámci své výrobní přípravy vypracovat potřebné technologické postupy BOZP a požárního zabezpečení a před zahájením realizace DÍLA projednat postup prací s objednatelem.</w:t>
      </w:r>
    </w:p>
    <w:p>
      <w:pPr>
        <w:pStyle w:val="Style10"/>
        <w:keepNext w:val="0"/>
        <w:keepLines w:val="0"/>
        <w:framePr w:w="9120" w:h="14438" w:hRule="exact" w:wrap="none" w:vAnchor="page" w:hAnchor="page" w:x="1393" w:y="978"/>
        <w:widowControl w:val="0"/>
        <w:numPr>
          <w:ilvl w:val="0"/>
          <w:numId w:val="27"/>
        </w:numPr>
        <w:shd w:val="clear" w:color="auto" w:fill="auto"/>
        <w:tabs>
          <w:tab w:pos="34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respektovat specifika provozu areálu Městského atletického stadionu (MAS) Dukla v Pardubicích.</w:t>
      </w:r>
    </w:p>
    <w:p>
      <w:pPr>
        <w:pStyle w:val="Style10"/>
        <w:keepNext w:val="0"/>
        <w:keepLines w:val="0"/>
        <w:framePr w:w="9120" w:h="14438" w:hRule="exact" w:wrap="none" w:vAnchor="page" w:hAnchor="page" w:x="1393" w:y="978"/>
        <w:widowControl w:val="0"/>
        <w:numPr>
          <w:ilvl w:val="0"/>
          <w:numId w:val="27"/>
        </w:numPr>
        <w:shd w:val="clear" w:color="auto" w:fill="auto"/>
        <w:tabs>
          <w:tab w:pos="345" w:val="left"/>
          <w:tab w:pos="346"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DÍLO bude realizováno za provozu, zhotovitel je povinen přizpůsobit svoji činnost a nebránit</w:t>
      </w:r>
    </w:p>
    <w:p>
      <w:pPr>
        <w:pStyle w:val="Style10"/>
        <w:keepNext w:val="0"/>
        <w:keepLines w:val="0"/>
        <w:framePr w:w="9120" w:h="14438" w:hRule="exact" w:wrap="none" w:vAnchor="page" w:hAnchor="page" w:x="1393" w:y="978"/>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tomuto provozu. Musí být zajištěna bezpečnost a zdraví osob a zároveň to, aby uživatelé Městského atletického stadionu (MAS) Dukla v Pardubicích, nebyli obtěžováni nadměrnou prašností, hlukem apod. V případě porušení těchto povinností je zhotovitel povinen uhradit objednateli smluvní pokutu ve výši 5.000,- Kč, za každé jednotlivé porušení těchto povinností.</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se zavazuje v maximální míře, kterou lze po něm spravedlivě požadovat, spolupracovat s objednatelem a reagovat na jeho oprávněné požadavky. V případě porušení této povinnosti je zhotovitel povinen uhradit objednateli smluvní pokutu ve výši 5.000,- Kč, za každé porušení této povinnosti.</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na své náklady zajistí řádné označení a zabezpečí prostor staveniště v souladu s obecně platnými předpisy. V případě porušení této povinnosti je zhotovitel povinen objednateli uhradit jednorázovou smluvní pokutu ve výši 50.000,-- Kč.</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5.000,-- Kč, za každé jednotlivé porušení této povinnosti.</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na sebe přejímá zodpovědnost za škody způsobené na zhotovovaném DÍLE po celou dobu výstavby, tzn. do převzetí předmětu DÍLA objednatelem, stejně tak za škody způsobené svou stavební a jinou činností, třetí osobě.</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zabezpečit stavbu proti povětrnostním vlivům.</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5.000,-- Kč, za každé jednotlivé porušení této povinnosti.</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5.000,-- Kč, za každé jednotlivé porušení této povinnosti.</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5.000,- Kč, dále je v tomto případě objednatel oprávněn od této Smlouvy odstoupit.</w:t>
      </w:r>
    </w:p>
    <w:p>
      <w:pPr>
        <w:pStyle w:val="Style10"/>
        <w:keepNext w:val="0"/>
        <w:keepLines w:val="0"/>
        <w:framePr w:w="9120" w:h="14438" w:hRule="exact" w:wrap="none" w:vAnchor="page" w:hAnchor="page" w:x="1393" w:y="978"/>
        <w:widowControl w:val="0"/>
        <w:numPr>
          <w:ilvl w:val="0"/>
          <w:numId w:val="27"/>
        </w:numPr>
        <w:shd w:val="clear" w:color="auto" w:fill="auto"/>
        <w:tabs>
          <w:tab w:pos="385"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je povinen zajistit, aby stavební deník byl trvale přístupný na stavbě. Originál stavebního deníku je majetkem objednatele, zhotovitel je oprávněn si pořídit ověřenou kopii.</w:t>
      </w:r>
    </w:p>
    <w:p>
      <w:pPr>
        <w:pStyle w:val="Style2"/>
        <w:keepNext w:val="0"/>
        <w:keepLines w:val="0"/>
        <w:framePr w:w="9115" w:h="235" w:hRule="exact" w:wrap="none" w:vAnchor="page" w:hAnchor="page" w:x="1398" w:y="15565"/>
        <w:widowControl w:val="0"/>
        <w:shd w:val="clear" w:color="auto" w:fill="auto"/>
        <w:bidi w:val="0"/>
        <w:spacing w:before="0" w:after="0" w:line="233"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- 8 -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1393" w:y="515"/>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9110" w:h="158" w:hRule="exact" w:wrap="none" w:vAnchor="page" w:hAnchor="page" w:x="1393" w:y="750"/>
        <w:widowControl w:val="0"/>
        <w:shd w:val="clear" w:color="auto" w:fill="auto"/>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Smlouva o dílo č. OMI-VZMR-2025-02..</w:t>
      </w:r>
    </w:p>
    <w:p>
      <w:pPr>
        <w:pStyle w:val="Style10"/>
        <w:keepNext w:val="0"/>
        <w:keepLines w:val="0"/>
        <w:framePr w:w="9120" w:h="14443" w:hRule="exact" w:wrap="none" w:vAnchor="page" w:hAnchor="page" w:x="1393" w:y="995"/>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Povinnost vedení stavebního deníku končí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 Dále je v případě porušení této povinnosti objednatel oprávněn od této Smlouvy odstoupit.</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TZ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 autorský dozor nebo příslušné orgány státní správy. Nesouhlasí-li stavbyvedoucí se zápisem, který učinil objednatel nebo jím pověřený zástupce, případně zpracovatel TZ „</w:t>
      </w:r>
      <w:r>
        <w:rPr>
          <w:i/>
          <w:iCs/>
          <w:color w:val="000000"/>
          <w:spacing w:val="0"/>
          <w:w w:val="100"/>
          <w:position w:val="0"/>
          <w:shd w:val="clear" w:color="auto" w:fill="auto"/>
          <w:lang w:val="cs-CZ" w:eastAsia="cs-CZ" w:bidi="cs-CZ"/>
        </w:rPr>
        <w:t>Oprava rozhlasové kabiny - MAS Dukla v Pardubicích</w:t>
      </w:r>
      <w:r>
        <w:rPr>
          <w:color w:val="000000"/>
          <w:spacing w:val="0"/>
          <w:w w:val="100"/>
          <w:position w:val="0"/>
          <w:shd w:val="clear" w:color="auto" w:fill="auto"/>
          <w:lang w:val="cs-CZ" w:eastAsia="cs-CZ" w:bidi="cs-CZ"/>
        </w:rPr>
        <w:t>“, do stavebního deníku, musí k tomuto zápisu připojit své stanovisko nejpozději do tří pracovních dnů, jinak se má za to, že s uvedeným zápisem souhlasí.</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w:t>
      </w:r>
    </w:p>
    <w:p>
      <w:pPr>
        <w:pStyle w:val="Style10"/>
        <w:keepNext w:val="0"/>
        <w:keepLines w:val="0"/>
        <w:framePr w:w="9120" w:h="14443" w:hRule="exact" w:wrap="none" w:vAnchor="page" w:hAnchor="page" w:x="1393" w:y="995"/>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Seznam prací a konstrukcí, které podléhají kontrole, bude dohodnut při zahájení prací zápisem do stavebního deníku.</w:t>
      </w:r>
    </w:p>
    <w:p>
      <w:pPr>
        <w:pStyle w:val="Style10"/>
        <w:keepNext w:val="0"/>
        <w:keepLines w:val="0"/>
        <w:framePr w:w="9120" w:h="14443" w:hRule="exact" w:wrap="none" w:vAnchor="page" w:hAnchor="page" w:x="1393" w:y="995"/>
        <w:widowControl w:val="0"/>
        <w:shd w:val="clear" w:color="auto" w:fill="auto"/>
        <w:bidi w:val="0"/>
        <w:spacing w:before="0" w:after="0" w:line="240" w:lineRule="auto"/>
        <w:ind w:left="360" w:right="0" w:firstLine="0"/>
        <w:jc w:val="both"/>
      </w:pPr>
      <w:r>
        <w:rPr>
          <w:color w:val="000000"/>
          <w:spacing w:val="0"/>
          <w:w w:val="100"/>
          <w:position w:val="0"/>
          <w:shd w:val="clear" w:color="auto" w:fill="auto"/>
          <w:lang w:val="cs-CZ" w:eastAsia="cs-CZ" w:bidi="cs-CZ"/>
        </w:rPr>
        <w:t>Objednatel má právo kontroly prováděné stavby a má právo přístupu na staveniště, a to kdykoli.</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je povinen v rámci stavby umožnit výkon technického dozoru objednatele, výkon autorského dozoru zpracovatele TZ.</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se zavazuje pravidelně 1x týdně svolávat kontrolní dny, na které bude pozván zplnomocněný zástupce objednatele. V případě porušení této povinnosti je zhotovitel povinen objednateli uhradit smluvní pokutu ve výši 5.000,-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Změny TZ jsou možné pouze po předchozím odsouhlasení zmocněnými zástupci obou smluvních stran, po projednání se zpracovatelem TZ. Zhotovitel provedl kontrolu TZ a prohlašuje, že TZ je úplná a dostatečná pro kompletní realizaci DÍLA a zhotovitel je schopen na základě této TZ DÍLO realizovat dle podmínek této SOD.</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K záměnám materiálů a výrobků oproti poskytnutým podkladům, je vždy třeba předchozího písemného souhlasu objednatele. V případě porušení této povinnosti je zhotovitel povinen objednateli uhradit smluvní pokutu ve výši 5.000,-- Kč, za každé jednotlivé porušení této povinnosti.</w:t>
      </w:r>
    </w:p>
    <w:p>
      <w:pPr>
        <w:pStyle w:val="Style10"/>
        <w:keepNext w:val="0"/>
        <w:keepLines w:val="0"/>
        <w:framePr w:w="9120" w:h="14443" w:hRule="exact" w:wrap="none" w:vAnchor="page" w:hAnchor="page" w:x="1393" w:y="995"/>
        <w:widowControl w:val="0"/>
        <w:numPr>
          <w:ilvl w:val="0"/>
          <w:numId w:val="27"/>
        </w:numPr>
        <w:shd w:val="clear" w:color="auto" w:fill="auto"/>
        <w:tabs>
          <w:tab w:pos="394" w:val="left"/>
        </w:tabs>
        <w:bidi w:val="0"/>
        <w:spacing w:before="0" w:after="0" w:line="240" w:lineRule="auto"/>
        <w:ind w:left="400" w:right="0" w:hanging="400"/>
        <w:jc w:val="both"/>
      </w:pPr>
      <w:r>
        <w:rPr>
          <w:color w:val="000000"/>
          <w:spacing w:val="0"/>
          <w:w w:val="100"/>
          <w:position w:val="0"/>
          <w:shd w:val="clear" w:color="auto" w:fill="auto"/>
          <w:lang w:val="cs-CZ" w:eastAsia="cs-CZ" w:bidi="cs-CZ"/>
        </w:rPr>
        <w:t>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w:t>
      </w:r>
    </w:p>
    <w:p>
      <w:pPr>
        <w:pStyle w:val="Style2"/>
        <w:keepNext w:val="0"/>
        <w:keepLines w:val="0"/>
        <w:framePr w:w="9110" w:h="250" w:hRule="exact" w:wrap="none" w:vAnchor="page" w:hAnchor="page" w:x="1393" w:y="15587"/>
        <w:widowControl w:val="0"/>
        <w:shd w:val="clear" w:color="auto" w:fill="auto"/>
        <w:bidi w:val="0"/>
        <w:spacing w:before="0" w:after="0" w:line="233"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- 9 -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15" w:h="206" w:hRule="exact" w:wrap="none" w:vAnchor="page" w:hAnchor="page" w:x="1398" w:y="515"/>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9115" w:h="125" w:hRule="exact" w:wrap="none" w:vAnchor="page" w:hAnchor="page" w:x="1398" w:y="784"/>
        <w:widowControl w:val="0"/>
        <w:shd w:val="clear" w:color="auto" w:fill="auto"/>
        <w:bidi w:val="0"/>
        <w:spacing w:before="0" w:after="0" w:line="240" w:lineRule="auto"/>
        <w:ind w:left="0" w:right="0" w:firstLine="0"/>
        <w:jc w:val="right"/>
      </w:pPr>
      <w:r>
        <w:rPr>
          <w:b w:val="0"/>
          <w:bCs w:val="0"/>
          <w:color w:val="000000"/>
          <w:spacing w:val="0"/>
          <w:w w:val="100"/>
          <w:position w:val="0"/>
          <w:shd w:val="clear" w:color="auto" w:fill="auto"/>
          <w:lang w:val="cs-CZ" w:eastAsia="cs-CZ" w:bidi="cs-CZ"/>
        </w:rPr>
        <w:t>Smlouva o dílo č. OMI-VZMR-2025-02..</w:t>
      </w:r>
    </w:p>
    <w:p>
      <w:pPr>
        <w:pStyle w:val="Style10"/>
        <w:keepNext w:val="0"/>
        <w:keepLines w:val="0"/>
        <w:framePr w:w="9120" w:h="14424" w:hRule="exact" w:wrap="none" w:vAnchor="page" w:hAnchor="page" w:x="1393" w:y="1014"/>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5.000,- Kč, za každý jednotlivý zjištěný případ porušení této povinnosti.</w:t>
      </w:r>
    </w:p>
    <w:p>
      <w:pPr>
        <w:pStyle w:val="Style10"/>
        <w:keepNext w:val="0"/>
        <w:keepLines w:val="0"/>
        <w:framePr w:w="9120" w:h="14424" w:hRule="exact" w:wrap="none" w:vAnchor="page" w:hAnchor="page" w:x="1393" w:y="1014"/>
        <w:widowControl w:val="0"/>
        <w:numPr>
          <w:ilvl w:val="0"/>
          <w:numId w:val="27"/>
        </w:numPr>
        <w:shd w:val="clear" w:color="auto" w:fill="auto"/>
        <w:tabs>
          <w:tab w:pos="394" w:val="left"/>
        </w:tabs>
        <w:bidi w:val="0"/>
        <w:spacing w:before="0" w:after="0" w:line="240" w:lineRule="auto"/>
        <w:ind w:left="420" w:right="0" w:hanging="420"/>
        <w:jc w:val="both"/>
      </w:pPr>
      <w:r>
        <w:rPr>
          <w:color w:val="000000"/>
          <w:spacing w:val="0"/>
          <w:w w:val="100"/>
          <w:position w:val="0"/>
          <w:shd w:val="clear" w:color="auto" w:fill="auto"/>
          <w:lang w:val="cs-CZ" w:eastAsia="cs-CZ" w:bidi="cs-CZ"/>
        </w:rP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5.000,- Kč, za každý jednotlivý zjištěný případ porušení této povinnosti.</w:t>
      </w:r>
    </w:p>
    <w:p>
      <w:pPr>
        <w:pStyle w:val="Style10"/>
        <w:keepNext w:val="0"/>
        <w:keepLines w:val="0"/>
        <w:framePr w:w="9120" w:h="14424" w:hRule="exact" w:wrap="none" w:vAnchor="page" w:hAnchor="page" w:x="1393" w:y="1014"/>
        <w:widowControl w:val="0"/>
        <w:numPr>
          <w:ilvl w:val="0"/>
          <w:numId w:val="27"/>
        </w:numPr>
        <w:shd w:val="clear" w:color="auto" w:fill="auto"/>
        <w:tabs>
          <w:tab w:pos="394" w:val="left"/>
        </w:tabs>
        <w:bidi w:val="0"/>
        <w:spacing w:before="0" w:after="0" w:line="240" w:lineRule="auto"/>
        <w:ind w:left="420" w:right="0" w:hanging="420"/>
        <w:jc w:val="both"/>
      </w:pPr>
      <w:r>
        <w:rPr>
          <w:color w:val="000000"/>
          <w:spacing w:val="0"/>
          <w:w w:val="100"/>
          <w:position w:val="0"/>
          <w:shd w:val="clear" w:color="auto" w:fill="auto"/>
          <w:lang w:val="cs-CZ" w:eastAsia="cs-CZ" w:bidi="cs-CZ"/>
        </w:rPr>
        <w:t>Zhotovitel v plné míře zodpovídá za bezpečnost a ochranu zdraví všech osob v prostoru provádění prací,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w:t>
      </w:r>
    </w:p>
    <w:p>
      <w:pPr>
        <w:pStyle w:val="Style10"/>
        <w:keepNext w:val="0"/>
        <w:keepLines w:val="0"/>
        <w:framePr w:w="9120" w:h="14424" w:hRule="exact" w:wrap="none" w:vAnchor="page" w:hAnchor="page" w:x="1393" w:y="1014"/>
        <w:widowControl w:val="0"/>
        <w:shd w:val="clear" w:color="auto" w:fill="auto"/>
        <w:bidi w:val="0"/>
        <w:spacing w:before="0" w:after="0" w:line="240" w:lineRule="auto"/>
        <w:ind w:left="360" w:right="0" w:firstLine="20"/>
        <w:jc w:val="left"/>
      </w:pPr>
      <w:r>
        <w:rPr>
          <w:color w:val="000000"/>
          <w:spacing w:val="0"/>
          <w:w w:val="100"/>
          <w:position w:val="0"/>
          <w:shd w:val="clear" w:color="auto" w:fill="auto"/>
          <w:lang w:val="cs-CZ" w:eastAsia="cs-CZ" w:bidi="cs-CZ"/>
        </w:rPr>
        <w:t>O tomto školení bude proveden písemný záznam. Za každý zjištěný případ porušení povinnosti v oblasti bezpečnosti práce a ochrany zdraví, ochrany životního prostředí, stanovených závaznými předpisy, zaplatí zhotovitel objednateli smluvní pokutu ve výši 5.000,- Kč.</w:t>
      </w:r>
    </w:p>
    <w:p>
      <w:pPr>
        <w:pStyle w:val="Style10"/>
        <w:keepNext w:val="0"/>
        <w:keepLines w:val="0"/>
        <w:framePr w:w="9120" w:h="14424" w:hRule="exact" w:wrap="none" w:vAnchor="page" w:hAnchor="page" w:x="1393" w:y="1014"/>
        <w:widowControl w:val="0"/>
        <w:numPr>
          <w:ilvl w:val="0"/>
          <w:numId w:val="27"/>
        </w:numPr>
        <w:shd w:val="clear" w:color="auto" w:fill="auto"/>
        <w:tabs>
          <w:tab w:pos="394"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500.000,-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pPr>
        <w:pStyle w:val="Style10"/>
        <w:keepNext w:val="0"/>
        <w:keepLines w:val="0"/>
        <w:framePr w:w="9120" w:h="14424" w:hRule="exact" w:wrap="none" w:vAnchor="page" w:hAnchor="page" w:x="1393" w:y="1014"/>
        <w:widowControl w:val="0"/>
        <w:numPr>
          <w:ilvl w:val="0"/>
          <w:numId w:val="27"/>
        </w:numPr>
        <w:shd w:val="clear" w:color="auto" w:fill="auto"/>
        <w:tabs>
          <w:tab w:pos="394"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pPr>
        <w:pStyle w:val="Style10"/>
        <w:keepNext w:val="0"/>
        <w:keepLines w:val="0"/>
        <w:framePr w:w="9120" w:h="14424" w:hRule="exact" w:wrap="none" w:vAnchor="page" w:hAnchor="page" w:x="1393" w:y="1014"/>
        <w:widowControl w:val="0"/>
        <w:numPr>
          <w:ilvl w:val="0"/>
          <w:numId w:val="27"/>
        </w:numPr>
        <w:shd w:val="clear" w:color="auto" w:fill="auto"/>
        <w:tabs>
          <w:tab w:pos="394"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w:t>
      </w:r>
    </w:p>
    <w:p>
      <w:pPr>
        <w:pStyle w:val="Style2"/>
        <w:keepNext w:val="0"/>
        <w:keepLines w:val="0"/>
        <w:framePr w:w="9115" w:h="235" w:hRule="exact" w:wrap="none" w:vAnchor="page" w:hAnchor="page" w:x="1398" w:y="15587"/>
        <w:widowControl w:val="0"/>
        <w:shd w:val="clear" w:color="auto" w:fill="auto"/>
        <w:bidi w:val="0"/>
        <w:spacing w:before="0" w:after="0" w:line="233" w:lineRule="auto"/>
        <w:ind w:left="0" w:right="0" w:firstLine="0"/>
        <w:jc w:val="center"/>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- 10 -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10" w:h="206" w:hRule="exact" w:wrap="none" w:vAnchor="page" w:hAnchor="page" w:x="1403" w:y="608"/>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20" w:h="1262" w:hRule="exact" w:wrap="none" w:vAnchor="page" w:hAnchor="page" w:x="1393" w:y="87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20" w:h="1262" w:hRule="exact" w:wrap="none" w:vAnchor="page" w:hAnchor="page" w:x="1393" w:y="877"/>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prohlášení o shodě použitých materiálů, o ekologické likvidaci odpadu, zprávu o provedené revizi el. (s kladným výsledkem) apod.). Dále zhotovitel zajistí na vlastní náklady vypracování dokumentace skutečného provedení stavby ve 3 tištěných výtiscích, pokud dojde ke změnám oproti zadávací dokumentaci.</w:t>
      </w:r>
    </w:p>
    <w:p>
      <w:pPr>
        <w:pStyle w:val="Style14"/>
        <w:keepNext w:val="0"/>
        <w:keepLines w:val="0"/>
        <w:framePr w:w="9120" w:h="12178" w:hRule="exact" w:wrap="none" w:vAnchor="page" w:hAnchor="page" w:x="1393" w:y="3148"/>
        <w:widowControl w:val="0"/>
        <w:numPr>
          <w:ilvl w:val="0"/>
          <w:numId w:val="21"/>
        </w:numPr>
        <w:shd w:val="clear" w:color="auto" w:fill="auto"/>
        <w:tabs>
          <w:tab w:pos="418" w:val="left"/>
        </w:tabs>
        <w:bidi w:val="0"/>
        <w:spacing w:before="0" w:after="240" w:line="240" w:lineRule="auto"/>
        <w:ind w:left="0" w:right="0" w:firstLine="0"/>
        <w:jc w:val="center"/>
      </w:pPr>
      <w:bookmarkStart w:id="22" w:name="bookmark22"/>
      <w:r>
        <w:rPr>
          <w:color w:val="000000"/>
          <w:spacing w:val="0"/>
          <w:w w:val="100"/>
          <w:position w:val="0"/>
          <w:shd w:val="clear" w:color="auto" w:fill="auto"/>
          <w:lang w:val="cs-CZ" w:eastAsia="cs-CZ" w:bidi="cs-CZ"/>
        </w:rPr>
        <w:t>Součinnost objednatele</w:t>
      </w:r>
      <w:bookmarkEnd w:id="22"/>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předá staveniště zhotoviteli v rozsahu obecné zvyklosti. O předání a převzetí staveniště sepíší obě smluvní strany protokol.</w:t>
      </w:r>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0" w:right="0" w:firstLine="0"/>
        <w:jc w:val="both"/>
      </w:pPr>
      <w:r>
        <w:rPr>
          <w:color w:val="000000"/>
          <w:spacing w:val="0"/>
          <w:w w:val="100"/>
          <w:position w:val="0"/>
          <w:shd w:val="clear" w:color="auto" w:fill="auto"/>
          <w:lang w:val="cs-CZ" w:eastAsia="cs-CZ" w:bidi="cs-CZ"/>
        </w:rPr>
        <w:t>V rámci prvního předání a převzetí staveniště objednatel zhotoviteli předá TZ ve 2 tištěných paré.</w:t>
      </w:r>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TZ.</w:t>
      </w:r>
    </w:p>
    <w:p>
      <w:pPr>
        <w:pStyle w:val="Style10"/>
        <w:keepNext w:val="0"/>
        <w:keepLines w:val="0"/>
        <w:framePr w:w="9120" w:h="12178" w:hRule="exact" w:wrap="none" w:vAnchor="page" w:hAnchor="page" w:x="1393" w:y="3148"/>
        <w:widowControl w:val="0"/>
        <w:numPr>
          <w:ilvl w:val="0"/>
          <w:numId w:val="29"/>
        </w:numPr>
        <w:shd w:val="clear" w:color="auto" w:fill="auto"/>
        <w:tabs>
          <w:tab w:pos="284"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se zavazuje pravidelně se účastnit kontrolních dnů a na tyto dny vysílat svého zplnomocněného zástupce. Zplnomocněný zástupce objednatele je oprávněn vykonávat technický dozor nad prováděným DÍLEM a jménem objednatele je oprávněn uzavírat se zhotovitelem nezbytné dohody o řešení sporných otázek, spojených s realizací DÍLA.</w:t>
      </w:r>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je povinen dostavit se na vyzvání k provedení inspekce u vybraných kontrol nebo zkoušek.</w:t>
      </w:r>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sledovat obsah stavebního deníku a k zápisům připojovat své stanovisko.</w:t>
      </w:r>
    </w:p>
    <w:p>
      <w:pPr>
        <w:pStyle w:val="Style10"/>
        <w:keepNext w:val="0"/>
        <w:keepLines w:val="0"/>
        <w:framePr w:w="9120" w:h="12178" w:hRule="exact" w:wrap="none" w:vAnchor="page" w:hAnchor="page" w:x="1393" w:y="3148"/>
        <w:widowControl w:val="0"/>
        <w:numPr>
          <w:ilvl w:val="0"/>
          <w:numId w:val="29"/>
        </w:numPr>
        <w:shd w:val="clear" w:color="auto" w:fill="auto"/>
        <w:tabs>
          <w:tab w:pos="281"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Objednatel nebo jím pověřený zástupce je povinen se k zápisům ve stavebním deníku učiněným zhotovitelem, vyjadřovat nejpozději do tří pracovních dnů. V případě záznamu ve stavebním deníku vyžadujícím stanovisko objednatele, případně zpracovatele TZ, může zhotovitel pokračovat v činnosti uvedené v záznamu až po obdržení takového vyjádření. Pokud toto vyjádření neobdrží do 3 pracovních dnů po prokazatelném doručení předmětného záznamu zástupci objednatele, je povinen v provádění DÍLA pokračovat v souladu s touto Smlouvou, podle dosavadních pokynů objednatele.</w:t>
      </w:r>
    </w:p>
    <w:p>
      <w:pPr>
        <w:pStyle w:val="Style10"/>
        <w:keepNext w:val="0"/>
        <w:keepLines w:val="0"/>
        <w:framePr w:w="9120" w:h="12178" w:hRule="exact" w:wrap="none" w:vAnchor="page" w:hAnchor="page" w:x="1393" w:y="3148"/>
        <w:widowControl w:val="0"/>
        <w:numPr>
          <w:ilvl w:val="0"/>
          <w:numId w:val="29"/>
        </w:numPr>
        <w:shd w:val="clear" w:color="auto" w:fill="auto"/>
        <w:tabs>
          <w:tab w:pos="284"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Objednatel vykonává na stavbě občasný technický dozor a v jeho průběhu sleduje zejména, zda práce jsou prováděny v souladu s touto Smlouvou, podle schválené TZ, technických norem a jiných právních předpisů, jakož i rozhodnutí veřejnoprávních orgánů. Na nedostatky zjištěné v průběhu prací neprodleně upozorní zápisem do stavebního deníku. Technický dozor u téže stavby nesmí provádět zhotovitel ani osoba s ním propojená.</w:t>
      </w:r>
    </w:p>
    <w:p>
      <w:pPr>
        <w:pStyle w:val="Style10"/>
        <w:keepNext w:val="0"/>
        <w:keepLines w:val="0"/>
        <w:framePr w:w="9120" w:h="12178" w:hRule="exact" w:wrap="none" w:vAnchor="page" w:hAnchor="page" w:x="1393" w:y="3148"/>
        <w:widowControl w:val="0"/>
        <w:numPr>
          <w:ilvl w:val="0"/>
          <w:numId w:val="29"/>
        </w:numPr>
        <w:shd w:val="clear" w:color="auto" w:fill="auto"/>
        <w:tabs>
          <w:tab w:pos="284" w:val="left"/>
        </w:tabs>
        <w:bidi w:val="0"/>
        <w:spacing w:before="0" w:after="0" w:line="240" w:lineRule="auto"/>
        <w:ind w:left="360" w:right="0" w:hanging="360"/>
        <w:jc w:val="both"/>
      </w:pPr>
      <w:r>
        <w:rPr>
          <w:color w:val="000000"/>
          <w:spacing w:val="0"/>
          <w:w w:val="100"/>
          <w:position w:val="0"/>
          <w:shd w:val="clear" w:color="auto" w:fill="auto"/>
          <w:lang w:val="cs-CZ" w:eastAsia="cs-CZ" w:bidi="cs-CZ"/>
        </w:rP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pPr>
        <w:pStyle w:val="Style10"/>
        <w:keepNext w:val="0"/>
        <w:keepLines w:val="0"/>
        <w:framePr w:w="9120" w:h="12178" w:hRule="exact" w:wrap="none" w:vAnchor="page" w:hAnchor="page" w:x="1393" w:y="3148"/>
        <w:widowControl w:val="0"/>
        <w:numPr>
          <w:ilvl w:val="0"/>
          <w:numId w:val="29"/>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Objednatel je oprávněn na základě skutečností dodatečně zjištěných v průběhu prací upřesnit obsah a způsob provedení prací.</w:t>
      </w:r>
    </w:p>
    <w:p>
      <w:pPr>
        <w:pStyle w:val="Style10"/>
        <w:keepNext w:val="0"/>
        <w:keepLines w:val="0"/>
        <w:framePr w:w="9120" w:h="12178" w:hRule="exact" w:wrap="none" w:vAnchor="page" w:hAnchor="page" w:x="1393" w:y="3148"/>
        <w:widowControl w:val="0"/>
        <w:numPr>
          <w:ilvl w:val="0"/>
          <w:numId w:val="29"/>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mu k tomu objednatelem poskytnuté a postup zhotovitele by vedl nepochybně k porušení této Smlouvy, je objednatel oprávněn od této Smlouvy odstoupit.</w:t>
      </w:r>
    </w:p>
    <w:p>
      <w:pPr>
        <w:pStyle w:val="Style10"/>
        <w:keepNext w:val="0"/>
        <w:keepLines w:val="0"/>
        <w:framePr w:w="9120" w:h="12178" w:hRule="exact" w:wrap="none" w:vAnchor="page" w:hAnchor="page" w:x="1393" w:y="3148"/>
        <w:widowControl w:val="0"/>
        <w:numPr>
          <w:ilvl w:val="0"/>
          <w:numId w:val="29"/>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Objednatel k přejímacímu řízení DÍLA může přizvat osobu vykonávající funkci technického dozoru objednatele, případně autorského dozoru zpracovatele TZ.</w:t>
      </w:r>
    </w:p>
    <w:p>
      <w:pPr>
        <w:pStyle w:val="Style2"/>
        <w:keepNext w:val="0"/>
        <w:keepLines w:val="0"/>
        <w:framePr w:wrap="none" w:vAnchor="page" w:hAnchor="page" w:x="5670" w:y="15618"/>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- 11 -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01" w:h="202" w:hRule="exact" w:wrap="none" w:vAnchor="page" w:hAnchor="page" w:x="1399" w:y="683"/>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30" w:h="734" w:hRule="exact" w:wrap="none" w:vAnchor="page" w:hAnchor="page" w:x="1389" w:y="94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30" w:h="734" w:hRule="exact" w:wrap="none" w:vAnchor="page" w:hAnchor="page" w:x="1389" w:y="947"/>
        <w:widowControl w:val="0"/>
        <w:shd w:val="clear" w:color="auto" w:fill="auto"/>
        <w:tabs>
          <w:tab w:pos="412" w:val="left"/>
        </w:tabs>
        <w:bidi w:val="0"/>
        <w:spacing w:before="0" w:after="0" w:line="240" w:lineRule="auto"/>
        <w:ind w:left="360" w:right="0" w:hanging="360"/>
        <w:jc w:val="both"/>
      </w:pPr>
      <w:r>
        <w:rPr>
          <w:color w:val="000000"/>
          <w:spacing w:val="0"/>
          <w:w w:val="100"/>
          <w:position w:val="0"/>
          <w:shd w:val="clear" w:color="auto" w:fill="auto"/>
          <w:lang w:val="cs-CZ" w:eastAsia="cs-CZ" w:bidi="cs-CZ"/>
        </w:rPr>
        <w:t>13.</w:t>
        <w:tab/>
        <w:t>Objednatel a zhotovitel se dohodli, že aplikace ustanovení § 2591 a § 2595 zákona č. 89/2012 Sb., občanský zákoník, ve znění pozdějších předpisů, se vylučuje.</w:t>
      </w:r>
    </w:p>
    <w:p>
      <w:pPr>
        <w:pStyle w:val="Style14"/>
        <w:keepNext w:val="0"/>
        <w:keepLines w:val="0"/>
        <w:framePr w:w="9130" w:h="12989" w:hRule="exact" w:wrap="none" w:vAnchor="page" w:hAnchor="page" w:x="1389" w:y="2608"/>
        <w:widowControl w:val="0"/>
        <w:numPr>
          <w:ilvl w:val="0"/>
          <w:numId w:val="31"/>
        </w:numPr>
        <w:shd w:val="clear" w:color="auto" w:fill="auto"/>
        <w:tabs>
          <w:tab w:pos="412" w:val="left"/>
        </w:tabs>
        <w:bidi w:val="0"/>
        <w:spacing w:before="0" w:line="240" w:lineRule="auto"/>
        <w:ind w:left="0" w:right="0" w:firstLine="0"/>
        <w:jc w:val="center"/>
      </w:pPr>
      <w:bookmarkStart w:id="24" w:name="bookmark24"/>
      <w:r>
        <w:rPr>
          <w:color w:val="000000"/>
          <w:spacing w:val="0"/>
          <w:w w:val="100"/>
          <w:position w:val="0"/>
          <w:shd w:val="clear" w:color="auto" w:fill="auto"/>
          <w:lang w:val="cs-CZ" w:eastAsia="cs-CZ" w:bidi="cs-CZ"/>
        </w:rPr>
        <w:t>Předání a převzetí DÍLA</w:t>
      </w:r>
      <w:bookmarkEnd w:id="24"/>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0" w:line="240" w:lineRule="auto"/>
        <w:ind w:left="360" w:right="0" w:hanging="360"/>
        <w:jc w:val="both"/>
      </w:pPr>
      <w:r>
        <w:rPr>
          <w:color w:val="000000"/>
          <w:spacing w:val="0"/>
          <w:w w:val="100"/>
          <w:position w:val="0"/>
          <w:shd w:val="clear" w:color="auto" w:fill="auto"/>
          <w:lang w:val="cs-CZ" w:eastAsia="cs-CZ" w:bidi="cs-CZ"/>
        </w:rP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pPr>
        <w:pStyle w:val="Style10"/>
        <w:keepNext w:val="0"/>
        <w:keepLines w:val="0"/>
        <w:framePr w:w="9130" w:h="12989" w:hRule="exact" w:wrap="none" w:vAnchor="page" w:hAnchor="page" w:x="1389" w:y="2608"/>
        <w:widowControl w:val="0"/>
        <w:shd w:val="clear" w:color="auto" w:fill="auto"/>
        <w:bidi w:val="0"/>
        <w:spacing w:before="0" w:after="0" w:line="240" w:lineRule="auto"/>
        <w:ind w:left="360" w:right="0" w:hanging="80"/>
        <w:jc w:val="both"/>
      </w:pPr>
      <w:r>
        <w:rPr>
          <w:color w:val="000000"/>
          <w:spacing w:val="0"/>
          <w:w w:val="100"/>
          <w:position w:val="0"/>
          <w:shd w:val="clear" w:color="auto" w:fill="auto"/>
          <w:lang w:val="cs-CZ" w:eastAsia="cs-CZ" w:bidi="cs-CZ"/>
        </w:rPr>
        <w:t>V případě, že má DÍLO nedodělky, drobné vady, i vady nebránící užívání, je objednatel oprávněn DÍLO nepřevzít a zhotovitel je v takovém případě v prodlení s plněním předmětu DÍLA. Zhotovitel se nachází v prodlení s řádným provedením DÍLA rovněž v případě, kdy objednatel DÍLO převezme s tím, že v předávacím protokole dle odst. 4. tohoto či. této Smlouvy, budou uvedeny vady či nedodělky, s nimiž objednatel DÍLO přebírá.</w:t>
      </w:r>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260" w:line="240" w:lineRule="auto"/>
        <w:ind w:left="240" w:right="0" w:hanging="240"/>
        <w:jc w:val="both"/>
      </w:pPr>
      <w:r>
        <w:rPr>
          <w:color w:val="000000"/>
          <w:spacing w:val="0"/>
          <w:w w:val="100"/>
          <w:position w:val="0"/>
          <w:shd w:val="clear" w:color="auto" w:fill="auto"/>
          <w:lang w:val="cs-CZ" w:eastAsia="cs-CZ" w:bidi="cs-CZ"/>
        </w:rP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pPr>
        <w:pStyle w:val="Style10"/>
        <w:keepNext w:val="0"/>
        <w:keepLines w:val="0"/>
        <w:framePr w:w="9130" w:h="12989" w:hRule="exact" w:wrap="none" w:vAnchor="page" w:hAnchor="page" w:x="1389" w:y="2608"/>
        <w:widowControl w:val="0"/>
        <w:shd w:val="clear" w:color="auto" w:fill="auto"/>
        <w:tabs>
          <w:tab w:pos="4632" w:val="left"/>
        </w:tabs>
        <w:bidi w:val="0"/>
        <w:spacing w:before="0" w:after="0" w:line="240" w:lineRule="auto"/>
        <w:ind w:left="0" w:right="0" w:firstLine="720"/>
        <w:jc w:val="both"/>
      </w:pPr>
      <w:r>
        <w:rPr>
          <w:color w:val="000000"/>
          <w:spacing w:val="0"/>
          <w:w w:val="100"/>
          <w:position w:val="0"/>
          <w:shd w:val="clear" w:color="auto" w:fill="auto"/>
          <w:lang w:val="cs-CZ" w:eastAsia="cs-CZ" w:bidi="cs-CZ"/>
        </w:rPr>
        <w:t>za objednatele :</w:t>
        <w:tab/>
        <w:t xml:space="preserve">- technik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investic a techn. správy Odboru</w:t>
      </w:r>
    </w:p>
    <w:p>
      <w:pPr>
        <w:pStyle w:val="Style10"/>
        <w:keepNext w:val="0"/>
        <w:keepLines w:val="0"/>
        <w:framePr w:w="9130" w:h="12989" w:hRule="exact" w:wrap="none" w:vAnchor="page" w:hAnchor="page" w:x="1389" w:y="26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majetku a investic MmP</w:t>
      </w:r>
    </w:p>
    <w:p>
      <w:pPr>
        <w:pStyle w:val="Style10"/>
        <w:keepNext w:val="0"/>
        <w:keepLines w:val="0"/>
        <w:framePr w:w="9130" w:h="12989" w:hRule="exact" w:wrap="none" w:vAnchor="page" w:hAnchor="page" w:x="1389" w:y="2608"/>
        <w:widowControl w:val="0"/>
        <w:shd w:val="clear" w:color="auto" w:fill="auto"/>
        <w:bidi w:val="0"/>
        <w:spacing w:before="0" w:after="260" w:line="240" w:lineRule="auto"/>
        <w:ind w:left="0" w:right="0" w:firstLine="720"/>
        <w:jc w:val="both"/>
      </w:pPr>
      <w:r>
        <w:rPr>
          <w:color w:val="000000"/>
          <w:spacing w:val="0"/>
          <w:w w:val="100"/>
          <w:position w:val="0"/>
          <w:shd w:val="clear" w:color="auto" w:fill="auto"/>
          <w:lang w:val="cs-CZ" w:eastAsia="cs-CZ" w:bidi="cs-CZ"/>
        </w:rPr>
        <w:t>za zhotovitele :</w:t>
      </w:r>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0" w:line="240" w:lineRule="auto"/>
        <w:ind w:left="240" w:right="0" w:hanging="240"/>
        <w:jc w:val="left"/>
      </w:pPr>
      <w:r>
        <w:rPr>
          <w:color w:val="000000"/>
          <w:spacing w:val="0"/>
          <w:w w:val="100"/>
          <w:position w:val="0"/>
          <w:shd w:val="clear" w:color="auto" w:fill="auto"/>
          <w:lang w:val="cs-CZ" w:eastAsia="cs-CZ" w:bidi="cs-CZ"/>
        </w:rPr>
        <w:t>Zhotovitel je povinen připravit k přejímacímu řízení DÍLA zejména tyto doklady v jednom vyhotovení (pokud není níže uvedeno jinak):</w:t>
      </w:r>
    </w:p>
    <w:p>
      <w:pPr>
        <w:pStyle w:val="Style10"/>
        <w:keepNext w:val="0"/>
        <w:keepLines w:val="0"/>
        <w:framePr w:w="9130" w:h="12989" w:hRule="exact" w:wrap="none" w:vAnchor="page" w:hAnchor="page" w:x="1389" w:y="2608"/>
        <w:widowControl w:val="0"/>
        <w:shd w:val="clear" w:color="auto" w:fill="auto"/>
        <w:bidi w:val="0"/>
        <w:spacing w:before="0" w:after="0" w:line="240" w:lineRule="auto"/>
        <w:ind w:left="520" w:right="0" w:hanging="160"/>
        <w:jc w:val="both"/>
      </w:pPr>
      <w:r>
        <w:rPr>
          <w:color w:val="000000"/>
          <w:spacing w:val="0"/>
          <w:w w:val="100"/>
          <w:position w:val="0"/>
          <w:shd w:val="clear" w:color="auto" w:fill="auto"/>
          <w:lang w:val="cs-CZ" w:eastAsia="cs-CZ" w:bidi="cs-CZ"/>
        </w:rPr>
        <w:t>-dokumentaci skutečného provedení DÍLA formou a obsahově odpovídající dokumentaci pro provedení stavby, se zakreslením všech provedených úprav a změn, ve 2 výtiscích a 1 x</w:t>
      </w:r>
    </w:p>
    <w:p>
      <w:pPr>
        <w:pStyle w:val="Style10"/>
        <w:keepNext w:val="0"/>
        <w:keepLines w:val="0"/>
        <w:framePr w:w="9130" w:h="12989" w:hRule="exact" w:wrap="none" w:vAnchor="page" w:hAnchor="page" w:x="1389" w:y="2608"/>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v digitální podobě (ve formátu .pdf), digitální zaměření stavby,</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doklady o kvalitě a původu použitých hmot a materiálů, záruční listy,</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osvědčení o zkouškách použitých materiálů a technologií,</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kopie dokladů o nezávadné likvidaci odpadů oprávněnou společností,</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originál stavebního deníku,</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doklady o předepsaných zkouškách a revizích,</w:t>
      </w:r>
    </w:p>
    <w:p>
      <w:pPr>
        <w:pStyle w:val="Style10"/>
        <w:keepNext w:val="0"/>
        <w:keepLines w:val="0"/>
        <w:framePr w:w="9130" w:h="12989" w:hRule="exact" w:wrap="none" w:vAnchor="page" w:hAnchor="page" w:x="1389" w:y="2608"/>
        <w:widowControl w:val="0"/>
        <w:numPr>
          <w:ilvl w:val="0"/>
          <w:numId w:val="35"/>
        </w:numPr>
        <w:shd w:val="clear" w:color="auto" w:fill="auto"/>
        <w:tabs>
          <w:tab w:pos="577" w:val="left"/>
        </w:tabs>
        <w:bidi w:val="0"/>
        <w:spacing w:before="0" w:after="0" w:line="240" w:lineRule="auto"/>
        <w:ind w:left="360" w:right="0" w:firstLine="0"/>
        <w:jc w:val="both"/>
      </w:pPr>
      <w:r>
        <w:rPr>
          <w:color w:val="000000"/>
          <w:spacing w:val="0"/>
          <w:w w:val="100"/>
          <w:position w:val="0"/>
          <w:shd w:val="clear" w:color="auto" w:fill="auto"/>
          <w:lang w:val="cs-CZ" w:eastAsia="cs-CZ" w:bidi="cs-CZ"/>
        </w:rPr>
        <w:t>případné další doklady požadované objednatelem, případně další dokumentace potřebné pro zajištění řádného užívání DÍLA.</w:t>
      </w:r>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 předání a převzetí DÍLA bude vyhotoven písemný protokol o předání a převzetí DÍLA. Protokol o předání a převzetí DÍLA vyhotoví vždy oprávnění zástupci obou smluvních stran a bude zejména obsahovat:</w:t>
      </w:r>
    </w:p>
    <w:p>
      <w:pPr>
        <w:pStyle w:val="Style10"/>
        <w:keepNext w:val="0"/>
        <w:keepLines w:val="0"/>
        <w:framePr w:w="9130" w:h="12989" w:hRule="exact" w:wrap="none" w:vAnchor="page" w:hAnchor="page" w:x="1389" w:y="2608"/>
        <w:widowControl w:val="0"/>
        <w:numPr>
          <w:ilvl w:val="0"/>
          <w:numId w:val="37"/>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popis stavu DÍLA v okamžiku předání DÍLA,</w:t>
      </w:r>
    </w:p>
    <w:p>
      <w:pPr>
        <w:pStyle w:val="Style10"/>
        <w:keepNext w:val="0"/>
        <w:keepLines w:val="0"/>
        <w:framePr w:w="9130" w:h="12989" w:hRule="exact" w:wrap="none" w:vAnchor="page" w:hAnchor="page" w:x="1389" w:y="2608"/>
        <w:widowControl w:val="0"/>
        <w:numPr>
          <w:ilvl w:val="0"/>
          <w:numId w:val="37"/>
        </w:numPr>
        <w:shd w:val="clear" w:color="auto" w:fill="auto"/>
        <w:tabs>
          <w:tab w:pos="577" w:val="left"/>
        </w:tabs>
        <w:bidi w:val="0"/>
        <w:spacing w:before="0" w:after="0" w:line="240" w:lineRule="auto"/>
        <w:ind w:left="0" w:right="0" w:firstLine="360"/>
        <w:jc w:val="both"/>
      </w:pPr>
      <w:r>
        <w:rPr>
          <w:color w:val="000000"/>
          <w:spacing w:val="0"/>
          <w:w w:val="100"/>
          <w:position w:val="0"/>
          <w:shd w:val="clear" w:color="auto" w:fill="auto"/>
          <w:lang w:val="cs-CZ" w:eastAsia="cs-CZ" w:bidi="cs-CZ"/>
        </w:rPr>
        <w:t>soupis dokladů, jež zhotovitel předává objednateli s dokončeným DÍLEM,</w:t>
      </w:r>
    </w:p>
    <w:p>
      <w:pPr>
        <w:pStyle w:val="Style10"/>
        <w:keepNext w:val="0"/>
        <w:keepLines w:val="0"/>
        <w:framePr w:w="9130" w:h="12989" w:hRule="exact" w:wrap="none" w:vAnchor="page" w:hAnchor="page" w:x="1389" w:y="2608"/>
        <w:widowControl w:val="0"/>
        <w:numPr>
          <w:ilvl w:val="0"/>
          <w:numId w:val="37"/>
        </w:numPr>
        <w:shd w:val="clear" w:color="auto" w:fill="auto"/>
        <w:tabs>
          <w:tab w:pos="577" w:val="left"/>
        </w:tabs>
        <w:bidi w:val="0"/>
        <w:spacing w:before="0" w:after="0" w:line="240" w:lineRule="auto"/>
        <w:ind w:left="360" w:right="0" w:firstLine="0"/>
        <w:jc w:val="both"/>
      </w:pPr>
      <w:r>
        <w:rPr>
          <w:color w:val="000000"/>
          <w:spacing w:val="0"/>
          <w:w w:val="100"/>
          <w:position w:val="0"/>
          <w:shd w:val="clear" w:color="auto" w:fill="auto"/>
          <w:lang w:val="cs-CZ" w:eastAsia="cs-CZ" w:bidi="cs-CZ"/>
        </w:rPr>
        <w:t>seznam vad a nedodělků, jež váznou na předávaném DÍLE, spolu s případnou dohodou o lhůtě k jejich odstranění.</w:t>
      </w:r>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0" w:line="240" w:lineRule="auto"/>
        <w:ind w:left="360" w:right="0" w:hanging="360"/>
        <w:jc w:val="both"/>
      </w:pPr>
      <w:r>
        <w:rPr>
          <w:color w:val="000000"/>
          <w:spacing w:val="0"/>
          <w:w w:val="100"/>
          <w:position w:val="0"/>
          <w:shd w:val="clear" w:color="auto" w:fill="auto"/>
          <w:lang w:val="cs-CZ" w:eastAsia="cs-CZ" w:bidi="cs-CZ"/>
        </w:rPr>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pPr>
        <w:pStyle w:val="Style10"/>
        <w:keepNext w:val="0"/>
        <w:keepLines w:val="0"/>
        <w:framePr w:w="9130" w:h="12989" w:hRule="exact" w:wrap="none" w:vAnchor="page" w:hAnchor="page" w:x="1389" w:y="2608"/>
        <w:widowControl w:val="0"/>
        <w:numPr>
          <w:ilvl w:val="0"/>
          <w:numId w:val="33"/>
        </w:numPr>
        <w:shd w:val="clear" w:color="auto" w:fill="auto"/>
        <w:tabs>
          <w:tab w:pos="412" w:val="left"/>
        </w:tabs>
        <w:bidi w:val="0"/>
        <w:spacing w:before="0" w:after="0" w:line="240" w:lineRule="auto"/>
        <w:ind w:left="360" w:right="0" w:hanging="360"/>
        <w:jc w:val="both"/>
      </w:pPr>
      <w:r>
        <w:rPr>
          <w:color w:val="000000"/>
          <w:spacing w:val="0"/>
          <w:w w:val="100"/>
          <w:position w:val="0"/>
          <w:shd w:val="clear" w:color="auto" w:fill="auto"/>
          <w:lang w:val="cs-CZ" w:eastAsia="cs-CZ" w:bidi="cs-CZ"/>
        </w:rPr>
        <w:t>V případě, že na základě protokolu o předání a převzetí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pPr>
        <w:pStyle w:val="Style2"/>
        <w:keepNext w:val="0"/>
        <w:keepLines w:val="0"/>
        <w:framePr w:wrap="none" w:vAnchor="page" w:hAnchor="page" w:x="5666" w:y="15692"/>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- 12 -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1403" w:y="50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rap="none" w:vAnchor="page" w:hAnchor="page" w:x="7537" w:y="736"/>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Smlouva o dílo č. OMI-VZMR-2025-02..</w:t>
      </w:r>
    </w:p>
    <w:p>
      <w:pPr>
        <w:pStyle w:val="Style10"/>
        <w:keepNext w:val="0"/>
        <w:keepLines w:val="0"/>
        <w:framePr w:wrap="none" w:vAnchor="page" w:hAnchor="page" w:x="1393" w:y="942"/>
        <w:widowControl w:val="0"/>
        <w:numPr>
          <w:ilvl w:val="0"/>
          <w:numId w:val="3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není povinen převzít nedokončené DÍLO.</w:t>
      </w:r>
    </w:p>
    <w:p>
      <w:pPr>
        <w:pStyle w:val="Style14"/>
        <w:keepNext w:val="0"/>
        <w:keepLines w:val="0"/>
        <w:framePr w:w="9120" w:h="710" w:hRule="exact" w:wrap="none" w:vAnchor="page" w:hAnchor="page" w:x="1393" w:y="2156"/>
        <w:widowControl w:val="0"/>
        <w:shd w:val="clear" w:color="auto" w:fill="auto"/>
        <w:bidi w:val="0"/>
        <w:spacing w:before="0" w:after="0" w:line="240" w:lineRule="auto"/>
        <w:ind w:left="0" w:right="0" w:firstLine="0"/>
        <w:jc w:val="center"/>
      </w:pPr>
      <w:bookmarkStart w:id="26" w:name="bookmark26"/>
      <w:r>
        <w:rPr>
          <w:color w:val="000000"/>
          <w:spacing w:val="0"/>
          <w:w w:val="100"/>
          <w:position w:val="0"/>
          <w:u w:val="none"/>
          <w:shd w:val="clear" w:color="auto" w:fill="auto"/>
          <w:lang w:val="cs-CZ" w:eastAsia="cs-CZ" w:bidi="cs-CZ"/>
        </w:rPr>
        <w:t>Oddíl III.</w:t>
      </w:r>
      <w:bookmarkEnd w:id="26"/>
    </w:p>
    <w:p>
      <w:pPr>
        <w:pStyle w:val="Style14"/>
        <w:keepNext w:val="0"/>
        <w:keepLines w:val="0"/>
        <w:framePr w:w="9120" w:h="710" w:hRule="exact" w:wrap="none" w:vAnchor="page" w:hAnchor="page" w:x="1393" w:y="215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Vlastnictví k DÍLU, vady a záruky</w:t>
      </w:r>
    </w:p>
    <w:p>
      <w:pPr>
        <w:pStyle w:val="Style14"/>
        <w:keepNext w:val="0"/>
        <w:keepLines w:val="0"/>
        <w:framePr w:w="9120" w:h="370" w:hRule="exact" w:wrap="none" w:vAnchor="page" w:hAnchor="page" w:x="1393" w:y="3184"/>
        <w:widowControl w:val="0"/>
        <w:numPr>
          <w:ilvl w:val="0"/>
          <w:numId w:val="41"/>
        </w:numPr>
        <w:shd w:val="clear" w:color="auto" w:fill="auto"/>
        <w:tabs>
          <w:tab w:pos="310" w:val="left"/>
        </w:tabs>
        <w:bidi w:val="0"/>
        <w:spacing w:before="0" w:after="0" w:line="240" w:lineRule="auto"/>
        <w:ind w:left="0" w:right="0" w:firstLine="0"/>
        <w:jc w:val="center"/>
      </w:pPr>
      <w:bookmarkStart w:id="29" w:name="bookmark29"/>
      <w:r>
        <w:rPr>
          <w:color w:val="000000"/>
          <w:spacing w:val="0"/>
          <w:w w:val="100"/>
          <w:position w:val="0"/>
          <w:shd w:val="clear" w:color="auto" w:fill="auto"/>
          <w:lang w:val="cs-CZ" w:eastAsia="cs-CZ" w:bidi="cs-CZ"/>
        </w:rPr>
        <w:t>Vlastnické právo k DÍLU a nebezpečí škody</w:t>
      </w:r>
      <w:bookmarkEnd w:id="29"/>
    </w:p>
    <w:p>
      <w:pPr>
        <w:pStyle w:val="Style10"/>
        <w:keepNext w:val="0"/>
        <w:keepLines w:val="0"/>
        <w:framePr w:w="9120" w:h="2170" w:hRule="exact" w:wrap="none" w:vAnchor="page" w:hAnchor="page" w:x="1393" w:y="3841"/>
        <w:widowControl w:val="0"/>
        <w:numPr>
          <w:ilvl w:val="0"/>
          <w:numId w:val="43"/>
        </w:numPr>
        <w:shd w:val="clear" w:color="auto" w:fill="auto"/>
        <w:tabs>
          <w:tab w:pos="310" w:val="left"/>
        </w:tabs>
        <w:bidi w:val="0"/>
        <w:spacing w:before="0" w:after="0" w:line="240" w:lineRule="auto"/>
        <w:ind w:left="300" w:right="0" w:hanging="300"/>
        <w:jc w:val="both"/>
      </w:pPr>
      <w:r>
        <w:rPr>
          <w:color w:val="000000"/>
          <w:spacing w:val="0"/>
          <w:w w:val="100"/>
          <w:position w:val="0"/>
          <w:shd w:val="clear" w:color="auto" w:fill="auto"/>
          <w:lang w:val="cs-CZ" w:eastAsia="cs-CZ" w:bidi="cs-CZ"/>
        </w:rPr>
        <w:t>Vlastnictví k částem DÍLA, jejichž zabudování je k řádnému provedení DÍLA nezbytné, přechází na objednatele jejich zabudováním, k ostatním částem DÍLA okamžikem podpisu předávacího protokolu dle oddílu II., čl. V. této Smlouvy. Nebezpečí škody na věci po celou dobu zhotovování DÍLA nese zhotovitel, až do předání DÍLA a vyklizeného staveniště objednateli, a to i v těch jeho částech, které se v průběhu realizace DÍLA stávají majetkem objednatele.</w:t>
      </w:r>
    </w:p>
    <w:p>
      <w:pPr>
        <w:pStyle w:val="Style10"/>
        <w:keepNext w:val="0"/>
        <w:keepLines w:val="0"/>
        <w:framePr w:w="9120" w:h="2170" w:hRule="exact" w:wrap="none" w:vAnchor="page" w:hAnchor="page" w:x="1393" w:y="3841"/>
        <w:widowControl w:val="0"/>
        <w:numPr>
          <w:ilvl w:val="0"/>
          <w:numId w:val="43"/>
        </w:numPr>
        <w:shd w:val="clear" w:color="auto" w:fill="auto"/>
        <w:tabs>
          <w:tab w:pos="310"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je povinen na vlastní náklady zabezpečit ochranu zhotovovaného DÍLA a veškerého materiálu dovezeného na staveniště pro realizaci prací, proti povětrnostním vlivům, poškození a odcizení.</w:t>
      </w:r>
    </w:p>
    <w:p>
      <w:pPr>
        <w:pStyle w:val="Style14"/>
        <w:keepNext w:val="0"/>
        <w:keepLines w:val="0"/>
        <w:framePr w:w="9120" w:h="370" w:hRule="exact" w:wrap="none" w:vAnchor="page" w:hAnchor="page" w:x="1393" w:y="6328"/>
        <w:widowControl w:val="0"/>
        <w:numPr>
          <w:ilvl w:val="0"/>
          <w:numId w:val="41"/>
        </w:numPr>
        <w:shd w:val="clear" w:color="auto" w:fill="auto"/>
        <w:tabs>
          <w:tab w:pos="356" w:val="left"/>
        </w:tabs>
        <w:bidi w:val="0"/>
        <w:spacing w:before="0" w:after="0" w:line="240" w:lineRule="auto"/>
        <w:ind w:left="0" w:right="0" w:firstLine="0"/>
        <w:jc w:val="center"/>
      </w:pPr>
      <w:bookmarkStart w:id="31" w:name="bookmark31"/>
      <w:r>
        <w:rPr>
          <w:color w:val="000000"/>
          <w:spacing w:val="0"/>
          <w:w w:val="100"/>
          <w:position w:val="0"/>
          <w:shd w:val="clear" w:color="auto" w:fill="auto"/>
          <w:lang w:val="cs-CZ" w:eastAsia="cs-CZ" w:bidi="cs-CZ"/>
        </w:rPr>
        <w:t>Záruční lhůty</w:t>
      </w:r>
      <w:bookmarkEnd w:id="31"/>
    </w:p>
    <w:p>
      <w:pPr>
        <w:pStyle w:val="Style10"/>
        <w:keepNext w:val="0"/>
        <w:keepLines w:val="0"/>
        <w:framePr w:w="9120" w:h="4051" w:hRule="exact" w:wrap="none" w:vAnchor="page" w:hAnchor="page" w:x="1393" w:y="6942"/>
        <w:widowControl w:val="0"/>
        <w:numPr>
          <w:ilvl w:val="0"/>
          <w:numId w:val="45"/>
        </w:numPr>
        <w:shd w:val="clear" w:color="auto" w:fill="auto"/>
        <w:tabs>
          <w:tab w:pos="310" w:val="left"/>
        </w:tabs>
        <w:bidi w:val="0"/>
        <w:spacing w:before="0" w:after="0" w:line="240" w:lineRule="auto"/>
        <w:ind w:left="300" w:right="0" w:hanging="300"/>
        <w:jc w:val="both"/>
      </w:pPr>
      <w:r>
        <w:rPr>
          <w:color w:val="000000"/>
          <w:spacing w:val="0"/>
          <w:w w:val="100"/>
          <w:position w:val="0"/>
          <w:shd w:val="clear" w:color="auto" w:fill="auto"/>
          <w:lang w:val="cs-CZ" w:eastAsia="cs-CZ" w:bidi="cs-CZ"/>
        </w:rPr>
        <w:t xml:space="preserve">Zhotovitel poskytuje za bezvadnou jakost DÍLA záruku v délce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ode dne předání a převzetí DÍLA či v případě, že bylo DÍLO převzato s vadami a nedodělky, ode dne odstranění vad a nedodělků DÍLA. Po dobu záruky odpovídá zhotovitel za vady, které objednatel zjistil a které včas zhotoviteli oznámil.</w:t>
      </w:r>
    </w:p>
    <w:p>
      <w:pPr>
        <w:pStyle w:val="Style10"/>
        <w:keepNext w:val="0"/>
        <w:keepLines w:val="0"/>
        <w:framePr w:w="9120" w:h="4051" w:hRule="exact" w:wrap="none" w:vAnchor="page" w:hAnchor="page" w:x="1393" w:y="6942"/>
        <w:widowControl w:val="0"/>
        <w:numPr>
          <w:ilvl w:val="0"/>
          <w:numId w:val="45"/>
        </w:numPr>
        <w:shd w:val="clear" w:color="auto" w:fill="auto"/>
        <w:tabs>
          <w:tab w:pos="310"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Záruční doba neběží po dobu, po kterou objednatel nemůže DÍLO užívat pro vady, za které zhotovitel prokazatelně odpovídá.</w:t>
      </w:r>
    </w:p>
    <w:p>
      <w:pPr>
        <w:pStyle w:val="Style10"/>
        <w:keepNext w:val="0"/>
        <w:keepLines w:val="0"/>
        <w:framePr w:w="9120" w:h="4051" w:hRule="exact" w:wrap="none" w:vAnchor="page" w:hAnchor="page" w:x="1393" w:y="6942"/>
        <w:widowControl w:val="0"/>
        <w:numPr>
          <w:ilvl w:val="0"/>
          <w:numId w:val="45"/>
        </w:numPr>
        <w:shd w:val="clear" w:color="auto" w:fill="auto"/>
        <w:tabs>
          <w:tab w:pos="310"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Záruční doba se prodlužuje o dobu trvání odstranění vady.</w:t>
      </w:r>
    </w:p>
    <w:p>
      <w:pPr>
        <w:pStyle w:val="Style10"/>
        <w:keepNext w:val="0"/>
        <w:keepLines w:val="0"/>
        <w:framePr w:w="9120" w:h="4051" w:hRule="exact" w:wrap="none" w:vAnchor="page" w:hAnchor="page" w:x="1393" w:y="6942"/>
        <w:widowControl w:val="0"/>
        <w:numPr>
          <w:ilvl w:val="0"/>
          <w:numId w:val="45"/>
        </w:numPr>
        <w:shd w:val="clear" w:color="auto" w:fill="auto"/>
        <w:tabs>
          <w:tab w:pos="313"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je oprávněn vyzvat zhotovitele ke kontrole DÍLA před uplynutím záruční doby. Zhotovitel se zavazuje této kontroly zúčastnit a případné zjištěné závady odstranit v termínech stanovených objednatelem.</w:t>
      </w:r>
    </w:p>
    <w:p>
      <w:pPr>
        <w:pStyle w:val="Style10"/>
        <w:keepNext w:val="0"/>
        <w:keepLines w:val="0"/>
        <w:framePr w:w="9120" w:h="4051" w:hRule="exact" w:wrap="none" w:vAnchor="page" w:hAnchor="page" w:x="1393" w:y="6942"/>
        <w:widowControl w:val="0"/>
        <w:numPr>
          <w:ilvl w:val="0"/>
          <w:numId w:val="45"/>
        </w:numPr>
        <w:shd w:val="clear" w:color="auto" w:fill="auto"/>
        <w:tabs>
          <w:tab w:pos="327"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 se zavazuje po dobu běhu záruční doby zajišťovat bezplatné odstraňování objednatelem oprávněně reklamovaných vad, na jejichž odstranění objednatel uplatní nárok, ve lhůtě stanovené objednatelem, a to v případě, že objednatel uplatní nárok v podobě požadavku na odstranění vady. Nebude-li taková lhůta stanovena, je povinen zhotovitel odstranit vady ve lhůtě 10 kalendářních dnů ode dne uplatnění reklamace objednatelem.</w:t>
      </w:r>
    </w:p>
    <w:p>
      <w:pPr>
        <w:pStyle w:val="Style14"/>
        <w:keepNext w:val="0"/>
        <w:keepLines w:val="0"/>
        <w:framePr w:w="9120" w:h="370" w:hRule="exact" w:wrap="none" w:vAnchor="page" w:hAnchor="page" w:x="1393" w:y="11920"/>
        <w:widowControl w:val="0"/>
        <w:numPr>
          <w:ilvl w:val="0"/>
          <w:numId w:val="41"/>
        </w:numPr>
        <w:shd w:val="clear" w:color="auto" w:fill="auto"/>
        <w:tabs>
          <w:tab w:pos="428" w:val="left"/>
        </w:tabs>
        <w:bidi w:val="0"/>
        <w:spacing w:before="0" w:after="0" w:line="240" w:lineRule="auto"/>
        <w:ind w:left="0" w:right="0" w:firstLine="0"/>
        <w:jc w:val="center"/>
      </w:pPr>
      <w:bookmarkStart w:id="33" w:name="bookmark33"/>
      <w:r>
        <w:rPr>
          <w:color w:val="000000"/>
          <w:spacing w:val="0"/>
          <w:w w:val="100"/>
          <w:position w:val="0"/>
          <w:shd w:val="clear" w:color="auto" w:fill="auto"/>
          <w:lang w:val="cs-CZ" w:eastAsia="cs-CZ" w:bidi="cs-CZ"/>
        </w:rPr>
        <w:t>Vady DÍLA</w:t>
      </w:r>
      <w:bookmarkEnd w:id="33"/>
    </w:p>
    <w:p>
      <w:pPr>
        <w:pStyle w:val="Style10"/>
        <w:keepNext w:val="0"/>
        <w:keepLines w:val="0"/>
        <w:framePr w:w="9120" w:h="2707" w:hRule="exact" w:wrap="none" w:vAnchor="page" w:hAnchor="page" w:x="1393" w:y="12606"/>
        <w:widowControl w:val="0"/>
        <w:numPr>
          <w:ilvl w:val="0"/>
          <w:numId w:val="47"/>
        </w:numPr>
        <w:shd w:val="clear" w:color="auto" w:fill="auto"/>
        <w:tabs>
          <w:tab w:pos="318"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odpovídá za to, že DÍLO má a po dobu běhu záruční doby bude mít stanovené vlastnosti, nebude vykazovat právní vady a bude způsobilé ke stanovenému účelu.</w:t>
      </w:r>
    </w:p>
    <w:p>
      <w:pPr>
        <w:pStyle w:val="Style10"/>
        <w:keepNext w:val="0"/>
        <w:keepLines w:val="0"/>
        <w:framePr w:w="9120" w:h="2707" w:hRule="exact" w:wrap="none" w:vAnchor="page" w:hAnchor="page" w:x="1393" w:y="12606"/>
        <w:widowControl w:val="0"/>
        <w:numPr>
          <w:ilvl w:val="0"/>
          <w:numId w:val="47"/>
        </w:numPr>
        <w:shd w:val="clear" w:color="auto" w:fill="auto"/>
        <w:tabs>
          <w:tab w:pos="327" w:val="left"/>
          <w:tab w:pos="346" w:val="left"/>
        </w:tabs>
        <w:bidi w:val="0"/>
        <w:spacing w:before="0" w:after="0" w:line="240" w:lineRule="auto"/>
        <w:ind w:left="0" w:right="0" w:firstLine="0"/>
        <w:jc w:val="both"/>
      </w:pPr>
      <w:r>
        <w:rPr>
          <w:color w:val="000000"/>
          <w:spacing w:val="0"/>
          <w:w w:val="100"/>
          <w:position w:val="0"/>
          <w:shd w:val="clear" w:color="auto" w:fill="auto"/>
          <w:lang w:val="cs-CZ" w:eastAsia="cs-CZ" w:bidi="cs-CZ"/>
        </w:rPr>
        <w:t>Odpovědnost za vady DÍLA se řídí ujednáním smluvních stran v této Smlouvě a následně</w:t>
      </w:r>
    </w:p>
    <w:p>
      <w:pPr>
        <w:pStyle w:val="Style10"/>
        <w:keepNext w:val="0"/>
        <w:keepLines w:val="0"/>
        <w:framePr w:w="9120" w:h="2707" w:hRule="exact" w:wrap="none" w:vAnchor="page" w:hAnchor="page" w:x="1393" w:y="1260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ustanoveními občanského zákoníku.</w:t>
      </w:r>
    </w:p>
    <w:p>
      <w:pPr>
        <w:pStyle w:val="Style10"/>
        <w:keepNext w:val="0"/>
        <w:keepLines w:val="0"/>
        <w:framePr w:w="9120" w:h="2707" w:hRule="exact" w:wrap="none" w:vAnchor="page" w:hAnchor="page" w:x="1393" w:y="12606"/>
        <w:widowControl w:val="0"/>
        <w:numPr>
          <w:ilvl w:val="0"/>
          <w:numId w:val="47"/>
        </w:numPr>
        <w:shd w:val="clear" w:color="auto" w:fill="auto"/>
        <w:tabs>
          <w:tab w:pos="327"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Pro uplatnění práva z odpovědnosti za vady DÍLA je nezbytná reklamace objednatele u zhotovitele nejpozději do konce doby, po kterou zhotovitel odpovídá za vady DÍLA.</w:t>
      </w:r>
    </w:p>
    <w:p>
      <w:pPr>
        <w:pStyle w:val="Style10"/>
        <w:keepNext w:val="0"/>
        <w:keepLines w:val="0"/>
        <w:framePr w:w="9120" w:h="2707" w:hRule="exact" w:wrap="none" w:vAnchor="page" w:hAnchor="page" w:x="1393" w:y="12606"/>
        <w:widowControl w:val="0"/>
        <w:numPr>
          <w:ilvl w:val="0"/>
          <w:numId w:val="47"/>
        </w:numPr>
        <w:shd w:val="clear" w:color="auto" w:fill="auto"/>
        <w:tabs>
          <w:tab w:pos="332" w:val="left"/>
        </w:tabs>
        <w:bidi w:val="0"/>
        <w:spacing w:before="0" w:after="0" w:line="240" w:lineRule="auto"/>
        <w:ind w:left="380" w:right="0" w:hanging="380"/>
        <w:jc w:val="both"/>
      </w:pPr>
      <w:r>
        <w:rPr>
          <w:color w:val="000000"/>
          <w:spacing w:val="0"/>
          <w:w w:val="100"/>
          <w:position w:val="0"/>
          <w:shd w:val="clear" w:color="auto" w:fill="auto"/>
          <w:lang w:val="cs-CZ" w:eastAsia="cs-CZ" w:bidi="cs-CZ"/>
        </w:rP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pPr>
        <w:pStyle w:val="Style2"/>
        <w:keepNext w:val="0"/>
        <w:keepLines w:val="0"/>
        <w:framePr w:wrap="none" w:vAnchor="page" w:hAnchor="page" w:x="5670" w:y="1551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- 13 -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20" w:h="206" w:hRule="exact" w:wrap="none" w:vAnchor="page" w:hAnchor="page" w:x="1393" w:y="608"/>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9120" w:h="14107" w:hRule="exact" w:wrap="none" w:vAnchor="page" w:hAnchor="page" w:x="1393" w:y="87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Smlouva o dílo č. OMI-VZMR-2025-02..</w:t>
      </w:r>
    </w:p>
    <w:p>
      <w:pPr>
        <w:pStyle w:val="Style10"/>
        <w:keepNext w:val="0"/>
        <w:keepLines w:val="0"/>
        <w:framePr w:w="9120" w:h="14107" w:hRule="exact" w:wrap="none" w:vAnchor="page" w:hAnchor="page" w:x="1393" w:y="877"/>
        <w:widowControl w:val="0"/>
        <w:numPr>
          <w:ilvl w:val="0"/>
          <w:numId w:val="47"/>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V případě, že objednatel uplatní v reklamační lhůtě nárok z odpovědnosti za vady v podobě požadavku na odstranění vady, je zhotovitel povinen vady odstranit ve lhůtě stanovené objednatelem. Nebude-li taková lhůta stanovena, je zhotovitel povinen odstranit vady ve lhůtě 10 kalendářních dnů ode dne uplatnění reklamace objednatelem.</w:t>
      </w:r>
    </w:p>
    <w:p>
      <w:pPr>
        <w:pStyle w:val="Style10"/>
        <w:keepNext w:val="0"/>
        <w:keepLines w:val="0"/>
        <w:framePr w:w="9120" w:h="14107" w:hRule="exact" w:wrap="none" w:vAnchor="page" w:hAnchor="page" w:x="1393" w:y="877"/>
        <w:widowControl w:val="0"/>
        <w:numPr>
          <w:ilvl w:val="0"/>
          <w:numId w:val="47"/>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se zavazuje zaslat objednateli své vyjádření k reklamaci do 2 pracovních dnů po jejím obdržení, neučiní-li tak, má se za to, že reklamovanou vadu a nárok uplatněný objednatelem, uznává.</w:t>
      </w:r>
    </w:p>
    <w:p>
      <w:pPr>
        <w:pStyle w:val="Style10"/>
        <w:keepNext w:val="0"/>
        <w:keepLines w:val="0"/>
        <w:framePr w:w="9120" w:h="14107" w:hRule="exact" w:wrap="none" w:vAnchor="page" w:hAnchor="page" w:x="1393" w:y="877"/>
        <w:widowControl w:val="0"/>
        <w:numPr>
          <w:ilvl w:val="0"/>
          <w:numId w:val="47"/>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Jestliže zhotovitel neodstraní vady ve stanoveném termínu, má objednatel právo odstranit vady prostřednictvím jiné fyzické nebo právnické osoby, a to na náklady zhotovitele.</w:t>
      </w:r>
    </w:p>
    <w:p>
      <w:pPr>
        <w:pStyle w:val="Style10"/>
        <w:keepNext w:val="0"/>
        <w:keepLines w:val="0"/>
        <w:framePr w:w="9120" w:h="14107" w:hRule="exact" w:wrap="none" w:vAnchor="page" w:hAnchor="page" w:x="1393" w:y="877"/>
        <w:widowControl w:val="0"/>
        <w:numPr>
          <w:ilvl w:val="0"/>
          <w:numId w:val="47"/>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se zavazuje odstranit vady na své náklady tak, aby objednateli nevznikly žádné vícenáklady, v opačném případě tyto hradí zhotovitel.</w:t>
      </w:r>
    </w:p>
    <w:p>
      <w:pPr>
        <w:pStyle w:val="Style10"/>
        <w:keepNext w:val="0"/>
        <w:keepLines w:val="0"/>
        <w:framePr w:w="9120" w:h="14107" w:hRule="exact" w:wrap="none" w:vAnchor="page" w:hAnchor="page" w:x="1393" w:y="877"/>
        <w:widowControl w:val="0"/>
        <w:numPr>
          <w:ilvl w:val="0"/>
          <w:numId w:val="47"/>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pPr>
        <w:pStyle w:val="Style10"/>
        <w:keepNext w:val="0"/>
        <w:keepLines w:val="0"/>
        <w:framePr w:w="9120" w:h="14107" w:hRule="exact" w:wrap="none" w:vAnchor="page" w:hAnchor="page" w:x="1393" w:y="877"/>
        <w:widowControl w:val="0"/>
        <w:numPr>
          <w:ilvl w:val="0"/>
          <w:numId w:val="47"/>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se zavazuje v případě potřeby dodat objednateli neprodleně veškeré nové, případně opravené doklady, vztahující se k opravené, případně vyměněné části DÍLA (atesty, certifikáty apod.), potřebné k provozování DÍLA, a to v termínu dohodnutém pro odstranění předmětné vady DÍLA. V případě porušení této povinnosti není objednatel povinen předmět odstranění vady DÍLA převzít a zhotovitel je tak v prodlení s odstraněním vady DÍLA.</w:t>
      </w:r>
    </w:p>
    <w:p>
      <w:pPr>
        <w:pStyle w:val="Style10"/>
        <w:keepNext w:val="0"/>
        <w:keepLines w:val="0"/>
        <w:framePr w:w="9120" w:h="14107" w:hRule="exact" w:wrap="none" w:vAnchor="page" w:hAnchor="page" w:x="1393" w:y="877"/>
        <w:widowControl w:val="0"/>
        <w:numPr>
          <w:ilvl w:val="0"/>
          <w:numId w:val="47"/>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pPr>
        <w:pStyle w:val="Style10"/>
        <w:keepNext w:val="0"/>
        <w:keepLines w:val="0"/>
        <w:framePr w:w="9120" w:h="14107" w:hRule="exact" w:wrap="none" w:vAnchor="page" w:hAnchor="page" w:x="1393" w:y="877"/>
        <w:widowControl w:val="0"/>
        <w:numPr>
          <w:ilvl w:val="0"/>
          <w:numId w:val="47"/>
        </w:numPr>
        <w:shd w:val="clear" w:color="auto" w:fill="auto"/>
        <w:tabs>
          <w:tab w:pos="38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10"/>
        <w:keepNext w:val="0"/>
        <w:keepLines w:val="0"/>
        <w:framePr w:w="9120" w:h="14107" w:hRule="exact" w:wrap="none" w:vAnchor="page" w:hAnchor="page" w:x="1393" w:y="877"/>
        <w:widowControl w:val="0"/>
        <w:numPr>
          <w:ilvl w:val="0"/>
          <w:numId w:val="47"/>
        </w:numPr>
        <w:shd w:val="clear" w:color="auto" w:fill="auto"/>
        <w:tabs>
          <w:tab w:pos="385" w:val="left"/>
        </w:tabs>
        <w:bidi w:val="0"/>
        <w:spacing w:before="0" w:after="320" w:line="240" w:lineRule="auto"/>
        <w:ind w:left="360" w:right="0" w:hanging="360"/>
        <w:jc w:val="both"/>
      </w:pPr>
      <w:r>
        <w:rPr>
          <w:color w:val="000000"/>
          <w:spacing w:val="0"/>
          <w:w w:val="100"/>
          <w:position w:val="0"/>
          <w:shd w:val="clear" w:color="auto" w:fill="auto"/>
          <w:lang w:val="cs-CZ" w:eastAsia="cs-CZ" w:bidi="cs-CZ"/>
        </w:rPr>
        <w:t>Reklamovaná vada se považuje za vadu, za kterou zhotovitel odpovídá, dokud není zhotovitelem prokázán opak.</w:t>
      </w:r>
    </w:p>
    <w:p>
      <w:pPr>
        <w:pStyle w:val="Style14"/>
        <w:keepNext w:val="0"/>
        <w:keepLines w:val="0"/>
        <w:framePr w:w="9120" w:h="14107" w:hRule="exact" w:wrap="none" w:vAnchor="page" w:hAnchor="page" w:x="1393" w:y="877"/>
        <w:widowControl w:val="0"/>
        <w:shd w:val="clear" w:color="auto" w:fill="auto"/>
        <w:bidi w:val="0"/>
        <w:spacing w:before="0" w:after="0" w:line="240" w:lineRule="auto"/>
        <w:ind w:left="0" w:right="0" w:firstLine="0"/>
        <w:jc w:val="center"/>
      </w:pPr>
      <w:bookmarkStart w:id="35" w:name="bookmark35"/>
      <w:r>
        <w:rPr>
          <w:color w:val="000000"/>
          <w:spacing w:val="0"/>
          <w:w w:val="100"/>
          <w:position w:val="0"/>
          <w:u w:val="none"/>
          <w:shd w:val="clear" w:color="auto" w:fill="auto"/>
          <w:lang w:val="cs-CZ" w:eastAsia="cs-CZ" w:bidi="cs-CZ"/>
        </w:rPr>
        <w:t>Oddíl IV.</w:t>
      </w:r>
      <w:bookmarkEnd w:id="35"/>
    </w:p>
    <w:p>
      <w:pPr>
        <w:pStyle w:val="Style14"/>
        <w:keepNext w:val="0"/>
        <w:keepLines w:val="0"/>
        <w:framePr w:w="9120" w:h="14107" w:hRule="exact" w:wrap="none" w:vAnchor="page" w:hAnchor="page" w:x="1393" w:y="877"/>
        <w:widowControl w:val="0"/>
        <w:numPr>
          <w:ilvl w:val="0"/>
          <w:numId w:val="49"/>
        </w:numPr>
        <w:shd w:val="clear" w:color="auto" w:fill="auto"/>
        <w:tabs>
          <w:tab w:pos="255" w:val="left"/>
        </w:tabs>
        <w:bidi w:val="0"/>
        <w:spacing w:before="0" w:line="240" w:lineRule="auto"/>
        <w:ind w:left="0" w:right="0" w:firstLine="0"/>
        <w:jc w:val="center"/>
      </w:pPr>
      <w:r>
        <w:rPr>
          <w:color w:val="000000"/>
          <w:spacing w:val="0"/>
          <w:w w:val="100"/>
          <w:position w:val="0"/>
          <w:shd w:val="clear" w:color="auto" w:fill="auto"/>
          <w:lang w:val="cs-CZ" w:eastAsia="cs-CZ" w:bidi="cs-CZ"/>
        </w:rPr>
        <w:t>Sankce</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0" w:right="0" w:firstLine="0"/>
        <w:jc w:val="both"/>
      </w:pPr>
      <w:r>
        <w:rPr>
          <w:color w:val="000000"/>
          <w:spacing w:val="0"/>
          <w:w w:val="100"/>
          <w:position w:val="0"/>
          <w:shd w:val="clear" w:color="auto" w:fill="auto"/>
          <w:lang w:val="cs-CZ" w:eastAsia="cs-CZ" w:bidi="cs-CZ"/>
        </w:rPr>
        <w:t>Smluvní strany jsou povinny uhradit smluvní pokutu v případech stanovených touto Smlouvou.</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 případ prodlení zhotovitele se splněním jeho povinnosti řádně dokončit DÍLO a s jeho řádným protokolárním odevzdáním objednateli v dohodnutém termínu, uvedeném v oddíle I., článku II., odst. 1. této SOD, může objednatel vůči zhotoviteli uplatnit nárok na smluvní pokutu ve výši 1.000,- Kč, za každý i započatý kalendářní den prodlení, s tím, že tuto smluvní pokutu má objednatel právo započítat na částku uvedenou v konečné faktuře.</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oprávněn započíst smluvní pokuty proti platbám za plnění zhotovitele a zhotovitel s tímto bez výhrad souhlasí.</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se zavazuje pro případ prodlení s placením daňového dokladu, zaplatit zhotoviteli úrok z prodlení ve výši 0,1 % z dlužné částky bez DPH, za každý i započatý kalendářní den prodlení.</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V případě prodlení zhotovitele s odstraňováním závad v termínech dle oddílu III., čl. II., odst. 5 a oddílu III., čl. III., odst. 5 této Smlouvy, je zhotovitel povinen uhradit objednateli smluvní pokutu ve výši 500,-- Kč, za každou reklamovanou vadu a každý i započatý kalendářní den prodlení.</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uhradit smluvní pokutu v dalších případech stanovených touto Smlouvou.</w:t>
      </w:r>
    </w:p>
    <w:p>
      <w:pPr>
        <w:pStyle w:val="Style10"/>
        <w:keepNext w:val="0"/>
        <w:keepLines w:val="0"/>
        <w:framePr w:w="9120" w:h="14107" w:hRule="exact" w:wrap="none" w:vAnchor="page" w:hAnchor="page" w:x="1393" w:y="877"/>
        <w:widowControl w:val="0"/>
        <w:numPr>
          <w:ilvl w:val="0"/>
          <w:numId w:val="51"/>
        </w:numPr>
        <w:shd w:val="clear" w:color="auto" w:fill="auto"/>
        <w:tabs>
          <w:tab w:pos="346" w:val="left"/>
        </w:tabs>
        <w:bidi w:val="0"/>
        <w:spacing w:before="0" w:after="0" w:line="240" w:lineRule="auto"/>
        <w:ind w:left="360" w:right="0" w:hanging="360"/>
        <w:jc w:val="both"/>
      </w:pPr>
      <w:r>
        <w:rPr>
          <w:color w:val="000000"/>
          <w:spacing w:val="0"/>
          <w:w w:val="100"/>
          <w:position w:val="0"/>
          <w:shd w:val="clear" w:color="auto" w:fill="auto"/>
          <w:lang w:val="cs-CZ" w:eastAsia="cs-CZ" w:bidi="cs-CZ"/>
        </w:rPr>
        <w:t>Jakýmkoliv ujednáním o povinnosti uhradit smluvní pokutu podle této Smlouvy, nezaniká nárok poškozené smluvní strany na náhradu způsobené škody, a to v plném rozsahu.</w:t>
      </w:r>
    </w:p>
    <w:p>
      <w:pPr>
        <w:pStyle w:val="Style2"/>
        <w:keepNext w:val="0"/>
        <w:keepLines w:val="0"/>
        <w:framePr w:wrap="none" w:vAnchor="page" w:hAnchor="page" w:x="5670" w:y="15618"/>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- 14 -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1403" w:y="50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2"/>
        <w:keepNext w:val="0"/>
        <w:keepLines w:val="0"/>
        <w:framePr w:wrap="none" w:vAnchor="page" w:hAnchor="page" w:x="7537" w:y="736"/>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Smlouva o dílo č. OMI-VZMR-2025-02..</w:t>
      </w:r>
    </w:p>
    <w:p>
      <w:pPr>
        <w:pStyle w:val="Style14"/>
        <w:keepNext w:val="0"/>
        <w:keepLines w:val="0"/>
        <w:framePr w:w="9120" w:h="7373" w:hRule="exact" w:wrap="none" w:vAnchor="page" w:hAnchor="page" w:x="1393" w:y="1960"/>
        <w:widowControl w:val="0"/>
        <w:numPr>
          <w:ilvl w:val="0"/>
          <w:numId w:val="49"/>
        </w:numPr>
        <w:shd w:val="clear" w:color="auto" w:fill="auto"/>
        <w:tabs>
          <w:tab w:pos="327" w:val="left"/>
        </w:tabs>
        <w:bidi w:val="0"/>
        <w:spacing w:before="0" w:after="280" w:line="240" w:lineRule="auto"/>
        <w:ind w:left="0" w:right="0" w:firstLine="0"/>
        <w:jc w:val="center"/>
      </w:pPr>
      <w:bookmarkStart w:id="38" w:name="bookmark38"/>
      <w:r>
        <w:rPr>
          <w:color w:val="000000"/>
          <w:spacing w:val="0"/>
          <w:w w:val="100"/>
          <w:position w:val="0"/>
          <w:shd w:val="clear" w:color="auto" w:fill="auto"/>
          <w:lang w:val="cs-CZ" w:eastAsia="cs-CZ" w:bidi="cs-CZ"/>
        </w:rPr>
        <w:t>Odstoupení od smlouvy</w:t>
      </w:r>
      <w:bookmarkEnd w:id="38"/>
    </w:p>
    <w:p>
      <w:pPr>
        <w:pStyle w:val="Style10"/>
        <w:keepNext w:val="0"/>
        <w:keepLines w:val="0"/>
        <w:framePr w:w="9120" w:h="7373" w:hRule="exact" w:wrap="none" w:vAnchor="page" w:hAnchor="page" w:x="1393" w:y="1960"/>
        <w:widowControl w:val="0"/>
        <w:numPr>
          <w:ilvl w:val="0"/>
          <w:numId w:val="53"/>
        </w:numPr>
        <w:shd w:val="clear" w:color="auto" w:fill="auto"/>
        <w:tabs>
          <w:tab w:pos="30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pPr>
        <w:pStyle w:val="Style10"/>
        <w:keepNext w:val="0"/>
        <w:keepLines w:val="0"/>
        <w:framePr w:w="9120" w:h="7373" w:hRule="exact" w:wrap="none" w:vAnchor="page" w:hAnchor="page" w:x="1393" w:y="1960"/>
        <w:widowControl w:val="0"/>
        <w:numPr>
          <w:ilvl w:val="0"/>
          <w:numId w:val="53"/>
        </w:numPr>
        <w:shd w:val="clear" w:color="auto" w:fill="auto"/>
        <w:tabs>
          <w:tab w:pos="30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pPr>
        <w:pStyle w:val="Style10"/>
        <w:keepNext w:val="0"/>
        <w:keepLines w:val="0"/>
        <w:framePr w:w="9120" w:h="7373" w:hRule="exact" w:wrap="none" w:vAnchor="page" w:hAnchor="page" w:x="1393" w:y="1960"/>
        <w:widowControl w:val="0"/>
        <w:numPr>
          <w:ilvl w:val="0"/>
          <w:numId w:val="53"/>
        </w:numPr>
        <w:shd w:val="clear" w:color="auto" w:fill="auto"/>
        <w:tabs>
          <w:tab w:pos="30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pPr>
        <w:pStyle w:val="Style10"/>
        <w:keepNext w:val="0"/>
        <w:keepLines w:val="0"/>
        <w:framePr w:w="9120" w:h="7373" w:hRule="exact" w:wrap="none" w:vAnchor="page" w:hAnchor="page" w:x="1393" w:y="1960"/>
        <w:widowControl w:val="0"/>
        <w:numPr>
          <w:ilvl w:val="0"/>
          <w:numId w:val="53"/>
        </w:numPr>
        <w:shd w:val="clear" w:color="auto" w:fill="auto"/>
        <w:tabs>
          <w:tab w:pos="303" w:val="left"/>
        </w:tabs>
        <w:bidi w:val="0"/>
        <w:spacing w:before="0" w:after="0" w:line="240" w:lineRule="auto"/>
        <w:ind w:left="300" w:right="0" w:hanging="300"/>
        <w:jc w:val="both"/>
      </w:pPr>
      <w:r>
        <w:rPr>
          <w:color w:val="000000"/>
          <w:spacing w:val="0"/>
          <w:w w:val="100"/>
          <w:position w:val="0"/>
          <w:shd w:val="clear" w:color="auto" w:fill="auto"/>
          <w:lang w:val="cs-CZ" w:eastAsia="cs-CZ" w:bidi="cs-CZ"/>
        </w:rPr>
        <w:t>Dojde-li k účinnému odstoupení od této Smlouvy, je objednatel povinen uhradit zhotoviteli pouze to, o co se prováděním DÍLA obohatil. Nedojde-li k dohodě na hodnotě tohoto obohacení, bude oceněno znaleckým posudkem na náklady zhotovitele.</w:t>
      </w:r>
    </w:p>
    <w:p>
      <w:pPr>
        <w:pStyle w:val="Style10"/>
        <w:keepNext w:val="0"/>
        <w:keepLines w:val="0"/>
        <w:framePr w:w="9120" w:h="7373" w:hRule="exact" w:wrap="none" w:vAnchor="page" w:hAnchor="page" w:x="1393" w:y="1960"/>
        <w:widowControl w:val="0"/>
        <w:numPr>
          <w:ilvl w:val="0"/>
          <w:numId w:val="53"/>
        </w:numPr>
        <w:shd w:val="clear" w:color="auto" w:fill="auto"/>
        <w:tabs>
          <w:tab w:pos="30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Objednateli budou uhrazeny zhotovitelem vícenáklady vzniklé z titulu přerušení prací, a tím pádem nutnosti dokončení DÍLA jiným zhotovitelem, a vlivem nedodržení termínu dokončení DÍLA.</w:t>
      </w:r>
    </w:p>
    <w:p>
      <w:pPr>
        <w:pStyle w:val="Style10"/>
        <w:keepNext w:val="0"/>
        <w:keepLines w:val="0"/>
        <w:framePr w:w="9120" w:h="7373" w:hRule="exact" w:wrap="none" w:vAnchor="page" w:hAnchor="page" w:x="1393" w:y="1960"/>
        <w:widowControl w:val="0"/>
        <w:numPr>
          <w:ilvl w:val="0"/>
          <w:numId w:val="53"/>
        </w:numPr>
        <w:shd w:val="clear" w:color="auto" w:fill="auto"/>
        <w:tabs>
          <w:tab w:pos="301"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Zánikem této Smlouvy nejsou dotčeny nároky účastníků této Smlouvy na náhradu škody a jiné sankce, které jim za trvání této Smlouvy, vznikly.</w:t>
      </w:r>
    </w:p>
    <w:p>
      <w:pPr>
        <w:pStyle w:val="Style14"/>
        <w:keepNext w:val="0"/>
        <w:keepLines w:val="0"/>
        <w:framePr w:w="9120" w:h="5491" w:hRule="exact" w:wrap="none" w:vAnchor="page" w:hAnchor="page" w:x="1393" w:y="9846"/>
        <w:widowControl w:val="0"/>
        <w:numPr>
          <w:ilvl w:val="0"/>
          <w:numId w:val="49"/>
        </w:numPr>
        <w:shd w:val="clear" w:color="auto" w:fill="auto"/>
        <w:tabs>
          <w:tab w:pos="404" w:val="left"/>
        </w:tabs>
        <w:bidi w:val="0"/>
        <w:spacing w:before="0" w:after="280" w:line="240" w:lineRule="auto"/>
        <w:ind w:left="0" w:right="0" w:firstLine="0"/>
        <w:jc w:val="center"/>
      </w:pPr>
      <w:bookmarkStart w:id="40" w:name="bookmark40"/>
      <w:r>
        <w:rPr>
          <w:color w:val="000000"/>
          <w:spacing w:val="0"/>
          <w:w w:val="100"/>
          <w:position w:val="0"/>
          <w:shd w:val="clear" w:color="auto" w:fill="auto"/>
          <w:lang w:val="cs-CZ" w:eastAsia="cs-CZ" w:bidi="cs-CZ"/>
        </w:rPr>
        <w:t>Ustanovení závěrečná</w:t>
      </w:r>
      <w:bookmarkEnd w:id="40"/>
    </w:p>
    <w:p>
      <w:pPr>
        <w:pStyle w:val="Style10"/>
        <w:keepNext w:val="0"/>
        <w:keepLines w:val="0"/>
        <w:framePr w:w="9120" w:h="5491" w:hRule="exact" w:wrap="none" w:vAnchor="page" w:hAnchor="page" w:x="1393" w:y="9846"/>
        <w:widowControl w:val="0"/>
        <w:numPr>
          <w:ilvl w:val="0"/>
          <w:numId w:val="55"/>
        </w:numPr>
        <w:shd w:val="clear" w:color="auto" w:fill="auto"/>
        <w:tabs>
          <w:tab w:pos="301" w:val="left"/>
        </w:tabs>
        <w:bidi w:val="0"/>
        <w:spacing w:before="0" w:after="0" w:line="240" w:lineRule="auto"/>
        <w:ind w:left="380" w:right="0" w:hanging="380"/>
        <w:jc w:val="both"/>
      </w:pPr>
      <w:r>
        <w:rPr>
          <w:color w:val="000000"/>
          <w:spacing w:val="0"/>
          <w:w w:val="100"/>
          <w:position w:val="0"/>
          <w:shd w:val="clear" w:color="auto" w:fill="auto"/>
          <w:lang w:val="cs-CZ" w:eastAsia="cs-CZ" w:bidi="cs-CZ"/>
        </w:rPr>
        <w:t>Tam, kde nejsou práva a závazky smluvních stran výslovně upraveny, platí ustanovení občanského zákoníku.</w:t>
      </w:r>
    </w:p>
    <w:p>
      <w:pPr>
        <w:pStyle w:val="Style10"/>
        <w:keepNext w:val="0"/>
        <w:keepLines w:val="0"/>
        <w:framePr w:w="9120" w:h="5491" w:hRule="exact" w:wrap="none" w:vAnchor="page" w:hAnchor="page" w:x="1393" w:y="9846"/>
        <w:widowControl w:val="0"/>
        <w:numPr>
          <w:ilvl w:val="0"/>
          <w:numId w:val="55"/>
        </w:numPr>
        <w:shd w:val="clear" w:color="auto" w:fill="auto"/>
        <w:tabs>
          <w:tab w:pos="301" w:val="left"/>
        </w:tabs>
        <w:bidi w:val="0"/>
        <w:spacing w:before="0" w:after="0" w:line="240" w:lineRule="auto"/>
        <w:ind w:left="380" w:right="0" w:hanging="380"/>
        <w:jc w:val="both"/>
      </w:pPr>
      <w:r>
        <w:rPr>
          <w:color w:val="000000"/>
          <w:spacing w:val="0"/>
          <w:w w:val="100"/>
          <w:position w:val="0"/>
          <w:shd w:val="clear" w:color="auto" w:fill="auto"/>
          <w:lang w:val="cs-CZ" w:eastAsia="cs-CZ" w:bidi="cs-CZ"/>
        </w:rP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softHyphen/>
        <w:t>mailových či jiných elektronických zpráv. Neplatnost této Smlouvy pro nedodržení formy lze namítnout kdykoliv, a to i když již bylo započato s plněním.</w:t>
      </w:r>
    </w:p>
    <w:p>
      <w:pPr>
        <w:pStyle w:val="Style10"/>
        <w:keepNext w:val="0"/>
        <w:keepLines w:val="0"/>
        <w:framePr w:w="9120" w:h="5491" w:hRule="exact" w:wrap="none" w:vAnchor="page" w:hAnchor="page" w:x="1393" w:y="9846"/>
        <w:widowControl w:val="0"/>
        <w:numPr>
          <w:ilvl w:val="0"/>
          <w:numId w:val="55"/>
        </w:numPr>
        <w:shd w:val="clear" w:color="auto" w:fill="auto"/>
        <w:tabs>
          <w:tab w:pos="301" w:val="left"/>
        </w:tabs>
        <w:bidi w:val="0"/>
        <w:spacing w:before="0" w:after="0" w:line="240" w:lineRule="auto"/>
        <w:ind w:left="380" w:right="0" w:hanging="380"/>
        <w:jc w:val="both"/>
      </w:pPr>
      <w:r>
        <w:rPr>
          <w:color w:val="000000"/>
          <w:spacing w:val="0"/>
          <w:w w:val="100"/>
          <w:position w:val="0"/>
          <w:shd w:val="clear" w:color="auto" w:fill="auto"/>
          <w:lang w:val="cs-CZ" w:eastAsia="cs-CZ" w:bidi="cs-CZ"/>
        </w:rPr>
        <w:t>Tuto Smlouvu lze změnit nebo upřesnit pouze písemným ujednáním nazvaným „Dodatek ke smlouvě“ a očíslovaným podle pořadových čísel, který bude podepsán a odsouhlasen smluvními stranami a prohlášen za nedílnou součást této Smlouvy.</w:t>
      </w:r>
    </w:p>
    <w:p>
      <w:pPr>
        <w:pStyle w:val="Style10"/>
        <w:keepNext w:val="0"/>
        <w:keepLines w:val="0"/>
        <w:framePr w:w="9120" w:h="5491" w:hRule="exact" w:wrap="none" w:vAnchor="page" w:hAnchor="page" w:x="1393" w:y="9846"/>
        <w:widowControl w:val="0"/>
        <w:numPr>
          <w:ilvl w:val="0"/>
          <w:numId w:val="55"/>
        </w:numPr>
        <w:shd w:val="clear" w:color="auto" w:fill="auto"/>
        <w:tabs>
          <w:tab w:pos="303" w:val="left"/>
          <w:tab w:pos="341" w:val="left"/>
          <w:tab w:pos="1393" w:val="left"/>
          <w:tab w:pos="1969" w:val="left"/>
          <w:tab w:pos="2967" w:val="left"/>
          <w:tab w:pos="6687" w:val="left"/>
          <w:tab w:pos="76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w:t>
        <w:tab/>
        <w:t>není</w:t>
        <w:tab/>
        <w:t>oprávněn</w:t>
        <w:tab/>
        <w:t>bez souhlasu objednatele postoupit</w:t>
        <w:tab/>
        <w:t>jakoukoli</w:t>
        <w:tab/>
        <w:t>svou tvrzenou</w:t>
      </w:r>
    </w:p>
    <w:p>
      <w:pPr>
        <w:pStyle w:val="Style10"/>
        <w:keepNext w:val="0"/>
        <w:keepLines w:val="0"/>
        <w:framePr w:w="9120" w:h="5491" w:hRule="exact" w:wrap="none" w:vAnchor="page" w:hAnchor="page" w:x="1393" w:y="984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pohledávku za objednatelem, třetí osobě.</w:t>
      </w:r>
    </w:p>
    <w:p>
      <w:pPr>
        <w:pStyle w:val="Style10"/>
        <w:keepNext w:val="0"/>
        <w:keepLines w:val="0"/>
        <w:framePr w:w="9120" w:h="5491" w:hRule="exact" w:wrap="none" w:vAnchor="page" w:hAnchor="page" w:x="1393" w:y="9846"/>
        <w:widowControl w:val="0"/>
        <w:numPr>
          <w:ilvl w:val="0"/>
          <w:numId w:val="55"/>
        </w:numPr>
        <w:shd w:val="clear" w:color="auto" w:fill="auto"/>
        <w:tabs>
          <w:tab w:pos="301" w:val="left"/>
          <w:tab w:pos="341" w:val="left"/>
          <w:tab w:pos="1390" w:val="left"/>
          <w:tab w:pos="1950" w:val="left"/>
          <w:tab w:pos="2940" w:val="left"/>
          <w:tab w:pos="6697" w:val="left"/>
          <w:tab w:pos="7658"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w:t>
        <w:tab/>
        <w:t>není</w:t>
        <w:tab/>
        <w:t>oprávněn</w:t>
        <w:tab/>
        <w:t>jednostranně započíst jakoukoli svou</w:t>
        <w:tab/>
        <w:t>tvrzenou</w:t>
        <w:tab/>
        <w:t>pohledávku za</w:t>
      </w:r>
    </w:p>
    <w:p>
      <w:pPr>
        <w:pStyle w:val="Style10"/>
        <w:keepNext w:val="0"/>
        <w:keepLines w:val="0"/>
        <w:framePr w:w="9120" w:h="5491" w:hRule="exact" w:wrap="none" w:vAnchor="page" w:hAnchor="page" w:x="1393" w:y="984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objednatelem na pohledávku objednatele za zhotovitelem.</w:t>
      </w:r>
    </w:p>
    <w:p>
      <w:pPr>
        <w:pStyle w:val="Style10"/>
        <w:keepNext w:val="0"/>
        <w:keepLines w:val="0"/>
        <w:framePr w:w="9120" w:h="5491" w:hRule="exact" w:wrap="none" w:vAnchor="page" w:hAnchor="page" w:x="1393" w:y="9846"/>
        <w:widowControl w:val="0"/>
        <w:numPr>
          <w:ilvl w:val="0"/>
          <w:numId w:val="55"/>
        </w:numPr>
        <w:shd w:val="clear" w:color="auto" w:fill="auto"/>
        <w:tabs>
          <w:tab w:pos="301" w:val="left"/>
        </w:tabs>
        <w:bidi w:val="0"/>
        <w:spacing w:before="0" w:after="0" w:line="240" w:lineRule="auto"/>
        <w:ind w:left="380" w:right="0" w:hanging="380"/>
        <w:jc w:val="both"/>
      </w:pPr>
      <w:r>
        <w:rPr>
          <w:color w:val="000000"/>
          <w:spacing w:val="0"/>
          <w:w w:val="100"/>
          <w:position w:val="0"/>
          <w:shd w:val="clear" w:color="auto" w:fill="auto"/>
          <w:lang w:val="cs-CZ" w:eastAsia="cs-CZ" w:bidi="cs-CZ"/>
        </w:rPr>
        <w:t>Práva a povinnosti vyplývající z této Smlouvy, přecházejí i na případné právní nástupce obou smluvních stran.</w:t>
      </w:r>
    </w:p>
    <w:p>
      <w:pPr>
        <w:pStyle w:val="Style10"/>
        <w:keepNext w:val="0"/>
        <w:keepLines w:val="0"/>
        <w:framePr w:w="9120" w:h="5491" w:hRule="exact" w:wrap="none" w:vAnchor="page" w:hAnchor="page" w:x="1393" w:y="9846"/>
        <w:widowControl w:val="0"/>
        <w:numPr>
          <w:ilvl w:val="0"/>
          <w:numId w:val="55"/>
        </w:numPr>
        <w:shd w:val="clear" w:color="auto" w:fill="auto"/>
        <w:tabs>
          <w:tab w:pos="301" w:val="left"/>
        </w:tabs>
        <w:bidi w:val="0"/>
        <w:spacing w:before="0" w:after="0" w:line="240" w:lineRule="auto"/>
        <w:ind w:left="380" w:right="0" w:hanging="380"/>
        <w:jc w:val="both"/>
      </w:pPr>
      <w:r>
        <w:rPr>
          <w:color w:val="000000"/>
          <w:spacing w:val="0"/>
          <w:w w:val="100"/>
          <w:position w:val="0"/>
          <w:shd w:val="clear" w:color="auto" w:fill="auto"/>
          <w:lang w:val="cs-CZ" w:eastAsia="cs-CZ" w:bidi="cs-CZ"/>
        </w:rPr>
        <w:t>Zhotovitel prohlašuje, že je plně způsobilý ke splnění všech závazků, které na sebe podpisem této Smlouvy převezme.</w:t>
      </w:r>
    </w:p>
    <w:p>
      <w:pPr>
        <w:pStyle w:val="Style2"/>
        <w:keepNext w:val="0"/>
        <w:keepLines w:val="0"/>
        <w:framePr w:wrap="none" w:vAnchor="page" w:hAnchor="page" w:x="5670" w:y="1551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- 15 -</w:t>
      </w:r>
    </w:p>
    <w:p>
      <w:pPr>
        <w:widowControl w:val="0"/>
        <w:spacing w:line="1" w:lineRule="exact"/>
        <w:sectPr>
          <w:footnotePr>
            <w:pos w:val="pageBottom"/>
            <w:numFmt w:val="decimal"/>
            <w:numRestart w:val="continuous"/>
          </w:footnotePr>
          <w:pgSz w:w="11900" w:h="16840"/>
          <w:pgMar w:top="374"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120" w:h="202" w:hRule="exact" w:wrap="none" w:vAnchor="page" w:hAnchor="page" w:x="1400" w:y="551"/>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 xml:space="preserve">Název akce: </w:t>
      </w:r>
      <w:r>
        <w:rPr>
          <w:color w:val="000000"/>
          <w:spacing w:val="0"/>
          <w:w w:val="100"/>
          <w:position w:val="0"/>
          <w:shd w:val="clear" w:color="auto" w:fill="auto"/>
          <w:lang w:val="cs-CZ" w:eastAsia="cs-CZ" w:bidi="cs-CZ"/>
        </w:rPr>
        <w:t>MAS Dukla - Oprava rozhlasové kabiny</w:t>
      </w:r>
    </w:p>
    <w:p>
      <w:pPr>
        <w:pStyle w:val="Style6"/>
        <w:keepNext w:val="0"/>
        <w:keepLines w:val="0"/>
        <w:framePr w:w="10915" w:h="5837" w:hRule="exact" w:wrap="none" w:vAnchor="page" w:hAnchor="page" w:x="555" w:y="815"/>
        <w:widowControl w:val="0"/>
        <w:shd w:val="clear" w:color="auto" w:fill="auto"/>
        <w:bidi w:val="0"/>
        <w:spacing w:before="0" w:after="0" w:line="240" w:lineRule="auto"/>
        <w:ind w:left="7000" w:right="0" w:firstLine="0"/>
        <w:jc w:val="left"/>
      </w:pPr>
      <w:r>
        <w:rPr>
          <w:color w:val="000000"/>
          <w:spacing w:val="0"/>
          <w:w w:val="100"/>
          <w:position w:val="0"/>
          <w:shd w:val="clear" w:color="auto" w:fill="auto"/>
          <w:lang w:val="cs-CZ" w:eastAsia="cs-CZ" w:bidi="cs-CZ"/>
        </w:rPr>
        <w:t>Smlouva o dílo č. OMI-VZMR-2025-02..</w:t>
      </w:r>
    </w:p>
    <w:p>
      <w:pPr>
        <w:pStyle w:val="Style10"/>
        <w:keepNext w:val="0"/>
        <w:keepLines w:val="0"/>
        <w:framePr w:w="10915" w:h="5837" w:hRule="exact" w:wrap="none" w:vAnchor="page" w:hAnchor="page" w:x="555" w:y="815"/>
        <w:widowControl w:val="0"/>
        <w:numPr>
          <w:ilvl w:val="0"/>
          <w:numId w:val="57"/>
        </w:numPr>
        <w:shd w:val="clear" w:color="auto" w:fill="auto"/>
        <w:tabs>
          <w:tab w:pos="1208" w:val="left"/>
        </w:tabs>
        <w:bidi w:val="0"/>
        <w:spacing w:before="0" w:after="0" w:line="240" w:lineRule="auto"/>
        <w:ind w:left="0" w:right="0" w:firstLine="840"/>
        <w:jc w:val="left"/>
      </w:pPr>
      <w:r>
        <w:rPr>
          <w:color w:val="000000"/>
          <w:spacing w:val="0"/>
          <w:w w:val="100"/>
          <w:position w:val="0"/>
          <w:shd w:val="clear" w:color="auto" w:fill="auto"/>
          <w:lang w:val="cs-CZ" w:eastAsia="cs-CZ" w:bidi="cs-CZ"/>
        </w:rPr>
        <w:t>Tato Smlouva je vyhotovena pouze v jednom elektronickém vyhotovení s platností originálu.</w:t>
      </w:r>
    </w:p>
    <w:p>
      <w:pPr>
        <w:pStyle w:val="Style10"/>
        <w:keepNext w:val="0"/>
        <w:keepLines w:val="0"/>
        <w:framePr w:w="10915" w:h="5837" w:hRule="exact" w:wrap="none" w:vAnchor="page" w:hAnchor="page" w:x="555" w:y="815"/>
        <w:widowControl w:val="0"/>
        <w:numPr>
          <w:ilvl w:val="0"/>
          <w:numId w:val="57"/>
        </w:numPr>
        <w:shd w:val="clear" w:color="auto" w:fill="auto"/>
        <w:tabs>
          <w:tab w:pos="1208"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pPr>
        <w:pStyle w:val="Style10"/>
        <w:keepNext w:val="0"/>
        <w:keepLines w:val="0"/>
        <w:framePr w:w="10915" w:h="5837" w:hRule="exact" w:wrap="none" w:vAnchor="page" w:hAnchor="page" w:x="555" w:y="815"/>
        <w:widowControl w:val="0"/>
        <w:numPr>
          <w:ilvl w:val="0"/>
          <w:numId w:val="57"/>
        </w:numPr>
        <w:shd w:val="clear" w:color="auto" w:fill="auto"/>
        <w:tabs>
          <w:tab w:pos="1255"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Odpověď smluvní strany podle § 1740 odst. 3 občanského zákoníku, s dodatkem nebo odchylkou, není přijetím nabídky na uzavření této Smlouvy, ani když podstatně nemění podmínky nabídky.</w:t>
      </w:r>
    </w:p>
    <w:p>
      <w:pPr>
        <w:pStyle w:val="Style10"/>
        <w:keepNext w:val="0"/>
        <w:keepLines w:val="0"/>
        <w:framePr w:w="10915" w:h="5837" w:hRule="exact" w:wrap="none" w:vAnchor="page" w:hAnchor="page" w:x="555" w:y="815"/>
        <w:widowControl w:val="0"/>
        <w:numPr>
          <w:ilvl w:val="0"/>
          <w:numId w:val="57"/>
        </w:numPr>
        <w:shd w:val="clear" w:color="auto" w:fill="auto"/>
        <w:tabs>
          <w:tab w:pos="1255"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pPr>
        <w:pStyle w:val="Style10"/>
        <w:keepNext w:val="0"/>
        <w:keepLines w:val="0"/>
        <w:framePr w:w="10915" w:h="5837" w:hRule="exact" w:wrap="none" w:vAnchor="page" w:hAnchor="page" w:x="555" w:y="815"/>
        <w:widowControl w:val="0"/>
        <w:numPr>
          <w:ilvl w:val="0"/>
          <w:numId w:val="57"/>
        </w:numPr>
        <w:shd w:val="clear" w:color="auto" w:fill="auto"/>
        <w:tabs>
          <w:tab w:pos="1255"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pPr>
        <w:pStyle w:val="Style10"/>
        <w:keepNext w:val="0"/>
        <w:keepLines w:val="0"/>
        <w:framePr w:w="10915" w:h="5837" w:hRule="exact" w:wrap="none" w:vAnchor="page" w:hAnchor="page" w:x="555" w:y="815"/>
        <w:widowControl w:val="0"/>
        <w:numPr>
          <w:ilvl w:val="0"/>
          <w:numId w:val="57"/>
        </w:numPr>
        <w:shd w:val="clear" w:color="auto" w:fill="auto"/>
        <w:tabs>
          <w:tab w:pos="1255"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Smluvní strany berou na vědomí, že nebude-li tato Smlouva zveřejněna ani do tří měsíců ode dne jejího uzavření, je následujícím dnem zrušena od počátku s účinky případného bezdůvodného obohacení.</w:t>
      </w:r>
    </w:p>
    <w:p>
      <w:pPr>
        <w:pStyle w:val="Style10"/>
        <w:keepNext w:val="0"/>
        <w:keepLines w:val="0"/>
        <w:framePr w:w="10915" w:h="5837" w:hRule="exact" w:wrap="none" w:vAnchor="page" w:hAnchor="page" w:x="555" w:y="815"/>
        <w:widowControl w:val="0"/>
        <w:numPr>
          <w:ilvl w:val="0"/>
          <w:numId w:val="57"/>
        </w:numPr>
        <w:shd w:val="clear" w:color="auto" w:fill="auto"/>
        <w:tabs>
          <w:tab w:pos="1255" w:val="left"/>
        </w:tabs>
        <w:bidi w:val="0"/>
        <w:spacing w:before="0" w:after="0" w:line="240" w:lineRule="auto"/>
        <w:ind w:left="1200" w:right="0" w:hanging="340"/>
        <w:jc w:val="both"/>
      </w:pPr>
      <w:r>
        <w:rPr>
          <w:color w:val="000000"/>
          <w:spacing w:val="0"/>
          <w:w w:val="100"/>
          <w:position w:val="0"/>
          <w:shd w:val="clear" w:color="auto" w:fill="auto"/>
          <w:lang w:val="cs-CZ" w:eastAsia="cs-CZ" w:bidi="cs-CZ"/>
        </w:rPr>
        <w:t>Smluvní strany prohlašují, že žádná část této Smlouvy nenaplňuje znaky obchodního tajemství (§ 504 zák. č. 89/2012 Sb., občanský zákoník, ve znění pozdějších předpisů).</w:t>
      </w:r>
    </w:p>
    <w:p>
      <w:pPr>
        <w:pStyle w:val="Style10"/>
        <w:keepNext w:val="0"/>
        <w:keepLines w:val="0"/>
        <w:framePr w:wrap="none" w:vAnchor="page" w:hAnchor="page" w:x="555" w:y="7434"/>
        <w:widowControl w:val="0"/>
        <w:shd w:val="clear" w:color="auto" w:fill="auto"/>
        <w:bidi w:val="0"/>
        <w:spacing w:before="0" w:after="0" w:line="240" w:lineRule="auto"/>
        <w:ind w:left="1200" w:right="0" w:firstLine="0"/>
        <w:jc w:val="left"/>
      </w:pPr>
      <w:r>
        <w:rPr>
          <w:b/>
          <w:bCs/>
          <w:color w:val="000000"/>
          <w:spacing w:val="0"/>
          <w:w w:val="100"/>
          <w:position w:val="0"/>
          <w:shd w:val="clear" w:color="auto" w:fill="auto"/>
          <w:lang w:val="cs-CZ" w:eastAsia="cs-CZ" w:bidi="cs-CZ"/>
        </w:rPr>
        <w:t>Přílohy:</w:t>
      </w:r>
    </w:p>
    <w:p>
      <w:pPr>
        <w:pStyle w:val="Style10"/>
        <w:keepNext w:val="0"/>
        <w:keepLines w:val="0"/>
        <w:framePr w:wrap="none" w:vAnchor="page" w:hAnchor="page" w:x="555" w:y="7972"/>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Příloha č. 1: cenová nabídka (oceněný položkový výkaz výměr)</w:t>
      </w:r>
    </w:p>
    <w:p>
      <w:pPr>
        <w:pStyle w:val="Style10"/>
        <w:keepNext w:val="0"/>
        <w:keepLines w:val="0"/>
        <w:framePr w:w="10915" w:h="557" w:hRule="exact" w:wrap="none" w:vAnchor="page" w:hAnchor="page" w:x="555" w:y="9047"/>
        <w:widowControl w:val="0"/>
        <w:shd w:val="clear" w:color="auto" w:fill="auto"/>
        <w:bidi w:val="0"/>
        <w:spacing w:before="0" w:after="0" w:line="240" w:lineRule="auto"/>
        <w:ind w:left="1200" w:right="0" w:firstLine="0"/>
        <w:jc w:val="left"/>
      </w:pPr>
      <w:r>
        <w:rPr>
          <w:color w:val="000000"/>
          <w:spacing w:val="0"/>
          <w:w w:val="100"/>
          <w:position w:val="0"/>
          <w:u w:val="single"/>
          <w:shd w:val="clear" w:color="auto" w:fill="auto"/>
          <w:lang w:val="cs-CZ" w:eastAsia="cs-CZ" w:bidi="cs-CZ"/>
        </w:rPr>
        <w:t>Doložka dle § 41 zákona č. 128/2000 Sb., o obcích, ve znění pozdějších předpisů</w:t>
      </w:r>
    </w:p>
    <w:p>
      <w:pPr>
        <w:pStyle w:val="Style10"/>
        <w:keepNext w:val="0"/>
        <w:keepLines w:val="0"/>
        <w:framePr w:w="10915" w:h="557" w:hRule="exact" w:wrap="none" w:vAnchor="page" w:hAnchor="page" w:x="555" w:y="9047"/>
        <w:widowControl w:val="0"/>
        <w:shd w:val="clear" w:color="auto" w:fill="auto"/>
        <w:bidi w:val="0"/>
        <w:spacing w:before="0" w:after="0" w:line="240" w:lineRule="auto"/>
        <w:ind w:left="1200" w:right="0" w:firstLine="0"/>
        <w:jc w:val="left"/>
      </w:pPr>
      <w:r>
        <w:rPr>
          <w:color w:val="000000"/>
          <w:spacing w:val="0"/>
          <w:w w:val="100"/>
          <w:position w:val="0"/>
          <w:shd w:val="clear" w:color="auto" w:fill="auto"/>
          <w:lang w:val="cs-CZ" w:eastAsia="cs-CZ" w:bidi="cs-CZ"/>
        </w:rPr>
        <w:t>Schváleno usnesením Rady města Pardubice dne 5.3.2025, č. usnesení R/5156/2025</w:t>
      </w:r>
    </w:p>
    <w:p>
      <w:pPr>
        <w:pStyle w:val="Style10"/>
        <w:keepNext w:val="0"/>
        <w:keepLines w:val="0"/>
        <w:framePr w:wrap="none" w:vAnchor="page" w:hAnchor="page" w:x="555" w:y="10391"/>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V Pardubicích dne</w:t>
      </w:r>
    </w:p>
    <w:p>
      <w:pPr>
        <w:pStyle w:val="Style30"/>
        <w:keepNext w:val="0"/>
        <w:keepLines w:val="0"/>
        <w:framePr w:wrap="none" w:vAnchor="page" w:hAnchor="page" w:x="6348" w:y="103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w:t>
      </w:r>
    </w:p>
    <w:p>
      <w:pPr>
        <w:pStyle w:val="Style10"/>
        <w:keepNext w:val="0"/>
        <w:keepLines w:val="0"/>
        <w:framePr w:w="10915" w:h="821" w:hRule="exact" w:wrap="none" w:vAnchor="page" w:hAnchor="page" w:x="555" w:y="11735"/>
        <w:widowControl w:val="0"/>
        <w:shd w:val="clear" w:color="auto" w:fill="auto"/>
        <w:bidi w:val="0"/>
        <w:spacing w:before="0" w:after="0" w:line="240" w:lineRule="auto"/>
        <w:ind w:left="1920" w:right="0" w:firstLine="0"/>
        <w:jc w:val="left"/>
      </w:pPr>
      <w:r>
        <w:rPr>
          <w:i/>
          <w:iCs/>
          <w:color w:val="000000"/>
          <w:spacing w:val="0"/>
          <w:w w:val="100"/>
          <w:position w:val="0"/>
          <w:shd w:val="clear" w:color="auto" w:fill="auto"/>
          <w:lang w:val="cs-CZ" w:eastAsia="cs-CZ" w:bidi="cs-CZ"/>
        </w:rPr>
        <w:t>za objednatele</w:t>
      </w:r>
    </w:p>
    <w:p>
      <w:pPr>
        <w:pStyle w:val="Style10"/>
        <w:keepNext w:val="0"/>
        <w:keepLines w:val="0"/>
        <w:framePr w:w="10915" w:h="821" w:hRule="exact" w:wrap="none" w:vAnchor="page" w:hAnchor="page" w:x="555" w:y="11735"/>
        <w:widowControl w:val="0"/>
        <w:shd w:val="clear" w:color="auto" w:fill="auto"/>
        <w:bidi w:val="0"/>
        <w:spacing w:before="0" w:after="0" w:line="240" w:lineRule="auto"/>
        <w:ind w:left="1140" w:right="0" w:firstLine="580"/>
        <w:jc w:val="left"/>
      </w:pPr>
      <w:r>
        <w:rPr>
          <w:color w:val="000000"/>
          <w:spacing w:val="0"/>
          <w:w w:val="100"/>
          <w:position w:val="0"/>
          <w:shd w:val="clear" w:color="auto" w:fill="auto"/>
          <w:lang w:val="cs-CZ" w:eastAsia="cs-CZ" w:bidi="cs-CZ"/>
        </w:rPr>
        <w:t>Ing. Kateřina Skladanová</w:t>
        <w:br/>
        <w:t>vedoucí Odboru majetku a investic MmP</w:t>
      </w:r>
    </w:p>
    <w:p>
      <w:pPr>
        <w:pStyle w:val="Style10"/>
        <w:keepNext w:val="0"/>
        <w:keepLines w:val="0"/>
        <w:framePr w:wrap="none" w:vAnchor="page" w:hAnchor="page" w:x="8571" w:y="10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p>
      <w:pPr>
        <w:pStyle w:val="Style10"/>
        <w:keepNext w:val="0"/>
        <w:keepLines w:val="0"/>
        <w:framePr w:w="1291" w:h="821" w:hRule="exact" w:wrap="none" w:vAnchor="page" w:hAnchor="page" w:x="7102" w:y="11735"/>
        <w:widowControl w:val="0"/>
        <w:shd w:val="clear" w:color="auto" w:fill="auto"/>
        <w:bidi w:val="0"/>
        <w:spacing w:before="0" w:after="260" w:line="240" w:lineRule="auto"/>
        <w:ind w:left="0" w:right="5" w:firstLine="0"/>
        <w:jc w:val="center"/>
      </w:pPr>
      <w:r>
        <w:rPr>
          <w:i/>
          <w:iCs/>
          <w:color w:val="000000"/>
          <w:spacing w:val="0"/>
          <w:w w:val="100"/>
          <w:position w:val="0"/>
          <w:shd w:val="clear" w:color="auto" w:fill="auto"/>
          <w:lang w:val="cs-CZ" w:eastAsia="cs-CZ" w:bidi="cs-CZ"/>
        </w:rPr>
        <w:t>za zhotovitele</w:t>
      </w:r>
    </w:p>
    <w:p>
      <w:pPr>
        <w:pStyle w:val="Style10"/>
        <w:keepNext w:val="0"/>
        <w:keepLines w:val="0"/>
        <w:framePr w:w="1291" w:h="821" w:hRule="exact" w:wrap="none" w:vAnchor="page" w:hAnchor="page" w:x="7102" w:y="11735"/>
        <w:widowControl w:val="0"/>
        <w:shd w:val="clear" w:color="auto" w:fill="auto"/>
        <w:bidi w:val="0"/>
        <w:spacing w:before="0" w:after="0" w:line="240" w:lineRule="auto"/>
        <w:ind w:left="0" w:right="5" w:firstLine="0"/>
        <w:jc w:val="center"/>
      </w:pPr>
      <w:r>
        <w:rPr>
          <w:color w:val="000000"/>
          <w:spacing w:val="0"/>
          <w:w w:val="100"/>
          <w:position w:val="0"/>
          <w:shd w:val="clear" w:color="auto" w:fill="auto"/>
          <w:lang w:val="cs-CZ" w:eastAsia="cs-CZ" w:bidi="cs-CZ"/>
        </w:rPr>
        <w:t>jednatel</w:t>
      </w:r>
    </w:p>
    <w:p>
      <w:pPr>
        <w:pStyle w:val="Style2"/>
        <w:keepNext w:val="0"/>
        <w:keepLines w:val="0"/>
        <w:framePr w:wrap="none" w:vAnchor="page" w:hAnchor="page" w:x="5672" w:y="15561"/>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- 16 -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331"/>
        <w:gridCol w:w="2606"/>
        <w:gridCol w:w="2808"/>
        <w:gridCol w:w="2170"/>
      </w:tblGrid>
      <w:tr>
        <w:trPr>
          <w:trHeight w:val="672" w:hRule="exact"/>
        </w:trPr>
        <w:tc>
          <w:tcPr>
            <w:gridSpan w:val="4"/>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0"/>
              <w:jc w:val="center"/>
              <w:rPr>
                <w:sz w:val="30"/>
                <w:szCs w:val="30"/>
              </w:rPr>
            </w:pPr>
            <w:r>
              <w:rPr>
                <w:rFonts w:ascii="Arial" w:eastAsia="Arial" w:hAnsi="Arial" w:cs="Arial"/>
                <w:color w:val="000000"/>
                <w:spacing w:val="0"/>
                <w:w w:val="100"/>
                <w:position w:val="0"/>
                <w:sz w:val="30"/>
                <w:szCs w:val="30"/>
                <w:shd w:val="clear" w:color="auto" w:fill="auto"/>
                <w:lang w:val="cs-CZ" w:eastAsia="cs-CZ" w:bidi="cs-CZ"/>
              </w:rPr>
              <w:t>Položkový propočet</w:t>
            </w:r>
          </w:p>
        </w:tc>
      </w:tr>
      <w:tr>
        <w:trPr>
          <w:trHeight w:val="1973" w:hRule="exact"/>
        </w:trPr>
        <w:tc>
          <w:tcPr>
            <w:gridSpan w:val="4"/>
            <w:tcBorders>
              <w:top w:val="single" w:sz="4"/>
              <w:left w:val="single" w:sz="4"/>
              <w:right w:val="single" w:sz="4"/>
            </w:tcBorders>
            <w:shd w:val="clear" w:color="auto" w:fill="auto"/>
            <w:vAlign w:val="top"/>
          </w:tcPr>
          <w:p>
            <w:pPr>
              <w:pStyle w:val="Style30"/>
              <w:keepNext w:val="0"/>
              <w:keepLines w:val="0"/>
              <w:framePr w:w="10915" w:h="12110" w:wrap="none" w:vAnchor="page" w:hAnchor="page" w:x="555" w:y="853"/>
              <w:widowControl w:val="0"/>
              <w:shd w:val="clear" w:color="auto" w:fill="auto"/>
              <w:tabs>
                <w:tab w:pos="4866" w:val="left"/>
              </w:tabs>
              <w:bidi w:val="0"/>
              <w:spacing w:before="0" w:after="220" w:line="240" w:lineRule="auto"/>
              <w:ind w:left="0" w:right="0" w:firstLine="20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Zakázka:</w:t>
              <w:tab/>
            </w:r>
            <w:r>
              <w:rPr>
                <w:rFonts w:ascii="Arial" w:eastAsia="Arial" w:hAnsi="Arial" w:cs="Arial"/>
                <w:b/>
                <w:bCs/>
                <w:color w:val="000000"/>
                <w:spacing w:val="0"/>
                <w:w w:val="100"/>
                <w:position w:val="0"/>
                <w:sz w:val="24"/>
                <w:szCs w:val="24"/>
                <w:shd w:val="clear" w:color="auto" w:fill="auto"/>
                <w:lang w:val="cs-CZ" w:eastAsia="cs-CZ" w:bidi="cs-CZ"/>
              </w:rPr>
              <w:t>Oprava rozhlasové kabiny</w:t>
            </w:r>
          </w:p>
          <w:p>
            <w:pPr>
              <w:pStyle w:val="Style30"/>
              <w:keepNext w:val="0"/>
              <w:keepLines w:val="0"/>
              <w:framePr w:w="10915" w:h="12110" w:wrap="none" w:vAnchor="page" w:hAnchor="page" w:x="555" w:y="853"/>
              <w:widowControl w:val="0"/>
              <w:shd w:val="clear" w:color="auto" w:fill="auto"/>
              <w:tabs>
                <w:tab w:pos="5835" w:val="left"/>
              </w:tabs>
              <w:bidi w:val="0"/>
              <w:spacing w:before="0" w:after="22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en-US" w:eastAsia="en-US" w:bidi="en-US"/>
              </w:rPr>
              <w:t>Misto</w:t>
              <w:tab/>
            </w:r>
            <w:r>
              <w:rPr>
                <w:rFonts w:ascii="Arial" w:eastAsia="Arial" w:hAnsi="Arial" w:cs="Arial"/>
                <w:b/>
                <w:bCs/>
                <w:color w:val="000000"/>
                <w:spacing w:val="0"/>
                <w:w w:val="100"/>
                <w:position w:val="0"/>
                <w:sz w:val="19"/>
                <w:szCs w:val="19"/>
                <w:shd w:val="clear" w:color="auto" w:fill="auto"/>
                <w:lang w:val="cs-CZ" w:eastAsia="cs-CZ" w:bidi="cs-CZ"/>
              </w:rPr>
              <w:t>MAS Dukla</w:t>
            </w:r>
          </w:p>
          <w:p>
            <w:pPr>
              <w:pStyle w:val="Style30"/>
              <w:keepNext w:val="0"/>
              <w:keepLines w:val="0"/>
              <w:framePr w:w="10915" w:h="12110" w:wrap="none" w:vAnchor="page" w:hAnchor="page" w:x="555" w:y="853"/>
              <w:widowControl w:val="0"/>
              <w:shd w:val="clear" w:color="auto" w:fill="auto"/>
              <w:tabs>
                <w:tab w:pos="1870" w:val="left"/>
                <w:tab w:pos="8437" w:val="left"/>
              </w:tabs>
              <w:bidi w:val="0"/>
              <w:spacing w:before="0" w:after="16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Objednatel:</w:t>
              <w:tab/>
            </w:r>
            <w:r>
              <w:rPr>
                <w:rFonts w:ascii="Arial" w:eastAsia="Arial" w:hAnsi="Arial" w:cs="Arial"/>
                <w:b/>
                <w:bCs/>
                <w:color w:val="000000"/>
                <w:spacing w:val="0"/>
                <w:w w:val="100"/>
                <w:position w:val="0"/>
                <w:sz w:val="19"/>
                <w:szCs w:val="19"/>
                <w:shd w:val="clear" w:color="auto" w:fill="auto"/>
                <w:lang w:val="cs-CZ" w:eastAsia="cs-CZ" w:bidi="cs-CZ"/>
              </w:rPr>
              <w:t>Magistrát města Pardubice</w:t>
              <w:tab/>
            </w:r>
            <w:r>
              <w:rPr>
                <w:rFonts w:ascii="Arial" w:eastAsia="Arial" w:hAnsi="Arial" w:cs="Arial"/>
                <w:color w:val="000000"/>
                <w:spacing w:val="0"/>
                <w:w w:val="100"/>
                <w:position w:val="0"/>
                <w:sz w:val="19"/>
                <w:szCs w:val="19"/>
                <w:shd w:val="clear" w:color="auto" w:fill="auto"/>
                <w:lang w:val="cs-CZ" w:eastAsia="cs-CZ" w:bidi="cs-CZ"/>
              </w:rPr>
              <w:t xml:space="preserve">IČ: </w:t>
            </w:r>
            <w:r>
              <w:rPr>
                <w:rFonts w:ascii="Arial" w:eastAsia="Arial" w:hAnsi="Arial" w:cs="Arial"/>
                <w:b/>
                <w:bCs/>
                <w:color w:val="000000"/>
                <w:spacing w:val="0"/>
                <w:w w:val="100"/>
                <w:position w:val="0"/>
                <w:sz w:val="19"/>
                <w:szCs w:val="19"/>
                <w:shd w:val="clear" w:color="auto" w:fill="auto"/>
                <w:lang w:val="cs-CZ" w:eastAsia="cs-CZ" w:bidi="cs-CZ"/>
              </w:rPr>
              <w:t>00274305</w:t>
            </w:r>
          </w:p>
          <w:p>
            <w:pPr>
              <w:pStyle w:val="Style30"/>
              <w:keepNext w:val="0"/>
              <w:keepLines w:val="0"/>
              <w:framePr w:w="10915" w:h="12110" w:wrap="none" w:vAnchor="page" w:hAnchor="page" w:x="555" w:y="853"/>
              <w:widowControl w:val="0"/>
              <w:shd w:val="clear" w:color="auto" w:fill="auto"/>
              <w:tabs>
                <w:tab w:pos="6418" w:val="left"/>
              </w:tabs>
              <w:bidi w:val="0"/>
              <w:spacing w:before="0" w:after="22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OMI</w:t>
              <w:tab/>
            </w:r>
            <w:r>
              <w:rPr>
                <w:rFonts w:ascii="Arial" w:eastAsia="Arial" w:hAnsi="Arial" w:cs="Arial"/>
                <w:color w:val="000000"/>
                <w:spacing w:val="0"/>
                <w:w w:val="100"/>
                <w:position w:val="0"/>
                <w:sz w:val="19"/>
                <w:szCs w:val="19"/>
                <w:shd w:val="clear" w:color="auto" w:fill="auto"/>
                <w:lang w:val="cs-CZ" w:eastAsia="cs-CZ" w:bidi="cs-CZ"/>
              </w:rPr>
              <w:t>DIČ:</w:t>
            </w:r>
          </w:p>
        </w:tc>
      </w:tr>
      <w:tr>
        <w:trPr>
          <w:trHeight w:val="1075" w:hRule="exact"/>
        </w:trPr>
        <w:tc>
          <w:tcPr>
            <w:gridSpan w:val="3"/>
            <w:tcBorders>
              <w:top w:val="single" w:sz="4"/>
              <w:left w:val="single" w:sz="4"/>
            </w:tcBorders>
            <w:shd w:val="clear" w:color="auto" w:fill="99CDFF"/>
            <w:vAlign w:val="bottom"/>
          </w:tcPr>
          <w:p>
            <w:pPr>
              <w:pStyle w:val="Style30"/>
              <w:keepNext w:val="0"/>
              <w:keepLines w:val="0"/>
              <w:framePr w:w="10915" w:h="12110" w:wrap="none" w:vAnchor="page" w:hAnchor="page" w:x="555" w:y="853"/>
              <w:widowControl w:val="0"/>
              <w:shd w:val="clear" w:color="auto" w:fill="auto"/>
              <w:tabs>
                <w:tab w:pos="1875" w:val="left"/>
                <w:tab w:pos="8442" w:val="left"/>
              </w:tabs>
              <w:bidi w:val="0"/>
              <w:spacing w:before="0" w:after="16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Zhotovitel:</w:t>
              <w:tab/>
            </w:r>
            <w:r>
              <w:rPr>
                <w:rFonts w:ascii="Arial" w:eastAsia="Arial" w:hAnsi="Arial" w:cs="Arial"/>
                <w:b/>
                <w:bCs/>
                <w:color w:val="000000"/>
                <w:spacing w:val="0"/>
                <w:w w:val="100"/>
                <w:position w:val="0"/>
                <w:sz w:val="19"/>
                <w:szCs w:val="19"/>
                <w:shd w:val="clear" w:color="auto" w:fill="auto"/>
                <w:lang w:val="cs-CZ" w:eastAsia="cs-CZ" w:bidi="cs-CZ"/>
              </w:rPr>
              <w:t>IngPro Litoměřice s.r.o.</w:t>
              <w:tab/>
            </w:r>
            <w:r>
              <w:rPr>
                <w:rFonts w:ascii="Arial" w:eastAsia="Arial" w:hAnsi="Arial" w:cs="Arial"/>
                <w:color w:val="000000"/>
                <w:spacing w:val="0"/>
                <w:w w:val="100"/>
                <w:position w:val="0"/>
                <w:sz w:val="19"/>
                <w:szCs w:val="19"/>
                <w:shd w:val="clear" w:color="auto" w:fill="auto"/>
                <w:lang w:val="cs-CZ" w:eastAsia="cs-CZ" w:bidi="cs-CZ"/>
              </w:rPr>
              <w:t>IČ:</w:t>
            </w:r>
          </w:p>
          <w:p>
            <w:pPr>
              <w:pStyle w:val="Style30"/>
              <w:keepNext w:val="0"/>
              <w:keepLines w:val="0"/>
              <w:framePr w:w="10915" w:h="12110" w:wrap="none" w:vAnchor="page" w:hAnchor="page" w:x="555" w:y="853"/>
              <w:widowControl w:val="0"/>
              <w:shd w:val="clear" w:color="auto" w:fill="auto"/>
              <w:tabs>
                <w:tab w:pos="8287" w:val="left"/>
              </w:tabs>
              <w:bidi w:val="0"/>
              <w:spacing w:before="0" w:after="80" w:line="240" w:lineRule="auto"/>
              <w:ind w:left="186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Velká Domininikánská 129/10</w:t>
              <w:tab/>
            </w:r>
            <w:r>
              <w:rPr>
                <w:rFonts w:ascii="Arial" w:eastAsia="Arial" w:hAnsi="Arial" w:cs="Arial"/>
                <w:color w:val="000000"/>
                <w:spacing w:val="0"/>
                <w:w w:val="100"/>
                <w:position w:val="0"/>
                <w:sz w:val="19"/>
                <w:szCs w:val="19"/>
                <w:shd w:val="clear" w:color="auto" w:fill="auto"/>
                <w:lang w:val="cs-CZ" w:eastAsia="cs-CZ" w:bidi="cs-CZ"/>
              </w:rPr>
              <w:t>DIČ:</w:t>
            </w:r>
          </w:p>
          <w:p>
            <w:pPr>
              <w:pStyle w:val="Style30"/>
              <w:keepNext w:val="0"/>
              <w:keepLines w:val="0"/>
              <w:framePr w:w="10915" w:h="12110" w:wrap="none" w:vAnchor="page" w:hAnchor="page" w:x="555" w:y="853"/>
              <w:widowControl w:val="0"/>
              <w:shd w:val="clear" w:color="auto" w:fill="auto"/>
              <w:bidi w:val="0"/>
              <w:spacing w:before="0" w:after="120" w:line="240" w:lineRule="auto"/>
              <w:ind w:left="186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412 01 Litoměřice</w:t>
            </w:r>
          </w:p>
        </w:tc>
        <w:tc>
          <w:tcPr>
            <w:tcBorders>
              <w:top w:val="single" w:sz="4"/>
              <w:right w:val="single" w:sz="4"/>
            </w:tcBorders>
            <w:shd w:val="clear" w:color="auto" w:fill="auto"/>
            <w:vAlign w:val="top"/>
          </w:tcPr>
          <w:p>
            <w:pPr>
              <w:pStyle w:val="Style30"/>
              <w:keepNext w:val="0"/>
              <w:keepLines w:val="0"/>
              <w:framePr w:w="10915" w:h="12110" w:wrap="none" w:vAnchor="page" w:hAnchor="page" w:x="555" w:y="853"/>
              <w:widowControl w:val="0"/>
              <w:shd w:val="clear" w:color="auto" w:fill="auto"/>
              <w:bidi w:val="0"/>
              <w:spacing w:before="120" w:after="16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27301176</w:t>
            </w:r>
          </w:p>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CZ27301176</w:t>
            </w:r>
          </w:p>
        </w:tc>
      </w:tr>
      <w:tr>
        <w:trPr>
          <w:trHeight w:val="624" w:hRule="exact"/>
        </w:trPr>
        <w:tc>
          <w:tcPr>
            <w:gridSpan w:val="4"/>
            <w:tcBorders>
              <w:top w:val="single" w:sz="4"/>
              <w:left w:val="single" w:sz="4"/>
              <w:right w:val="single" w:sz="4"/>
            </w:tcBorders>
            <w:shd w:val="clear" w:color="auto" w:fill="auto"/>
            <w:vAlign w:val="bottom"/>
          </w:tcPr>
          <w:p>
            <w:pPr>
              <w:pStyle w:val="Style30"/>
              <w:keepNext w:val="0"/>
              <w:keepLines w:val="0"/>
              <w:framePr w:w="10915" w:h="12110" w:wrap="none" w:vAnchor="page" w:hAnchor="page" w:x="555" w:y="853"/>
              <w:widowControl w:val="0"/>
              <w:shd w:val="clear" w:color="auto" w:fill="auto"/>
              <w:tabs>
                <w:tab w:pos="9978" w:val="left"/>
              </w:tabs>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Rozpis ceny</w:t>
              <w:tab/>
              <w:t>Celkem</w:t>
            </w:r>
          </w:p>
        </w:tc>
      </w:tr>
      <w:tr>
        <w:trPr>
          <w:trHeight w:val="446"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HSV</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82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138 817,48</w:t>
            </w:r>
          </w:p>
        </w:tc>
      </w:tr>
      <w:tr>
        <w:trPr>
          <w:trHeight w:val="451"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PSV</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200" w:firstLine="0"/>
              <w:jc w:val="righ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73 941,17</w:t>
            </w:r>
          </w:p>
        </w:tc>
      </w:tr>
      <w:tr>
        <w:trPr>
          <w:trHeight w:val="446"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MON</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0,00</w:t>
            </w:r>
          </w:p>
        </w:tc>
      </w:tr>
      <w:tr>
        <w:trPr>
          <w:trHeight w:val="451"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Vedlejší náklady</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0,00</w:t>
            </w:r>
          </w:p>
        </w:tc>
      </w:tr>
      <w:tr>
        <w:trPr>
          <w:trHeight w:val="446"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Ostatní náklady</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0,00</w:t>
            </w:r>
          </w:p>
        </w:tc>
      </w:tr>
      <w:tr>
        <w:trPr>
          <w:trHeight w:val="451"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tcBorders>
            <w:shd w:val="clear" w:color="auto" w:fill="auto"/>
            <w:vAlign w:val="top"/>
          </w:tcPr>
          <w:p>
            <w:pPr>
              <w:framePr w:w="10915" w:h="12110" w:wrap="none" w:vAnchor="page" w:hAnchor="page" w:x="555" w:y="85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82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212 758,65</w:t>
            </w:r>
          </w:p>
        </w:tc>
      </w:tr>
      <w:tr>
        <w:trPr>
          <w:trHeight w:val="638" w:hRule="exact"/>
        </w:trPr>
        <w:tc>
          <w:tcPr>
            <w:gridSpan w:val="4"/>
            <w:tcBorders>
              <w:top w:val="single" w:sz="4"/>
              <w:left w:val="single" w:sz="4"/>
              <w:right w:val="single" w:sz="4"/>
            </w:tcBorders>
            <w:shd w:val="clear" w:color="auto" w:fill="auto"/>
            <w:vAlign w:val="bottom"/>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Rekapitulace daní</w:t>
            </w:r>
          </w:p>
        </w:tc>
      </w:tr>
      <w:tr>
        <w:trPr>
          <w:trHeight w:val="446"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Základ pro sníženou DPH</w:t>
            </w:r>
          </w:p>
        </w:tc>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15 %</w:t>
            </w:r>
          </w:p>
        </w:tc>
        <w:tc>
          <w:tcPr>
            <w:gridSpan w:val="2"/>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300" w:firstLine="0"/>
              <w:jc w:val="right"/>
              <w:rPr>
                <w:sz w:val="19"/>
                <w:szCs w:val="19"/>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0,00 </w:t>
            </w:r>
            <w:r>
              <w:rPr>
                <w:rFonts w:ascii="Arial" w:eastAsia="Arial" w:hAnsi="Arial" w:cs="Arial"/>
                <w:color w:val="000000"/>
                <w:spacing w:val="0"/>
                <w:w w:val="100"/>
                <w:position w:val="0"/>
                <w:sz w:val="19"/>
                <w:szCs w:val="19"/>
                <w:shd w:val="clear" w:color="auto" w:fill="auto"/>
                <w:lang w:val="cs-CZ" w:eastAsia="cs-CZ" w:bidi="cs-CZ"/>
              </w:rPr>
              <w:t>CZK</w:t>
            </w:r>
          </w:p>
        </w:tc>
      </w:tr>
      <w:tr>
        <w:trPr>
          <w:trHeight w:val="451" w:hRule="exact"/>
        </w:trPr>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20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Základ pro základní DPH</w:t>
            </w:r>
          </w:p>
        </w:tc>
        <w:tc>
          <w:tcPr>
            <w:tcBorders>
              <w:top w:val="single" w:sz="4"/>
              <w:lef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cs-CZ" w:eastAsia="cs-CZ" w:bidi="cs-CZ"/>
              </w:rPr>
              <w:t>21 %</w:t>
            </w:r>
          </w:p>
        </w:tc>
        <w:tc>
          <w:tcPr>
            <w:gridSpan w:val="2"/>
            <w:tcBorders>
              <w:top w:val="single" w:sz="4"/>
              <w:left w:val="single" w:sz="4"/>
              <w:right w:val="single" w:sz="4"/>
            </w:tcBorders>
            <w:shd w:val="clear" w:color="auto" w:fill="auto"/>
            <w:vAlign w:val="center"/>
          </w:tcPr>
          <w:p>
            <w:pPr>
              <w:pStyle w:val="Style30"/>
              <w:keepNext w:val="0"/>
              <w:keepLines w:val="0"/>
              <w:framePr w:w="10915" w:h="12110" w:wrap="none" w:vAnchor="page" w:hAnchor="page" w:x="555" w:y="853"/>
              <w:widowControl w:val="0"/>
              <w:shd w:val="clear" w:color="auto" w:fill="auto"/>
              <w:bidi w:val="0"/>
              <w:spacing w:before="0" w:after="0" w:line="240" w:lineRule="auto"/>
              <w:ind w:left="0" w:right="300" w:firstLine="0"/>
              <w:jc w:val="right"/>
              <w:rPr>
                <w:sz w:val="19"/>
                <w:szCs w:val="19"/>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212 758,65 </w:t>
            </w:r>
            <w:r>
              <w:rPr>
                <w:rFonts w:ascii="Arial" w:eastAsia="Arial" w:hAnsi="Arial" w:cs="Arial"/>
                <w:color w:val="000000"/>
                <w:spacing w:val="0"/>
                <w:w w:val="100"/>
                <w:position w:val="0"/>
                <w:sz w:val="19"/>
                <w:szCs w:val="19"/>
                <w:shd w:val="clear" w:color="auto" w:fill="auto"/>
                <w:lang w:val="cs-CZ" w:eastAsia="cs-CZ" w:bidi="cs-CZ"/>
              </w:rPr>
              <w:t>CZK</w:t>
            </w:r>
          </w:p>
        </w:tc>
      </w:tr>
      <w:tr>
        <w:trPr>
          <w:trHeight w:val="538" w:hRule="exact"/>
        </w:trPr>
        <w:tc>
          <w:tcPr>
            <w:gridSpan w:val="4"/>
            <w:tcBorders>
              <w:top w:val="single" w:sz="4"/>
              <w:left w:val="single" w:sz="4"/>
              <w:right w:val="single" w:sz="4"/>
            </w:tcBorders>
            <w:shd w:val="clear" w:color="auto" w:fill="C0C0C0"/>
            <w:vAlign w:val="center"/>
          </w:tcPr>
          <w:p>
            <w:pPr>
              <w:pStyle w:val="Style30"/>
              <w:keepNext w:val="0"/>
              <w:keepLines w:val="0"/>
              <w:framePr w:w="10915" w:h="12110" w:wrap="none" w:vAnchor="page" w:hAnchor="page" w:x="555" w:y="853"/>
              <w:widowControl w:val="0"/>
              <w:shd w:val="clear" w:color="auto" w:fill="auto"/>
              <w:tabs>
                <w:tab w:pos="8845" w:val="left"/>
              </w:tabs>
              <w:bidi w:val="0"/>
              <w:spacing w:before="0" w:after="0" w:line="240" w:lineRule="auto"/>
              <w:ind w:left="0" w:right="0" w:firstLine="20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Cena celkem bez DPH</w:t>
              <w:tab/>
              <w:t xml:space="preserve">212758,65 </w:t>
            </w:r>
            <w:r>
              <w:rPr>
                <w:rFonts w:ascii="Arial" w:eastAsia="Arial" w:hAnsi="Arial" w:cs="Arial"/>
                <w:b/>
                <w:bCs/>
                <w:smallCaps/>
                <w:color w:val="000000"/>
                <w:spacing w:val="0"/>
                <w:w w:val="100"/>
                <w:position w:val="0"/>
                <w:sz w:val="24"/>
                <w:szCs w:val="24"/>
                <w:shd w:val="clear" w:color="auto" w:fill="auto"/>
                <w:lang w:val="cs-CZ" w:eastAsia="cs-CZ" w:bidi="cs-CZ"/>
              </w:rPr>
              <w:t>czk</w:t>
            </w:r>
          </w:p>
        </w:tc>
      </w:tr>
      <w:tr>
        <w:trPr>
          <w:trHeight w:val="3000" w:hRule="exact"/>
        </w:trPr>
        <w:tc>
          <w:tcPr>
            <w:gridSpan w:val="4"/>
            <w:tcBorders>
              <w:top w:val="single" w:sz="4"/>
              <w:left w:val="single" w:sz="4"/>
              <w:bottom w:val="single" w:sz="4"/>
              <w:right w:val="single" w:sz="4"/>
            </w:tcBorders>
            <w:shd w:val="clear" w:color="auto" w:fill="auto"/>
            <w:vAlign w:val="bottom"/>
          </w:tcPr>
          <w:p>
            <w:pPr>
              <w:pStyle w:val="Style30"/>
              <w:keepNext w:val="0"/>
              <w:keepLines w:val="0"/>
              <w:framePr w:w="10915" w:h="12110" w:wrap="none" w:vAnchor="page" w:hAnchor="page" w:x="555" w:y="853"/>
              <w:widowControl w:val="0"/>
              <w:shd w:val="clear" w:color="auto" w:fill="auto"/>
              <w:tabs>
                <w:tab w:pos="5124" w:val="left"/>
              </w:tabs>
              <w:bidi w:val="0"/>
              <w:spacing w:before="0" w:after="1360" w:line="240" w:lineRule="auto"/>
              <w:ind w:left="138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w:t>
              <w:tab/>
              <w:t>dne</w:t>
            </w:r>
          </w:p>
          <w:p>
            <w:pPr>
              <w:pStyle w:val="Style30"/>
              <w:keepNext w:val="0"/>
              <w:keepLines w:val="0"/>
              <w:framePr w:w="10915" w:h="12110" w:wrap="none" w:vAnchor="page" w:hAnchor="page" w:x="555" w:y="853"/>
              <w:widowControl w:val="0"/>
              <w:shd w:val="clear" w:color="auto" w:fill="auto"/>
              <w:tabs>
                <w:tab w:pos="4733" w:val="left"/>
              </w:tabs>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shd w:val="clear" w:color="auto" w:fill="auto"/>
                <w:lang w:val="cs-CZ" w:eastAsia="cs-CZ" w:bidi="cs-CZ"/>
              </w:rPr>
              <w:t>Za zhotovitele</w:t>
              <w:tab/>
              <w:t>Za objednatele</w:t>
            </w:r>
          </w:p>
        </w:tc>
      </w:tr>
    </w:tbl>
    <w:p>
      <w:pPr>
        <w:pStyle w:val="Style2"/>
        <w:keepNext w:val="0"/>
        <w:keepLines w:val="0"/>
        <w:framePr w:wrap="none" w:vAnchor="page" w:hAnchor="page" w:x="1054" w:y="16338"/>
        <w:widowControl w:val="0"/>
        <w:shd w:val="clear" w:color="auto" w:fill="auto"/>
        <w:bidi w:val="0"/>
        <w:spacing w:before="0" w:after="0" w:line="240" w:lineRule="auto"/>
        <w:ind w:left="0" w:right="0" w:firstLine="0"/>
        <w:jc w:val="left"/>
      </w:pPr>
      <w:r>
        <w:rPr>
          <w:rFonts w:ascii="Arial" w:eastAsia="Arial" w:hAnsi="Arial" w:cs="Arial"/>
          <w:b w:val="0"/>
          <w:bCs w:val="0"/>
          <w:color w:val="000000"/>
          <w:spacing w:val="0"/>
          <w:w w:val="100"/>
          <w:position w:val="0"/>
          <w:sz w:val="18"/>
          <w:szCs w:val="18"/>
          <w:shd w:val="clear" w:color="auto" w:fill="auto"/>
          <w:lang w:val="cs-CZ" w:eastAsia="cs-CZ" w:bidi="cs-CZ"/>
        </w:rPr>
        <w:t xml:space="preserve">Zpracováno programem </w:t>
      </w:r>
      <w:r>
        <w:rPr>
          <w:rFonts w:ascii="Arial" w:eastAsia="Arial" w:hAnsi="Arial" w:cs="Arial"/>
          <w:color w:val="000000"/>
          <w:spacing w:val="0"/>
          <w:w w:val="100"/>
          <w:position w:val="0"/>
          <w:sz w:val="18"/>
          <w:szCs w:val="18"/>
          <w:shd w:val="clear" w:color="auto" w:fill="auto"/>
          <w:lang w:val="en-US" w:eastAsia="en-US" w:bidi="en-US"/>
        </w:rPr>
        <w:t xml:space="preserve">RTS </w:t>
      </w:r>
      <w:r>
        <w:rPr>
          <w:rFonts w:ascii="Arial" w:eastAsia="Arial" w:hAnsi="Arial" w:cs="Arial"/>
          <w:color w:val="000000"/>
          <w:spacing w:val="0"/>
          <w:w w:val="100"/>
          <w:position w:val="0"/>
          <w:sz w:val="18"/>
          <w:szCs w:val="18"/>
          <w:shd w:val="clear" w:color="auto" w:fill="auto"/>
          <w:lang w:val="cs-CZ" w:eastAsia="cs-CZ" w:bidi="cs-CZ"/>
        </w:rPr>
        <w:t xml:space="preserve">Stavitel +, © </w:t>
      </w:r>
      <w:r>
        <w:rPr>
          <w:rFonts w:ascii="Arial" w:eastAsia="Arial" w:hAnsi="Arial" w:cs="Arial"/>
          <w:color w:val="000000"/>
          <w:spacing w:val="0"/>
          <w:w w:val="100"/>
          <w:position w:val="0"/>
          <w:sz w:val="18"/>
          <w:szCs w:val="18"/>
          <w:shd w:val="clear" w:color="auto" w:fill="auto"/>
          <w:lang w:val="en-US" w:eastAsia="en-US" w:bidi="en-US"/>
        </w:rPr>
        <w:t xml:space="preserve">RTS, </w:t>
      </w:r>
      <w:r>
        <w:rPr>
          <w:rFonts w:ascii="Arial" w:eastAsia="Arial" w:hAnsi="Arial" w:cs="Arial"/>
          <w:color w:val="000000"/>
          <w:spacing w:val="0"/>
          <w:w w:val="100"/>
          <w:position w:val="0"/>
          <w:sz w:val="18"/>
          <w:szCs w:val="18"/>
          <w:shd w:val="clear" w:color="auto" w:fill="auto"/>
          <w:lang w:val="cs-CZ" w:eastAsia="cs-CZ" w:bidi="cs-CZ"/>
        </w:rPr>
        <w:t>a.s.</w:t>
      </w:r>
    </w:p>
    <w:p>
      <w:pPr>
        <w:pStyle w:val="Style2"/>
        <w:keepNext w:val="0"/>
        <w:keepLines w:val="0"/>
        <w:framePr w:wrap="none" w:vAnchor="page" w:hAnchor="page" w:x="9718" w:y="16323"/>
        <w:widowControl w:val="0"/>
        <w:shd w:val="clear" w:color="auto" w:fill="auto"/>
        <w:bidi w:val="0"/>
        <w:spacing w:before="0" w:after="0" w:line="240" w:lineRule="auto"/>
        <w:ind w:left="0" w:right="0" w:firstLine="0"/>
        <w:jc w:val="left"/>
      </w:pPr>
      <w:r>
        <w:rPr>
          <w:rFonts w:ascii="Arial" w:eastAsia="Arial" w:hAnsi="Arial" w:cs="Arial"/>
          <w:b w:val="0"/>
          <w:bCs w:val="0"/>
          <w:color w:val="000000"/>
          <w:spacing w:val="0"/>
          <w:w w:val="100"/>
          <w:position w:val="0"/>
          <w:sz w:val="18"/>
          <w:szCs w:val="18"/>
          <w:shd w:val="clear" w:color="auto" w:fill="auto"/>
          <w:lang w:val="cs-CZ" w:eastAsia="cs-CZ" w:bidi="cs-CZ"/>
        </w:rPr>
        <w:t>Stránka 2 z 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4"/>
        <w:keepNext w:val="0"/>
        <w:keepLines w:val="0"/>
        <w:framePr w:wrap="none" w:vAnchor="page" w:hAnchor="page" w:x="565" w:y="14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Rekapitulace dílů</w:t>
      </w:r>
    </w:p>
    <w:tbl>
      <w:tblPr>
        <w:tblOverlap w:val="never"/>
        <w:jc w:val="left"/>
        <w:tblLayout w:type="fixed"/>
      </w:tblPr>
      <w:tblGrid>
        <w:gridCol w:w="1018"/>
        <w:gridCol w:w="3648"/>
        <w:gridCol w:w="1262"/>
        <w:gridCol w:w="1402"/>
        <w:gridCol w:w="1406"/>
        <w:gridCol w:w="2160"/>
      </w:tblGrid>
      <w:tr>
        <w:trPr>
          <w:trHeight w:val="504" w:hRule="exact"/>
        </w:trPr>
        <w:tc>
          <w:tcPr>
            <w:tcBorders>
              <w:top w:val="single" w:sz="4"/>
              <w:left w:val="single" w:sz="4"/>
            </w:tcBorders>
            <w:shd w:val="clear" w:color="auto" w:fill="C0C0C0"/>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28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Číslo</w:t>
            </w:r>
          </w:p>
        </w:tc>
        <w:tc>
          <w:tcPr>
            <w:tcBorders>
              <w:top w:val="single" w:sz="4"/>
              <w:left w:val="single" w:sz="4"/>
            </w:tcBorders>
            <w:shd w:val="clear" w:color="auto" w:fill="C0C0C0"/>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14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Název</w:t>
            </w:r>
          </w:p>
        </w:tc>
        <w:tc>
          <w:tcPr>
            <w:tcBorders>
              <w:top w:val="single" w:sz="4"/>
              <w:left w:val="single" w:sz="4"/>
            </w:tcBorders>
            <w:shd w:val="clear" w:color="auto" w:fill="C0C0C0"/>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cs-CZ" w:eastAsia="cs-CZ" w:bidi="cs-CZ"/>
              </w:rPr>
              <w:t>Typ dílu</w:t>
            </w:r>
          </w:p>
        </w:tc>
        <w:tc>
          <w:tcPr>
            <w:tcBorders>
              <w:top w:val="single" w:sz="4"/>
              <w:left w:val="single" w:sz="4"/>
            </w:tcBorders>
            <w:shd w:val="clear" w:color="auto" w:fill="C0C0C0"/>
            <w:vAlign w:val="top"/>
          </w:tcPr>
          <w:p>
            <w:pPr>
              <w:framePr w:w="10896" w:h="5957" w:wrap="none" w:vAnchor="page" w:hAnchor="page" w:x="565" w:y="2023"/>
              <w:widowControl w:val="0"/>
              <w:rPr>
                <w:sz w:val="10"/>
                <w:szCs w:val="10"/>
              </w:rPr>
            </w:pPr>
          </w:p>
        </w:tc>
        <w:tc>
          <w:tcPr>
            <w:tcBorders>
              <w:top w:val="single" w:sz="4"/>
              <w:left w:val="single" w:sz="4"/>
            </w:tcBorders>
            <w:shd w:val="clear" w:color="auto" w:fill="C0C0C0"/>
            <w:vAlign w:val="top"/>
          </w:tcPr>
          <w:p>
            <w:pPr>
              <w:framePr w:w="10896" w:h="5957" w:wrap="none" w:vAnchor="page" w:hAnchor="page" w:x="565" w:y="2023"/>
              <w:widowControl w:val="0"/>
              <w:rPr>
                <w:sz w:val="10"/>
                <w:szCs w:val="10"/>
              </w:rPr>
            </w:pPr>
          </w:p>
        </w:tc>
        <w:tc>
          <w:tcPr>
            <w:tcBorders>
              <w:top w:val="single" w:sz="4"/>
              <w:left w:val="single" w:sz="4"/>
              <w:right w:val="single" w:sz="4"/>
            </w:tcBorders>
            <w:shd w:val="clear" w:color="auto" w:fill="C0C0C0"/>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cs-CZ" w:eastAsia="cs-CZ" w:bidi="cs-CZ"/>
              </w:rPr>
              <w:t>Celkem</w:t>
            </w:r>
          </w:p>
        </w:tc>
      </w:tr>
      <w:tr>
        <w:trPr>
          <w:trHeight w:val="490" w:hRule="exact"/>
        </w:trPr>
        <w:tc>
          <w:tcPr>
            <w:tcBorders>
              <w:top w:val="single" w:sz="4"/>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Svislé a kompletní konstrukce</w:t>
            </w:r>
          </w:p>
        </w:tc>
        <w:tc>
          <w:tcPr>
            <w:tcBorders>
              <w:top w:val="single" w:sz="4"/>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top w:val="single" w:sz="4"/>
              <w:left w:val="single" w:sz="4"/>
            </w:tcBorders>
            <w:shd w:val="clear" w:color="auto" w:fill="auto"/>
            <w:vAlign w:val="top"/>
          </w:tcPr>
          <w:p>
            <w:pPr>
              <w:framePr w:w="10896" w:h="5957" w:wrap="none" w:vAnchor="page" w:hAnchor="page" w:x="565" w:y="2023"/>
              <w:widowControl w:val="0"/>
              <w:rPr>
                <w:sz w:val="10"/>
                <w:szCs w:val="10"/>
              </w:rPr>
            </w:pPr>
          </w:p>
        </w:tc>
        <w:tc>
          <w:tcPr>
            <w:tcBorders>
              <w:top w:val="single" w:sz="4"/>
              <w:left w:val="single" w:sz="4"/>
            </w:tcBorders>
            <w:shd w:val="clear" w:color="auto" w:fill="auto"/>
            <w:vAlign w:val="top"/>
          </w:tcPr>
          <w:p>
            <w:pPr>
              <w:framePr w:w="10896" w:h="5957" w:wrap="none" w:vAnchor="page" w:hAnchor="page" w:x="565" w:y="2023"/>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47 985,80</w:t>
            </w:r>
          </w:p>
        </w:tc>
      </w:tr>
      <w:tr>
        <w:trPr>
          <w:trHeight w:val="499"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61</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Upravy povrchů vnitřní</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19 907,00</w:t>
            </w:r>
          </w:p>
        </w:tc>
      </w:tr>
      <w:tr>
        <w:trPr>
          <w:trHeight w:val="499"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62</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Upravy povrchů vnější</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30 829,60</w:t>
            </w:r>
          </w:p>
        </w:tc>
      </w:tr>
      <w:tr>
        <w:trPr>
          <w:trHeight w:val="490"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64</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Výplně otvorů</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10 800,00</w:t>
            </w:r>
          </w:p>
        </w:tc>
      </w:tr>
      <w:tr>
        <w:trPr>
          <w:trHeight w:val="485"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96</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Bourání konstrukcí</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4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3 824,48</w:t>
            </w:r>
          </w:p>
        </w:tc>
      </w:tr>
      <w:tr>
        <w:trPr>
          <w:trHeight w:val="494"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97</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Prorážení otvorů</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15 917,60</w:t>
            </w:r>
          </w:p>
        </w:tc>
      </w:tr>
      <w:tr>
        <w:trPr>
          <w:trHeight w:val="499"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99</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Staveništní přesun hmot</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HSV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4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9 553,00</w:t>
            </w:r>
          </w:p>
        </w:tc>
      </w:tr>
      <w:tr>
        <w:trPr>
          <w:trHeight w:val="490"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766</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Konstrukce truhlářské</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PSV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3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64 648,17</w:t>
            </w:r>
          </w:p>
        </w:tc>
      </w:tr>
      <w:tr>
        <w:trPr>
          <w:trHeight w:val="504"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783</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Nátěry</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PSV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4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2 000,00</w:t>
            </w:r>
          </w:p>
        </w:tc>
      </w:tr>
      <w:tr>
        <w:trPr>
          <w:trHeight w:val="494" w:hRule="exact"/>
        </w:trPr>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784</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Malby</w:t>
            </w:r>
          </w:p>
        </w:tc>
        <w:tc>
          <w:tcPr>
            <w:tcBorders>
              <w:lef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PSV</w:t>
            </w: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tcBorders>
            <w:shd w:val="clear" w:color="auto" w:fill="auto"/>
            <w:vAlign w:val="top"/>
          </w:tcPr>
          <w:p>
            <w:pPr>
              <w:framePr w:w="10896" w:h="5957" w:wrap="none" w:vAnchor="page" w:hAnchor="page" w:x="565" w:y="2023"/>
              <w:widowControl w:val="0"/>
              <w:rPr>
                <w:sz w:val="10"/>
                <w:szCs w:val="10"/>
              </w:rPr>
            </w:pPr>
          </w:p>
        </w:tc>
        <w:tc>
          <w:tcPr>
            <w:tcBorders>
              <w:left w:val="single" w:sz="4"/>
              <w:right w:val="single" w:sz="4"/>
            </w:tcBorders>
            <w:shd w:val="clear" w:color="auto" w:fill="auto"/>
            <w:vAlign w:val="center"/>
          </w:tcPr>
          <w:p>
            <w:pPr>
              <w:pStyle w:val="Style30"/>
              <w:keepNext w:val="0"/>
              <w:keepLines w:val="0"/>
              <w:framePr w:w="10896" w:h="5957" w:wrap="none" w:vAnchor="page" w:hAnchor="page" w:x="565" w:y="2023"/>
              <w:widowControl w:val="0"/>
              <w:shd w:val="clear" w:color="auto" w:fill="auto"/>
              <w:bidi w:val="0"/>
              <w:spacing w:before="0" w:after="0" w:line="240" w:lineRule="auto"/>
              <w:ind w:left="140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7 293,00</w:t>
            </w:r>
          </w:p>
        </w:tc>
      </w:tr>
      <w:tr>
        <w:trPr>
          <w:trHeight w:val="509" w:hRule="exact"/>
        </w:trPr>
        <w:tc>
          <w:tcPr>
            <w:gridSpan w:val="2"/>
            <w:tcBorders>
              <w:top w:val="single" w:sz="4"/>
              <w:left w:val="single" w:sz="4"/>
              <w:bottom w:val="single" w:sz="4"/>
            </w:tcBorders>
            <w:shd w:val="clear" w:color="auto" w:fill="FFFFCB"/>
            <w:vAlign w:val="bottom"/>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Cena celkem</w:t>
            </w:r>
          </w:p>
        </w:tc>
        <w:tc>
          <w:tcPr>
            <w:tcBorders>
              <w:top w:val="single" w:sz="4"/>
              <w:left w:val="single" w:sz="4"/>
              <w:bottom w:val="single" w:sz="4"/>
            </w:tcBorders>
            <w:shd w:val="clear" w:color="auto" w:fill="FFFFCB"/>
            <w:vAlign w:val="top"/>
          </w:tcPr>
          <w:p>
            <w:pPr>
              <w:framePr w:w="10896" w:h="5957" w:wrap="none" w:vAnchor="page" w:hAnchor="page" w:x="565" w:y="2023"/>
              <w:widowControl w:val="0"/>
              <w:rPr>
                <w:sz w:val="10"/>
                <w:szCs w:val="10"/>
              </w:rPr>
            </w:pPr>
          </w:p>
        </w:tc>
        <w:tc>
          <w:tcPr>
            <w:tcBorders>
              <w:top w:val="single" w:sz="4"/>
              <w:left w:val="single" w:sz="4"/>
              <w:bottom w:val="single" w:sz="4"/>
            </w:tcBorders>
            <w:shd w:val="clear" w:color="auto" w:fill="FFFFCB"/>
            <w:vAlign w:val="top"/>
          </w:tcPr>
          <w:p>
            <w:pPr>
              <w:framePr w:w="10896" w:h="5957" w:wrap="none" w:vAnchor="page" w:hAnchor="page" w:x="565" w:y="2023"/>
              <w:widowControl w:val="0"/>
              <w:rPr>
                <w:sz w:val="10"/>
                <w:szCs w:val="10"/>
              </w:rPr>
            </w:pPr>
          </w:p>
        </w:tc>
        <w:tc>
          <w:tcPr>
            <w:tcBorders>
              <w:top w:val="single" w:sz="4"/>
              <w:left w:val="single" w:sz="4"/>
              <w:bottom w:val="single" w:sz="4"/>
            </w:tcBorders>
            <w:shd w:val="clear" w:color="auto" w:fill="FFFFCB"/>
            <w:vAlign w:val="top"/>
          </w:tcPr>
          <w:p>
            <w:pPr>
              <w:framePr w:w="10896" w:h="5957" w:wrap="none" w:vAnchor="page" w:hAnchor="page" w:x="565" w:y="2023"/>
              <w:widowControl w:val="0"/>
              <w:rPr>
                <w:sz w:val="10"/>
                <w:szCs w:val="10"/>
              </w:rPr>
            </w:pPr>
          </w:p>
        </w:tc>
        <w:tc>
          <w:tcPr>
            <w:tcBorders>
              <w:top w:val="single" w:sz="4"/>
              <w:left w:val="single" w:sz="4"/>
              <w:bottom w:val="single" w:sz="4"/>
              <w:right w:val="single" w:sz="4"/>
            </w:tcBorders>
            <w:shd w:val="clear" w:color="auto" w:fill="FFFFCB"/>
            <w:vAlign w:val="bottom"/>
          </w:tcPr>
          <w:p>
            <w:pPr>
              <w:pStyle w:val="Style30"/>
              <w:keepNext w:val="0"/>
              <w:keepLines w:val="0"/>
              <w:framePr w:w="10896" w:h="5957" w:wrap="none" w:vAnchor="page" w:hAnchor="page" w:x="565" w:y="2023"/>
              <w:widowControl w:val="0"/>
              <w:shd w:val="clear" w:color="auto" w:fill="auto"/>
              <w:bidi w:val="0"/>
              <w:spacing w:before="0" w:after="0" w:line="240" w:lineRule="auto"/>
              <w:ind w:left="0" w:right="0" w:firstLine="0"/>
              <w:jc w:val="right"/>
              <w:rPr>
                <w:sz w:val="18"/>
                <w:szCs w:val="18"/>
              </w:rPr>
            </w:pPr>
            <w:r>
              <w:rPr>
                <w:rFonts w:ascii="Arial" w:eastAsia="Arial" w:hAnsi="Arial" w:cs="Arial"/>
                <w:color w:val="000000"/>
                <w:spacing w:val="0"/>
                <w:w w:val="100"/>
                <w:position w:val="0"/>
                <w:sz w:val="18"/>
                <w:szCs w:val="18"/>
                <w:shd w:val="clear" w:color="auto" w:fill="auto"/>
                <w:lang w:val="cs-CZ" w:eastAsia="cs-CZ" w:bidi="cs-CZ"/>
              </w:rPr>
              <w:t>212 758,65</w:t>
            </w:r>
          </w:p>
        </w:tc>
      </w:tr>
    </w:tbl>
    <w:p>
      <w:pPr>
        <w:pStyle w:val="Style2"/>
        <w:keepNext w:val="0"/>
        <w:keepLines w:val="0"/>
        <w:framePr w:wrap="none" w:vAnchor="page" w:hAnchor="page" w:x="1054" w:y="16207"/>
        <w:widowControl w:val="0"/>
        <w:shd w:val="clear" w:color="auto" w:fill="auto"/>
        <w:bidi w:val="0"/>
        <w:spacing w:before="0" w:after="0" w:line="240" w:lineRule="auto"/>
        <w:ind w:left="0" w:right="0" w:firstLine="0"/>
        <w:jc w:val="left"/>
      </w:pPr>
      <w:r>
        <w:rPr>
          <w:rFonts w:ascii="Arial" w:eastAsia="Arial" w:hAnsi="Arial" w:cs="Arial"/>
          <w:b w:val="0"/>
          <w:bCs w:val="0"/>
          <w:color w:val="000000"/>
          <w:spacing w:val="0"/>
          <w:w w:val="100"/>
          <w:position w:val="0"/>
          <w:sz w:val="18"/>
          <w:szCs w:val="18"/>
          <w:shd w:val="clear" w:color="auto" w:fill="auto"/>
          <w:lang w:val="cs-CZ" w:eastAsia="cs-CZ" w:bidi="cs-CZ"/>
        </w:rPr>
        <w:t xml:space="preserve">Zpracováno programem </w:t>
      </w:r>
      <w:r>
        <w:rPr>
          <w:rFonts w:ascii="Arial" w:eastAsia="Arial" w:hAnsi="Arial" w:cs="Arial"/>
          <w:color w:val="000000"/>
          <w:spacing w:val="0"/>
          <w:w w:val="100"/>
          <w:position w:val="0"/>
          <w:sz w:val="18"/>
          <w:szCs w:val="18"/>
          <w:shd w:val="clear" w:color="auto" w:fill="auto"/>
          <w:lang w:val="cs-CZ" w:eastAsia="cs-CZ" w:bidi="cs-CZ"/>
        </w:rPr>
        <w:t>RTS Stavitel +, © RTS, a.s.</w:t>
      </w:r>
    </w:p>
    <w:p>
      <w:pPr>
        <w:pStyle w:val="Style2"/>
        <w:keepNext w:val="0"/>
        <w:keepLines w:val="0"/>
        <w:framePr w:w="1104" w:h="226" w:hRule="exact" w:wrap="none" w:vAnchor="page" w:hAnchor="page" w:x="9718" w:y="16193"/>
        <w:widowControl w:val="0"/>
        <w:shd w:val="clear" w:color="auto" w:fill="auto"/>
        <w:bidi w:val="0"/>
        <w:spacing w:before="0" w:after="0" w:line="240" w:lineRule="auto"/>
        <w:ind w:left="0" w:right="0" w:firstLine="0"/>
        <w:jc w:val="right"/>
      </w:pPr>
      <w:r>
        <w:rPr>
          <w:rFonts w:ascii="Arial" w:eastAsia="Arial" w:hAnsi="Arial" w:cs="Arial"/>
          <w:b w:val="0"/>
          <w:bCs w:val="0"/>
          <w:color w:val="000000"/>
          <w:spacing w:val="0"/>
          <w:w w:val="100"/>
          <w:position w:val="0"/>
          <w:sz w:val="18"/>
          <w:szCs w:val="18"/>
          <w:shd w:val="clear" w:color="auto" w:fill="auto"/>
          <w:lang w:val="cs-CZ" w:eastAsia="cs-CZ" w:bidi="cs-CZ"/>
        </w:rPr>
        <w:t>Stránka 3 z 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4"/>
        <w:keepNext w:val="0"/>
        <w:keepLines w:val="0"/>
        <w:framePr w:w="10896" w:h="283" w:hRule="exact" w:wrap="none" w:vAnchor="page" w:hAnchor="page" w:x="565" w:y="1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Položkový propočet</w:t>
      </w:r>
    </w:p>
    <w:tbl>
      <w:tblPr>
        <w:tblOverlap w:val="never"/>
        <w:jc w:val="left"/>
        <w:tblLayout w:type="fixed"/>
      </w:tblPr>
      <w:tblGrid>
        <w:gridCol w:w="480"/>
        <w:gridCol w:w="9998"/>
      </w:tblGrid>
      <w:tr>
        <w:trPr>
          <w:trHeight w:val="494" w:hRule="exact"/>
        </w:trPr>
        <w:tc>
          <w:tcPr>
            <w:tcBorders>
              <w:top w:val="single" w:sz="4"/>
              <w:left w:val="single" w:sz="4"/>
            </w:tcBorders>
            <w:shd w:val="clear" w:color="auto" w:fill="auto"/>
            <w:vAlign w:val="center"/>
          </w:tcPr>
          <w:p>
            <w:pPr>
              <w:pStyle w:val="Style30"/>
              <w:keepNext w:val="0"/>
              <w:keepLines w:val="0"/>
              <w:framePr w:w="10478" w:h="989" w:wrap="none" w:vAnchor="page" w:hAnchor="page" w:x="565" w:y="1318"/>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w:t>
            </w:r>
          </w:p>
        </w:tc>
        <w:tc>
          <w:tcPr>
            <w:tcBorders>
              <w:top w:val="single" w:sz="4"/>
              <w:left w:val="single" w:sz="4"/>
              <w:right w:val="single" w:sz="4"/>
            </w:tcBorders>
            <w:shd w:val="clear" w:color="auto" w:fill="auto"/>
            <w:vAlign w:val="center"/>
          </w:tcPr>
          <w:p>
            <w:pPr>
              <w:pStyle w:val="Style30"/>
              <w:keepNext w:val="0"/>
              <w:keepLines w:val="0"/>
              <w:framePr w:w="10478" w:h="989" w:wrap="none" w:vAnchor="page" w:hAnchor="page" w:x="565" w:y="1318"/>
              <w:widowControl w:val="0"/>
              <w:shd w:val="clear" w:color="auto" w:fill="auto"/>
              <w:bidi w:val="0"/>
              <w:spacing w:before="0" w:after="0" w:line="240" w:lineRule="auto"/>
              <w:ind w:left="162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Oprava rozhlasové kabiny</w:t>
            </w:r>
          </w:p>
        </w:tc>
      </w:tr>
      <w:tr>
        <w:trPr>
          <w:trHeight w:val="494" w:hRule="exact"/>
        </w:trPr>
        <w:tc>
          <w:tcPr>
            <w:tcBorders>
              <w:top w:val="single" w:sz="4"/>
              <w:left w:val="single" w:sz="4"/>
              <w:bottom w:val="single" w:sz="4"/>
            </w:tcBorders>
            <w:shd w:val="clear" w:color="auto" w:fill="auto"/>
            <w:vAlign w:val="center"/>
          </w:tcPr>
          <w:p>
            <w:pPr>
              <w:pStyle w:val="Style30"/>
              <w:keepNext w:val="0"/>
              <w:keepLines w:val="0"/>
              <w:framePr w:w="10478" w:h="989" w:wrap="none" w:vAnchor="page" w:hAnchor="page" w:x="565" w:y="1318"/>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w:t>
            </w:r>
          </w:p>
        </w:tc>
        <w:tc>
          <w:tcPr>
            <w:tcBorders>
              <w:top w:val="single" w:sz="4"/>
              <w:left w:val="single" w:sz="4"/>
              <w:bottom w:val="single" w:sz="4"/>
              <w:right w:val="single" w:sz="4"/>
            </w:tcBorders>
            <w:shd w:val="clear" w:color="auto" w:fill="auto"/>
            <w:vAlign w:val="center"/>
          </w:tcPr>
          <w:p>
            <w:pPr>
              <w:pStyle w:val="Style30"/>
              <w:keepNext w:val="0"/>
              <w:keepLines w:val="0"/>
              <w:framePr w:w="10478" w:h="989" w:wrap="none" w:vAnchor="page" w:hAnchor="page" w:x="565" w:y="1318"/>
              <w:widowControl w:val="0"/>
              <w:shd w:val="clear" w:color="auto" w:fill="auto"/>
              <w:bidi w:val="0"/>
              <w:spacing w:before="0" w:after="0" w:line="240" w:lineRule="auto"/>
              <w:ind w:left="162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MAS Dukla</w:t>
            </w:r>
          </w:p>
        </w:tc>
      </w:tr>
    </w:tbl>
    <w:tbl>
      <w:tblPr>
        <w:tblOverlap w:val="never"/>
        <w:jc w:val="left"/>
        <w:tblLayout w:type="fixed"/>
      </w:tblPr>
      <w:tblGrid>
        <w:gridCol w:w="480"/>
        <w:gridCol w:w="1594"/>
        <w:gridCol w:w="4229"/>
        <w:gridCol w:w="504"/>
        <w:gridCol w:w="1166"/>
        <w:gridCol w:w="1085"/>
        <w:gridCol w:w="1421"/>
      </w:tblGrid>
      <w:tr>
        <w:trPr>
          <w:trHeight w:val="749" w:hRule="exact"/>
        </w:trPr>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P.č.</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Číslo položky</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Název položky</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MJ</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32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množství</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18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cena / MJ</w:t>
            </w:r>
          </w:p>
        </w:tc>
        <w:tc>
          <w:tcPr>
            <w:tcBorders>
              <w:top w:val="single" w:sz="4"/>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Celkem</w:t>
            </w:r>
          </w:p>
        </w:tc>
      </w:tr>
      <w:tr>
        <w:trPr>
          <w:trHeight w:val="250" w:hRule="exact"/>
        </w:trPr>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Svislé a kompletní konstrukce</w:t>
            </w:r>
          </w:p>
        </w:tc>
        <w:tc>
          <w:tcPr>
            <w:tcBorders>
              <w:top w:val="single" w:sz="4"/>
              <w:left w:val="single" w:sz="4"/>
            </w:tcBorders>
            <w:shd w:val="clear" w:color="auto" w:fill="C0C0C0"/>
            <w:vAlign w:val="top"/>
          </w:tcPr>
          <w:p>
            <w:pPr>
              <w:framePr w:w="10478" w:h="12965" w:wrap="none" w:vAnchor="page" w:hAnchor="page" w:x="565" w:y="2532"/>
              <w:widowControl w:val="0"/>
              <w:rPr>
                <w:sz w:val="10"/>
                <w:szCs w:val="10"/>
              </w:rPr>
            </w:pPr>
          </w:p>
        </w:tc>
        <w:tc>
          <w:tcPr>
            <w:tcBorders>
              <w:top w:val="single" w:sz="4"/>
              <w:left w:val="single" w:sz="4"/>
            </w:tcBorders>
            <w:shd w:val="clear" w:color="auto" w:fill="C0C0C0"/>
            <w:vAlign w:val="top"/>
          </w:tcPr>
          <w:p>
            <w:pPr>
              <w:framePr w:w="10478" w:h="12965" w:wrap="none" w:vAnchor="page" w:hAnchor="page" w:x="565" w:y="2532"/>
              <w:widowControl w:val="0"/>
              <w:rPr>
                <w:sz w:val="10"/>
                <w:szCs w:val="10"/>
              </w:rPr>
            </w:pPr>
          </w:p>
        </w:tc>
        <w:tc>
          <w:tcPr>
            <w:tcBorders>
              <w:top w:val="single" w:sz="4"/>
              <w:left w:val="single" w:sz="4"/>
            </w:tcBorders>
            <w:shd w:val="clear" w:color="auto" w:fill="C0C0C0"/>
            <w:vAlign w:val="top"/>
          </w:tcPr>
          <w:p>
            <w:pPr>
              <w:framePr w:w="10478" w:h="12965" w:wrap="none" w:vAnchor="page" w:hAnchor="page" w:x="565" w:y="2532"/>
              <w:widowControl w:val="0"/>
              <w:rPr>
                <w:sz w:val="10"/>
                <w:szCs w:val="10"/>
              </w:rPr>
            </w:pPr>
          </w:p>
        </w:tc>
        <w:tc>
          <w:tcPr>
            <w:tcBorders>
              <w:top w:val="single" w:sz="4"/>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8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47 985,80</w:t>
            </w:r>
          </w:p>
        </w:tc>
      </w:tr>
      <w:tr>
        <w:trPr>
          <w:trHeight w:val="226" w:hRule="exact"/>
        </w:trPr>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342255026R00</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Příčky z desek Ytong tl. 125 mm</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14,10000</w:t>
            </w:r>
          </w:p>
        </w:tc>
        <w:tc>
          <w:tcPr>
            <w:tcBorders>
              <w:top w:val="single" w:sz="4"/>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890,00</w:t>
            </w:r>
          </w:p>
        </w:tc>
        <w:tc>
          <w:tcPr>
            <w:tcBorders>
              <w:top w:val="single" w:sz="4"/>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12 549,00</w:t>
            </w:r>
          </w:p>
        </w:tc>
      </w:tr>
      <w:tr>
        <w:trPr>
          <w:trHeight w:val="557"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317121047RT1</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Překlad nenosný pórobetonový, světlost otvoru do 1050 mm, překlad nenosný NEP 75-1250, 124 x 24,9 x 7,5 cm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850,00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1 700,00</w:t>
            </w:r>
          </w:p>
        </w:tc>
      </w:tr>
      <w:tr>
        <w:trPr>
          <w:trHeight w:val="653"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317121045RT7</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Překlad nosný pórobetonový, světlost otvoru do 3750 mm, překlad nosný NOP 300-2500, 250 x 24,9 x 30 cm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5 450,00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12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10 900,00</w:t>
            </w:r>
          </w:p>
        </w:tc>
      </w:tr>
      <w:tr>
        <w:trPr>
          <w:trHeight w:val="341" w:hRule="exact"/>
        </w:trPr>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311271176R00</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Zdivo z tvárnic Ytong hladkých tl. 250 mm</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6,56000</w:t>
            </w:r>
          </w:p>
        </w:tc>
        <w:tc>
          <w:tcPr>
            <w:tcBorders>
              <w:left w:val="single" w:sz="4"/>
            </w:tcBorders>
            <w:shd w:val="clear" w:color="auto" w:fill="99CDFF"/>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1 480,00</w:t>
            </w:r>
          </w:p>
        </w:tc>
        <w:tc>
          <w:tcPr>
            <w:tcBorders>
              <w:left w:val="single" w:sz="4"/>
              <w:righ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9 708,80</w:t>
            </w:r>
          </w:p>
        </w:tc>
      </w:tr>
      <w:tr>
        <w:trPr>
          <w:trHeight w:val="341"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319201303R00</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Lokální oprava zdi tmelem do tl. 3 mm, plochy do 1 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180,00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1 080,00</w:t>
            </w:r>
          </w:p>
        </w:tc>
      </w:tr>
      <w:tr>
        <w:trPr>
          <w:trHeight w:val="442"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766711001R00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Napojení příčky na konstrukci s vypěněním, a začištěním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9,60000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150,00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1 440,00</w:t>
            </w:r>
          </w:p>
        </w:tc>
      </w:tr>
      <w:tr>
        <w:trPr>
          <w:trHeight w:val="336" w:hRule="exact"/>
        </w:trPr>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7</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30 00-1001.R00</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Řezání stěn plynosilikát tl. do 15 cm</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13,20000</w:t>
            </w:r>
          </w:p>
        </w:tc>
        <w:tc>
          <w:tcPr>
            <w:tcBorders>
              <w:left w:val="single" w:sz="4"/>
            </w:tcBorders>
            <w:shd w:val="clear" w:color="auto" w:fill="99CDFF"/>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320,00</w:t>
            </w:r>
          </w:p>
        </w:tc>
        <w:tc>
          <w:tcPr>
            <w:tcBorders>
              <w:left w:val="single" w:sz="4"/>
              <w:righ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4 224,00</w:t>
            </w:r>
          </w:p>
        </w:tc>
      </w:tr>
      <w:tr>
        <w:trPr>
          <w:trHeight w:val="274"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340001001R00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Řezání stěn plynosilikát tl. do 25 cm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11,20000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570,00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6 384,00</w:t>
            </w:r>
          </w:p>
        </w:tc>
      </w:tr>
      <w:tr>
        <w:trPr>
          <w:trHeight w:val="240" w:hRule="exact"/>
        </w:trPr>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61</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Upravy povrchů vnitřní</w:t>
            </w: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8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19 907,00</w:t>
            </w:r>
          </w:p>
        </w:tc>
      </w:tr>
      <w:tr>
        <w:trPr>
          <w:trHeight w:val="226" w:hRule="exact"/>
        </w:trPr>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3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602016193R00</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Penetrace hloubková stěn PROFI Akryl-Tiefengrund</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top w:val="single" w:sz="4"/>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45,00</w:t>
            </w:r>
          </w:p>
        </w:tc>
        <w:tc>
          <w:tcPr>
            <w:tcBorders>
              <w:top w:val="single" w:sz="4"/>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1 260,00</w:t>
            </w:r>
          </w:p>
        </w:tc>
      </w:tr>
      <w:tr>
        <w:trPr>
          <w:trHeight w:val="451"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612403386RV1</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Hrubá výplň rýh ve stěnách do 10x10cm maltou z SMS, výplňovou nesmrštivou maltou</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300,00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3 000,00</w:t>
            </w:r>
          </w:p>
        </w:tc>
      </w:tr>
      <w:tr>
        <w:trPr>
          <w:trHeight w:val="422"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11</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612409991RT2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Začištění omítek kolem oken,dveří apod., s použitím suché maltové směsi</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21,80000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240,00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5 232,00</w:t>
            </w:r>
          </w:p>
        </w:tc>
      </w:tr>
      <w:tr>
        <w:trPr>
          <w:trHeight w:val="245"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612425931R00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Omítka vápenná vnitřního ostění - štuková</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0,72000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450,00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324,00</w:t>
            </w:r>
          </w:p>
        </w:tc>
      </w:tr>
      <w:tr>
        <w:trPr>
          <w:trHeight w:val="245"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13</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622474135R00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Oprava beton. trhlin reprofil. maltou</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soub</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2 000,00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2 000,00</w:t>
            </w:r>
          </w:p>
        </w:tc>
      </w:tr>
      <w:tr>
        <w:trPr>
          <w:trHeight w:val="442"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14</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612481113R00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Potažení vnitř. stěn sklotex. pletivem s vypnutím, sanace trhlin</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7,20000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290,00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2 088,00</w:t>
            </w:r>
          </w:p>
        </w:tc>
      </w:tr>
      <w:tr>
        <w:trPr>
          <w:trHeight w:val="456"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15</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612481211RT6</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výztužné sítě(perlinky)do stěrky-vnit.stěny, včetně výztužné sítě a stěrkového tmelu Profi</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20,70000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290,00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6 003,00</w:t>
            </w:r>
          </w:p>
        </w:tc>
      </w:tr>
      <w:tr>
        <w:trPr>
          <w:trHeight w:val="240" w:hRule="exact"/>
        </w:trPr>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62</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Upravy povrchů vnější</w:t>
            </w: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8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30 829,60</w:t>
            </w:r>
          </w:p>
        </w:tc>
      </w:tr>
      <w:tr>
        <w:trPr>
          <w:trHeight w:val="226" w:hRule="exact"/>
        </w:trPr>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602016193R00</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Penetrace hloubková stěn PROFI Akryl-Tiefengrund</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top w:val="single" w:sz="4"/>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60,00</w:t>
            </w:r>
          </w:p>
        </w:tc>
        <w:tc>
          <w:tcPr>
            <w:tcBorders>
              <w:top w:val="single" w:sz="4"/>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1 680,00</w:t>
            </w:r>
          </w:p>
        </w:tc>
      </w:tr>
      <w:tr>
        <w:trPr>
          <w:trHeight w:val="250"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17</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622390522R00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Provedení ostění, miner.desky, stěrka+výztuž.tk.</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0,72000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288,00</w:t>
            </w:r>
          </w:p>
        </w:tc>
      </w:tr>
      <w:tr>
        <w:trPr>
          <w:trHeight w:val="245"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18</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622401932R00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Příplatek za pracnost, celková pl. otvorů do 45%</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2 800,00</w:t>
            </w:r>
          </w:p>
        </w:tc>
      </w:tr>
      <w:tr>
        <w:trPr>
          <w:trHeight w:val="461"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19</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622421491R00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Doplňky zatepl. systémů, rohová lišta, lišta okenní s okapničkou</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54,20000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5 420,00</w:t>
            </w:r>
          </w:p>
        </w:tc>
      </w:tr>
      <w:tr>
        <w:trPr>
          <w:trHeight w:val="418"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622481211RT6</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výztužné sítě(perlinky)do stěrky-vněj.stěny, včetně výztužné sítě a stěrkového tmelu Profi</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7 840,00</w:t>
            </w:r>
          </w:p>
        </w:tc>
      </w:tr>
      <w:tr>
        <w:trPr>
          <w:trHeight w:val="437"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21</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621481211RT6</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výztužné sítě (perlinky) do stěrky-podhledy, včetně výztužné sítě a stěrkového tmelu Profi</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0,72000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201,60</w:t>
            </w:r>
          </w:p>
        </w:tc>
      </w:tr>
      <w:tr>
        <w:trPr>
          <w:trHeight w:val="451"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602016182RT5</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Stěrka na stěnách PROFI Anti-Angingputz, hlazená, zrno 1,5 mm</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450,00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12 600,00</w:t>
            </w:r>
          </w:p>
        </w:tc>
      </w:tr>
      <w:tr>
        <w:trPr>
          <w:trHeight w:val="240" w:hRule="exact"/>
        </w:trPr>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64</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Výplně otvorů</w:t>
            </w: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8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10 800,00</w:t>
            </w:r>
          </w:p>
        </w:tc>
      </w:tr>
      <w:tr>
        <w:trPr>
          <w:trHeight w:val="442" w:hRule="exact"/>
        </w:trPr>
        <w:tc>
          <w:tcPr>
            <w:tcBorders>
              <w:top w:val="single" w:sz="4"/>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23</w:t>
            </w:r>
          </w:p>
        </w:tc>
        <w:tc>
          <w:tcPr>
            <w:tcBorders>
              <w:top w:val="single" w:sz="4"/>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642942111RT4</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Osazení zárubní dveřních ocelových, pl. do 2,5 m2, včetně dodávky zárubně 800 x 1970 x 100 mm</w:t>
            </w:r>
          </w:p>
        </w:tc>
        <w:tc>
          <w:tcPr>
            <w:tcBorders>
              <w:top w:val="single" w:sz="4"/>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top w:val="single" w:sz="4"/>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top w:val="single" w:sz="4"/>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5 400,00</w:t>
            </w:r>
          </w:p>
        </w:tc>
        <w:tc>
          <w:tcPr>
            <w:tcBorders>
              <w:top w:val="single" w:sz="4"/>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10 800,00</w:t>
            </w:r>
          </w:p>
        </w:tc>
      </w:tr>
      <w:tr>
        <w:trPr>
          <w:trHeight w:val="240" w:hRule="exact"/>
        </w:trPr>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96</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Bourání konstrukcí</w:t>
            </w: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3 824,48</w:t>
            </w:r>
          </w:p>
        </w:tc>
      </w:tr>
      <w:tr>
        <w:trPr>
          <w:trHeight w:val="230" w:hRule="exact"/>
        </w:trPr>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24</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968061125R00</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Vyvěšení dveřních křídel pl. do 2 m2</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top w:val="single" w:sz="4"/>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36,00</w:t>
            </w:r>
          </w:p>
        </w:tc>
        <w:tc>
          <w:tcPr>
            <w:tcBorders>
              <w:top w:val="single" w:sz="4"/>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72,00</w:t>
            </w:r>
          </w:p>
        </w:tc>
      </w:tr>
      <w:tr>
        <w:trPr>
          <w:trHeight w:val="437" w:hRule="exact"/>
        </w:trPr>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25</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968061113R00</w:t>
            </w:r>
          </w:p>
        </w:tc>
        <w:tc>
          <w:tcPr>
            <w:tcBorders>
              <w:left w:val="single" w:sz="4"/>
            </w:tcBorders>
            <w:shd w:val="clear" w:color="auto" w:fill="auto"/>
            <w:vAlign w:val="bottom"/>
          </w:tcPr>
          <w:p>
            <w:pPr>
              <w:pStyle w:val="Style30"/>
              <w:keepNext w:val="0"/>
              <w:keepLines w:val="0"/>
              <w:framePr w:w="10478" w:h="12965" w:wrap="none" w:vAnchor="page" w:hAnchor="page" w:x="565" w:y="2532"/>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Vyvěšení dřevěných a plastových okenních křídel pl. nad 1,5 m2</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4,00000</w:t>
            </w:r>
          </w:p>
        </w:tc>
        <w:tc>
          <w:tcPr>
            <w:tcBorders>
              <w:left w:val="single" w:sz="4"/>
            </w:tcBorders>
            <w:shd w:val="clear" w:color="auto" w:fill="99CDFF"/>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67,00</w:t>
            </w:r>
          </w:p>
        </w:tc>
        <w:tc>
          <w:tcPr>
            <w:tcBorders>
              <w:left w:val="single" w:sz="4"/>
              <w:right w:val="single" w:sz="4"/>
            </w:tcBorders>
            <w:shd w:val="clear" w:color="auto" w:fill="auto"/>
            <w:vAlign w:val="top"/>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268,00</w:t>
            </w:r>
          </w:p>
        </w:tc>
      </w:tr>
      <w:tr>
        <w:trPr>
          <w:trHeight w:val="245"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26</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968062456R00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Vybourání dřevěných rámů zárubní pl. nad 2 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9,52000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149,00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1 418,48</w:t>
            </w:r>
          </w:p>
        </w:tc>
      </w:tr>
      <w:tr>
        <w:trPr>
          <w:trHeight w:val="250"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27</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968072455R00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Vybourání kovových dveřních zárubní pl. do 2 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3,60000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435,00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1 566,00</w:t>
            </w:r>
          </w:p>
        </w:tc>
      </w:tr>
      <w:tr>
        <w:trPr>
          <w:trHeight w:val="269"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966079871R00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Přerušení ocelových profilů průřezu do 4 cm2</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soub</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500,00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500,00</w:t>
            </w:r>
          </w:p>
        </w:tc>
      </w:tr>
      <w:tr>
        <w:trPr>
          <w:trHeight w:val="240" w:hRule="exact"/>
        </w:trPr>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97</w:t>
            </w:r>
          </w:p>
        </w:tc>
        <w:tc>
          <w:tcPr>
            <w:tcBorders>
              <w:lef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Prorážení otvorů</w:t>
            </w: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tcBorders>
            <w:shd w:val="clear" w:color="auto" w:fill="C0C0C0"/>
            <w:vAlign w:val="top"/>
          </w:tcPr>
          <w:p>
            <w:pPr>
              <w:framePr w:w="10478" w:h="12965" w:wrap="none" w:vAnchor="page" w:hAnchor="page" w:x="565" w:y="2532"/>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480"/>
              <w:jc w:val="both"/>
              <w:rPr>
                <w:sz w:val="19"/>
                <w:szCs w:val="19"/>
              </w:rPr>
            </w:pPr>
            <w:r>
              <w:rPr>
                <w:rFonts w:ascii="Arial" w:eastAsia="Arial" w:hAnsi="Arial" w:cs="Arial"/>
                <w:color w:val="000000"/>
                <w:spacing w:val="0"/>
                <w:w w:val="100"/>
                <w:position w:val="0"/>
                <w:sz w:val="19"/>
                <w:szCs w:val="19"/>
                <w:shd w:val="clear" w:color="auto" w:fill="auto"/>
                <w:lang w:val="cs-CZ" w:eastAsia="cs-CZ" w:bidi="cs-CZ"/>
              </w:rPr>
              <w:t>15 917,60</w:t>
            </w:r>
          </w:p>
        </w:tc>
      </w:tr>
      <w:tr>
        <w:trPr>
          <w:trHeight w:val="230" w:hRule="exact"/>
        </w:trPr>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29</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979011211R00</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Svislá doprava suti a vybour. hmot za 2.NP nošením</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top w:val="single" w:sz="4"/>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1,60000</w:t>
            </w:r>
          </w:p>
        </w:tc>
        <w:tc>
          <w:tcPr>
            <w:tcBorders>
              <w:top w:val="single" w:sz="4"/>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415,00</w:t>
            </w:r>
          </w:p>
        </w:tc>
        <w:tc>
          <w:tcPr>
            <w:tcBorders>
              <w:top w:val="single" w:sz="4"/>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664,00</w:t>
            </w:r>
          </w:p>
        </w:tc>
      </w:tr>
      <w:tr>
        <w:trPr>
          <w:trHeight w:val="245"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979011219R00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Přípl.k svislé dopr.suti za každé další NP nošením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290,00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464,00</w:t>
            </w:r>
          </w:p>
        </w:tc>
      </w:tr>
      <w:tr>
        <w:trPr>
          <w:trHeight w:val="278" w:hRule="exact"/>
        </w:trPr>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31</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979081111R00</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Odvoz suti a vybour. hmot na skládku do 1 km</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1,60000</w:t>
            </w:r>
          </w:p>
        </w:tc>
        <w:tc>
          <w:tcPr>
            <w:tcBorders>
              <w:left w:val="single" w:sz="4"/>
            </w:tcBorders>
            <w:shd w:val="clear" w:color="auto" w:fill="99CDFF"/>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301,00</w:t>
            </w:r>
          </w:p>
        </w:tc>
        <w:tc>
          <w:tcPr>
            <w:tcBorders>
              <w:left w:val="single" w:sz="4"/>
              <w:right w:val="single" w:sz="4"/>
            </w:tcBorders>
            <w:shd w:val="clear" w:color="auto" w:fill="auto"/>
            <w:vAlign w:val="center"/>
          </w:tcPr>
          <w:p>
            <w:pPr>
              <w:pStyle w:val="Style30"/>
              <w:keepNext w:val="0"/>
              <w:keepLines w:val="0"/>
              <w:framePr w:w="10478" w:h="12965" w:wrap="none" w:vAnchor="page" w:hAnchor="page" w:x="565" w:y="2532"/>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481,60</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80"/>
        <w:gridCol w:w="1594"/>
        <w:gridCol w:w="4229"/>
        <w:gridCol w:w="504"/>
        <w:gridCol w:w="1166"/>
        <w:gridCol w:w="1085"/>
        <w:gridCol w:w="1421"/>
      </w:tblGrid>
      <w:tr>
        <w:trPr>
          <w:trHeight w:val="226"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979081121R00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Příplatek k odvozu za každý další 1 km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13,00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208,00</w:t>
            </w:r>
          </w:p>
        </w:tc>
      </w:tr>
      <w:tr>
        <w:trPr>
          <w:trHeight w:val="250"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33</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979097011R00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Pronájem kontejneru 4 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den</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2 000,00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34</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979082111R00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Vnitrostaveništní doprava suti do 10 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1 200,00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1 920,00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35</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979082121R00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24,00000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2 400,00</w:t>
            </w:r>
          </w:p>
        </w:tc>
      </w:tr>
      <w:tr>
        <w:trPr>
          <w:trHeight w:val="250"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36</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979990265R00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Poplatek za uložení směsného komunálního odpadu</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2 050,00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2 050,00</w:t>
            </w:r>
          </w:p>
        </w:tc>
      </w:tr>
      <w:tr>
        <w:trPr>
          <w:trHeight w:val="250"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37</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979990160R00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Poplatek za uložení - dřevo, skupina odpadu 200201</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0,50000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2 500,00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1 250,00</w:t>
            </w:r>
          </w:p>
        </w:tc>
      </w:tr>
      <w:tr>
        <w:trPr>
          <w:trHeight w:val="437"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38</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979990162R00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Poplatek za uložení suti - dřevo+sklo, skupina odpadu 170904</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0,90000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4 500,00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4 050,00</w:t>
            </w:r>
          </w:p>
        </w:tc>
      </w:tr>
      <w:tr>
        <w:trPr>
          <w:trHeight w:val="269"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39</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979999985R00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Poplatek za recyklaci pórobetonu (skup.170102)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0,20000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2 150,00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430,00</w:t>
            </w:r>
          </w:p>
        </w:tc>
      </w:tr>
      <w:tr>
        <w:trPr>
          <w:trHeight w:val="240" w:hRule="exact"/>
        </w:trPr>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99</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Staveništní přesun hmot</w:t>
            </w: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9 553,00</w:t>
            </w:r>
          </w:p>
        </w:tc>
      </w:tr>
      <w:tr>
        <w:trPr>
          <w:trHeight w:val="322" w:hRule="exact"/>
        </w:trPr>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999281148R00</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hmot pro opravy a údržbu do v. 12 m,nošením</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4,10000</w:t>
            </w:r>
          </w:p>
        </w:tc>
        <w:tc>
          <w:tcPr>
            <w:tcBorders>
              <w:top w:val="single" w:sz="4"/>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2 200,00</w:t>
            </w:r>
          </w:p>
        </w:tc>
        <w:tc>
          <w:tcPr>
            <w:tcBorders>
              <w:top w:val="single" w:sz="4"/>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9 020,00</w:t>
            </w:r>
          </w:p>
        </w:tc>
      </w:tr>
      <w:tr>
        <w:trPr>
          <w:trHeight w:val="341" w:hRule="exact"/>
        </w:trPr>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41</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999281196R00</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hmot, opravy a údržba, příplatek do 5 km</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4,10000</w:t>
            </w:r>
          </w:p>
        </w:tc>
        <w:tc>
          <w:tcPr>
            <w:tcBorders>
              <w:left w:val="single" w:sz="4"/>
            </w:tcBorders>
            <w:shd w:val="clear" w:color="auto" w:fill="99CDFF"/>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80,00</w:t>
            </w:r>
          </w:p>
        </w:tc>
        <w:tc>
          <w:tcPr>
            <w:tcBorders>
              <w:left w:val="single" w:sz="4"/>
              <w:righ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328,00</w:t>
            </w:r>
          </w:p>
        </w:tc>
      </w:tr>
      <w:tr>
        <w:trPr>
          <w:trHeight w:val="274"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999281199R00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hmot, opravy a údržba, přípl. dalších 5 km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4,10000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205,00</w:t>
            </w:r>
          </w:p>
        </w:tc>
      </w:tr>
      <w:tr>
        <w:trPr>
          <w:trHeight w:val="240" w:hRule="exact"/>
        </w:trPr>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766</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Konstrukce truhlářské</w:t>
            </w: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64 648,17</w:t>
            </w:r>
          </w:p>
        </w:tc>
      </w:tr>
      <w:tr>
        <w:trPr>
          <w:trHeight w:val="226" w:hRule="exact"/>
        </w:trPr>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43</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766112820R00</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Demontáž dřevěných stěn , s otvory</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31,10000</w:t>
            </w:r>
          </w:p>
        </w:tc>
        <w:tc>
          <w:tcPr>
            <w:tcBorders>
              <w:top w:val="single" w:sz="4"/>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120,00</w:t>
            </w:r>
          </w:p>
        </w:tc>
        <w:tc>
          <w:tcPr>
            <w:tcBorders>
              <w:top w:val="single" w:sz="4"/>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3 732,00</w:t>
            </w:r>
          </w:p>
        </w:tc>
      </w:tr>
      <w:tr>
        <w:trPr>
          <w:trHeight w:val="254"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44</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766629310R00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plastových stěn prosklených</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8,84000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1 500,00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13 260,00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45</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766601114R00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těsnění připoj. spáry, ostění, tmel+páska</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17,20000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220,00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3 784,00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46</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766661122R00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dveří do zárubně,otevíravých 1 kř.nad 0,8 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1 030,00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2 060,00</w:t>
            </w:r>
          </w:p>
        </w:tc>
      </w:tr>
      <w:tr>
        <w:trPr>
          <w:trHeight w:val="437"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47</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766669111R00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Dokování závěsů na universální zárubeň, 1 křídlové, zámek FAB</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600,00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1 200,00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48</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766694114R00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Montáž parapetních desek š.do 30 cm,dl.nad 260 cm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550,00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2 200,00</w:t>
            </w:r>
          </w:p>
        </w:tc>
      </w:tr>
      <w:tr>
        <w:trPr>
          <w:trHeight w:val="446"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49</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60780010R</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Parapet interiér Topset Standard do š. 150 mm šedý, s nosem výšky 40 mm</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5,20000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500,00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2 600,00</w:t>
            </w:r>
          </w:p>
        </w:tc>
      </w:tr>
      <w:tr>
        <w:trPr>
          <w:trHeight w:val="437"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50</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60780020R</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Parapet interiér Topset Standard do š. 150 mm bílý, s nosem výšky 40 mm</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5,20000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500,00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2 600,00</w:t>
            </w:r>
          </w:p>
        </w:tc>
      </w:tr>
      <w:tr>
        <w:trPr>
          <w:trHeight w:val="326"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51</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61143846R</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Okno plastové dvoukřídlé 2600 x 1700 mm O+OS šedé</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12 500,00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12 500,00</w:t>
            </w:r>
          </w:p>
        </w:tc>
      </w:tr>
      <w:tr>
        <w:trPr>
          <w:trHeight w:val="341" w:hRule="exact"/>
        </w:trPr>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52</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61143819R</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Okno plastové jednokřídlé 2600 x 1700 mm FIX šedé</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1,00000</w:t>
            </w:r>
          </w:p>
        </w:tc>
        <w:tc>
          <w:tcPr>
            <w:tcBorders>
              <w:left w:val="single" w:sz="4"/>
            </w:tcBorders>
            <w:shd w:val="clear" w:color="auto" w:fill="99CDFF"/>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10 000,00</w:t>
            </w:r>
          </w:p>
        </w:tc>
        <w:tc>
          <w:tcPr>
            <w:tcBorders>
              <w:left w:val="single" w:sz="4"/>
              <w:righ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10 000,00</w:t>
            </w:r>
          </w:p>
        </w:tc>
      </w:tr>
      <w:tr>
        <w:trPr>
          <w:trHeight w:val="451"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53</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61160328R</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Dveře vnitřní hladké plné 800 x 1970 mm dub lak ERKADO jednokřídlé</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kus</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2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4 580,00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9 160,00</w:t>
            </w:r>
          </w:p>
        </w:tc>
      </w:tr>
      <w:tr>
        <w:trPr>
          <w:trHeight w:val="230"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54</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998766202R00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Přesun hmot pro truhlářské konstr., výšky do 12 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630,96000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1,25</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788,70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55</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998766294R00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Příplatek zvětš. přesun, truhlář. konstr. do 1 km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630,96000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0,11</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69,41</w:t>
            </w:r>
          </w:p>
        </w:tc>
      </w:tr>
      <w:tr>
        <w:trPr>
          <w:trHeight w:val="274"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56</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998766299R00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Příplatek zvětš. přesun, truhl. konstr. další 1 km</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6 309,60000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0,11</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694,06</w:t>
            </w:r>
          </w:p>
        </w:tc>
      </w:tr>
      <w:tr>
        <w:trPr>
          <w:trHeight w:val="245" w:hRule="exact"/>
        </w:trPr>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783</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Nátěry</w:t>
            </w: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2 000,00</w:t>
            </w:r>
          </w:p>
        </w:tc>
      </w:tr>
      <w:tr>
        <w:trPr>
          <w:trHeight w:val="317" w:hRule="exact"/>
        </w:trPr>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57</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783201811R00</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Odstranění nátěrů z kovových konstrukcí oškrábáním</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top w:val="single" w:sz="4"/>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4,00000</w:t>
            </w:r>
          </w:p>
        </w:tc>
        <w:tc>
          <w:tcPr>
            <w:tcBorders>
              <w:top w:val="single" w:sz="4"/>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160,00</w:t>
            </w:r>
          </w:p>
        </w:tc>
        <w:tc>
          <w:tcPr>
            <w:tcBorders>
              <w:top w:val="single" w:sz="4"/>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640,00</w:t>
            </w:r>
          </w:p>
        </w:tc>
      </w:tr>
      <w:tr>
        <w:trPr>
          <w:trHeight w:val="557"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58</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783292002R00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Nátěr disperzní kovových konstrukcí 1+ 2x email, zárubně</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4,00000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5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340,00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1 360,00</w:t>
            </w:r>
          </w:p>
        </w:tc>
      </w:tr>
      <w:tr>
        <w:trPr>
          <w:trHeight w:val="240" w:hRule="exact"/>
        </w:trPr>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Díl:</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784</w:t>
            </w:r>
          </w:p>
        </w:tc>
        <w:tc>
          <w:tcPr>
            <w:tcBorders>
              <w:lef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Malby</w:t>
            </w: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tcBorders>
            <w:shd w:val="clear" w:color="auto" w:fill="C0C0C0"/>
            <w:vAlign w:val="top"/>
          </w:tcPr>
          <w:p>
            <w:pPr>
              <w:framePr w:w="10478" w:h="10973" w:wrap="none" w:vAnchor="page" w:hAnchor="page" w:x="565" w:y="1035"/>
              <w:widowControl w:val="0"/>
              <w:rPr>
                <w:sz w:val="10"/>
                <w:szCs w:val="10"/>
              </w:rPr>
            </w:pPr>
          </w:p>
        </w:tc>
        <w:tc>
          <w:tcPr>
            <w:tcBorders>
              <w:left w:val="single" w:sz="4"/>
              <w:right w:val="single" w:sz="4"/>
            </w:tcBorders>
            <w:shd w:val="clear" w:color="auto" w:fill="C0C0C0"/>
            <w:vAlign w:val="bottom"/>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shd w:val="clear" w:color="auto" w:fill="auto"/>
                <w:lang w:val="cs-CZ" w:eastAsia="cs-CZ" w:bidi="cs-CZ"/>
              </w:rPr>
              <w:t>7 293,00</w:t>
            </w:r>
          </w:p>
        </w:tc>
      </w:tr>
      <w:tr>
        <w:trPr>
          <w:trHeight w:val="226" w:hRule="exact"/>
        </w:trPr>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59</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784498931R00</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Tmelení trhlin v omítce š. do 4 mm akryl. tmelem</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w:t>
            </w:r>
          </w:p>
        </w:tc>
        <w:tc>
          <w:tcPr>
            <w:tcBorders>
              <w:top w:val="single" w:sz="4"/>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18,00000</w:t>
            </w:r>
          </w:p>
        </w:tc>
        <w:tc>
          <w:tcPr>
            <w:tcBorders>
              <w:top w:val="single" w:sz="4"/>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60,00</w:t>
            </w:r>
          </w:p>
        </w:tc>
        <w:tc>
          <w:tcPr>
            <w:tcBorders>
              <w:top w:val="single" w:sz="4"/>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1 080,00</w:t>
            </w:r>
          </w:p>
        </w:tc>
      </w:tr>
      <w:tr>
        <w:trPr>
          <w:trHeight w:val="461"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60</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784011222RT2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69"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Zakrytí podlah, včetně odstranění, včetně papírové lepenky</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28,00000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560,00</w:t>
            </w:r>
          </w:p>
        </w:tc>
      </w:tr>
      <w:tr>
        <w:trPr>
          <w:trHeight w:val="413" w:hRule="exact"/>
        </w:trPr>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61</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784011221RT2</w:t>
            </w:r>
          </w:p>
        </w:tc>
        <w:tc>
          <w:tcPr>
            <w:tcBorders>
              <w:left w:val="single" w:sz="4"/>
            </w:tcBorders>
            <w:shd w:val="clear" w:color="auto" w:fill="auto"/>
            <w:vAlign w:val="bottom"/>
          </w:tcPr>
          <w:p>
            <w:pPr>
              <w:pStyle w:val="Style30"/>
              <w:keepNext w:val="0"/>
              <w:keepLines w:val="0"/>
              <w:framePr w:w="10478" w:h="10973" w:wrap="none" w:vAnchor="page" w:hAnchor="page" w:x="565" w:y="1035"/>
              <w:widowControl w:val="0"/>
              <w:shd w:val="clear" w:color="auto" w:fill="auto"/>
              <w:bidi w:val="0"/>
              <w:spacing w:before="0" w:after="0" w:line="264"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Zakrytí předmětů, včetně odstranění, včetně dodávky fólie tl. 0,04 mm</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20,00000</w:t>
            </w:r>
          </w:p>
        </w:tc>
        <w:tc>
          <w:tcPr>
            <w:tcBorders>
              <w:left w:val="single" w:sz="4"/>
            </w:tcBorders>
            <w:shd w:val="clear" w:color="auto" w:fill="99CDFF"/>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w:t>
            </w:r>
          </w:p>
        </w:tc>
        <w:tc>
          <w:tcPr>
            <w:tcBorders>
              <w:left w:val="single" w:sz="4"/>
              <w:right w:val="single" w:sz="4"/>
            </w:tcBorders>
            <w:shd w:val="clear" w:color="auto" w:fill="auto"/>
            <w:vAlign w:val="top"/>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right"/>
              <w:rPr>
                <w:sz w:val="16"/>
                <w:szCs w:val="16"/>
              </w:rPr>
            </w:pPr>
            <w:r>
              <w:rPr>
                <w:rFonts w:ascii="Arial" w:eastAsia="Arial" w:hAnsi="Arial" w:cs="Arial"/>
                <w:color w:val="000000"/>
                <w:spacing w:val="0"/>
                <w:w w:val="100"/>
                <w:position w:val="0"/>
                <w:sz w:val="16"/>
                <w:szCs w:val="16"/>
                <w:shd w:val="clear" w:color="auto" w:fill="auto"/>
                <w:lang w:val="cs-CZ" w:eastAsia="cs-CZ" w:bidi="cs-CZ"/>
              </w:rPr>
              <w:t>400,00</w:t>
            </w:r>
          </w:p>
        </w:tc>
      </w:tr>
      <w:tr>
        <w:trPr>
          <w:trHeight w:val="245" w:hRule="exact"/>
        </w:trPr>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784121101R00</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Penetrace podkladu nátěrem JUB, Akril Emulze, 1 x</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61,80000</w:t>
            </w:r>
          </w:p>
        </w:tc>
        <w:tc>
          <w:tcPr>
            <w:tcBorders>
              <w:left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20,00</w:t>
            </w:r>
          </w:p>
        </w:tc>
        <w:tc>
          <w:tcPr>
            <w:tcBorders>
              <w:left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1 236,00</w:t>
            </w:r>
          </w:p>
        </w:tc>
      </w:tr>
      <w:tr>
        <w:trPr>
          <w:trHeight w:val="283" w:hRule="exact"/>
        </w:trPr>
        <w:tc>
          <w:tcPr>
            <w:tcBorders>
              <w:left w:val="single" w:sz="4"/>
              <w:bottom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2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63</w:t>
            </w:r>
          </w:p>
        </w:tc>
        <w:tc>
          <w:tcPr>
            <w:tcBorders>
              <w:left w:val="single" w:sz="4"/>
              <w:bottom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784125212R00</w:t>
            </w:r>
          </w:p>
        </w:tc>
        <w:tc>
          <w:tcPr>
            <w:tcBorders>
              <w:left w:val="single" w:sz="4"/>
              <w:bottom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Malba Jupol </w:t>
            </w:r>
            <w:r>
              <w:rPr>
                <w:rFonts w:ascii="Arial" w:eastAsia="Arial" w:hAnsi="Arial" w:cs="Arial"/>
                <w:color w:val="000000"/>
                <w:spacing w:val="0"/>
                <w:w w:val="100"/>
                <w:position w:val="0"/>
                <w:sz w:val="16"/>
                <w:szCs w:val="16"/>
                <w:shd w:val="clear" w:color="auto" w:fill="auto"/>
                <w:lang w:val="en-US" w:eastAsia="en-US" w:bidi="en-US"/>
              </w:rPr>
              <w:t xml:space="preserve">Classic, </w:t>
            </w:r>
            <w:r>
              <w:rPr>
                <w:rFonts w:ascii="Arial" w:eastAsia="Arial" w:hAnsi="Arial" w:cs="Arial"/>
                <w:color w:val="000000"/>
                <w:spacing w:val="0"/>
                <w:w w:val="100"/>
                <w:position w:val="0"/>
                <w:sz w:val="16"/>
                <w:szCs w:val="16"/>
                <w:shd w:val="clear" w:color="auto" w:fill="auto"/>
                <w:lang w:val="cs-CZ" w:eastAsia="cs-CZ" w:bidi="cs-CZ"/>
              </w:rPr>
              <w:t>bílá, bez penetrace,2x</w:t>
            </w:r>
          </w:p>
        </w:tc>
        <w:tc>
          <w:tcPr>
            <w:tcBorders>
              <w:left w:val="single" w:sz="4"/>
              <w:bottom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m2</w:t>
            </w:r>
          </w:p>
        </w:tc>
        <w:tc>
          <w:tcPr>
            <w:tcBorders>
              <w:left w:val="single" w:sz="4"/>
              <w:bottom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46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61,80000</w:t>
            </w:r>
          </w:p>
        </w:tc>
        <w:tc>
          <w:tcPr>
            <w:tcBorders>
              <w:left w:val="single" w:sz="4"/>
              <w:bottom w:val="single" w:sz="4"/>
            </w:tcBorders>
            <w:shd w:val="clear" w:color="auto" w:fill="99CDFF"/>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6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65,00</w:t>
            </w:r>
          </w:p>
        </w:tc>
        <w:tc>
          <w:tcPr>
            <w:tcBorders>
              <w:left w:val="single" w:sz="4"/>
              <w:bottom w:val="single" w:sz="4"/>
              <w:right w:val="single" w:sz="4"/>
            </w:tcBorders>
            <w:shd w:val="clear" w:color="auto" w:fill="auto"/>
            <w:vAlign w:val="center"/>
          </w:tcPr>
          <w:p>
            <w:pPr>
              <w:pStyle w:val="Style30"/>
              <w:keepNext w:val="0"/>
              <w:keepLines w:val="0"/>
              <w:framePr w:w="10478" w:h="10973" w:wrap="none" w:vAnchor="page" w:hAnchor="page" w:x="565" w:y="1035"/>
              <w:widowControl w:val="0"/>
              <w:shd w:val="clear" w:color="auto" w:fill="auto"/>
              <w:bidi w:val="0"/>
              <w:spacing w:before="0" w:after="0" w:line="240" w:lineRule="auto"/>
              <w:ind w:left="0" w:right="0" w:firstLine="74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4 017,00</w:t>
            </w:r>
          </w:p>
        </w:tc>
      </w:tr>
    </w:tbl>
    <w:p>
      <w:pPr>
        <w:pStyle w:val="Style49"/>
        <w:keepNext w:val="0"/>
        <w:keepLines w:val="0"/>
        <w:framePr w:wrap="none" w:vAnchor="page" w:hAnchor="page" w:x="565" w:y="12199"/>
        <w:widowControl w:val="0"/>
        <w:pBdr>
          <w:top w:val="single" w:sz="4" w:space="0" w:color="auto"/>
          <w:bottom w:val="single" w:sz="4" w:space="0" w:color="auto"/>
        </w:pBdr>
        <w:shd w:val="clear" w:color="auto" w:fill="auto"/>
        <w:tabs>
          <w:tab w:pos="9429" w:val="left"/>
        </w:tabs>
        <w:bidi w:val="0"/>
        <w:spacing w:before="0" w:after="0" w:line="240" w:lineRule="auto"/>
        <w:ind w:left="0" w:right="0" w:firstLine="520"/>
        <w:jc w:val="left"/>
      </w:pPr>
      <w:r>
        <w:rPr>
          <w:b/>
          <w:bCs/>
          <w:color w:val="000000"/>
          <w:spacing w:val="0"/>
          <w:w w:val="100"/>
          <w:position w:val="0"/>
          <w:shd w:val="clear" w:color="auto" w:fill="auto"/>
          <w:lang w:val="cs-CZ" w:eastAsia="cs-CZ" w:bidi="cs-CZ"/>
        </w:rPr>
        <w:t>Celkem</w:t>
        <w:tab/>
        <w:t>212 758,651</w:t>
      </w:r>
    </w:p>
    <w:p>
      <w:pPr>
        <w:pStyle w:val="Style49"/>
        <w:keepNext w:val="0"/>
        <w:keepLines w:val="0"/>
        <w:framePr w:wrap="none" w:vAnchor="page" w:hAnchor="page" w:x="565" w:y="13001"/>
        <w:widowControl w:val="0"/>
        <w:shd w:val="clear" w:color="auto" w:fill="auto"/>
        <w:bidi w:val="0"/>
        <w:spacing w:before="0" w:after="0" w:line="240" w:lineRule="auto"/>
        <w:ind w:left="1020" w:right="0" w:firstLine="0"/>
        <w:jc w:val="left"/>
      </w:pPr>
      <w:r>
        <w:rPr>
          <w:color w:val="000000"/>
          <w:spacing w:val="0"/>
          <w:w w:val="100"/>
          <w:position w:val="0"/>
          <w:shd w:val="clear" w:color="auto" w:fill="auto"/>
          <w:lang w:val="cs-CZ" w:eastAsia="cs-CZ" w:bidi="cs-CZ"/>
        </w:rPr>
        <w:t>uchazeče k zadání</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upperRoman"/>
      <w:lvlText w:val="%1."/>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8"/>
        <w:szCs w:val="28"/>
        <w:u w:val="single"/>
        <w:shd w:val="clear" w:color="auto" w:fill="auto"/>
        <w:lang w:val="cs-CZ" w:eastAsia="cs-CZ" w:bidi="cs-CZ"/>
      </w:rPr>
    </w:lvl>
  </w:abstractNum>
  <w:abstractNum w:abstractNumId="2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5"/>
      <w:numFmt w:val="upperRoman"/>
      <w:lvlText w:val="%1."/>
      <w:rPr>
        <w:rFonts w:ascii="Calibri" w:eastAsia="Calibri" w:hAnsi="Calibri" w:cs="Calibri"/>
        <w:b/>
        <w:bCs/>
        <w:i w:val="0"/>
        <w:iCs w:val="0"/>
        <w:smallCaps w:val="0"/>
        <w:strike w:val="0"/>
        <w:color w:val="000000"/>
        <w:spacing w:val="0"/>
        <w:w w:val="100"/>
        <w:position w:val="0"/>
        <w:sz w:val="28"/>
        <w:szCs w:val="28"/>
        <w:u w:val="single"/>
        <w:shd w:val="clear" w:color="auto" w:fill="auto"/>
        <w:lang w:val="cs-CZ" w:eastAsia="cs-CZ" w:bidi="cs-CZ"/>
      </w:rPr>
    </w:lvl>
  </w:abstractNum>
  <w:abstractNum w:abstractNumId="3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7"/>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4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abstractNum>
  <w:abstractNum w:abstractNumId="5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8"/>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_"/>
    <w:basedOn w:val="DefaultParagraphFont"/>
    <w:link w:val="Style2"/>
    <w:rPr>
      <w:rFonts w:ascii="Calibri" w:eastAsia="Calibri" w:hAnsi="Calibri" w:cs="Calibri"/>
      <w:b/>
      <w:bCs/>
      <w:i w:val="0"/>
      <w:iCs w:val="0"/>
      <w:smallCaps w:val="0"/>
      <w:strike w:val="0"/>
      <w:sz w:val="18"/>
      <w:szCs w:val="18"/>
      <w:u w:val="none"/>
    </w:rPr>
  </w:style>
  <w:style w:type="character" w:customStyle="1" w:styleId="CharStyle7">
    <w:name w:val="Základní text (2)_"/>
    <w:basedOn w:val="DefaultParagraphFont"/>
    <w:link w:val="Style6"/>
    <w:rPr>
      <w:rFonts w:ascii="Calibri" w:eastAsia="Calibri" w:hAnsi="Calibri" w:cs="Calibri"/>
      <w:b w:val="0"/>
      <w:bCs w:val="0"/>
      <w:i w:val="0"/>
      <w:iCs w:val="0"/>
      <w:smallCaps w:val="0"/>
      <w:strike w:val="0"/>
      <w:sz w:val="18"/>
      <w:szCs w:val="18"/>
      <w:u w:val="none"/>
    </w:rPr>
  </w:style>
  <w:style w:type="character" w:customStyle="1" w:styleId="CharStyle9">
    <w:name w:val="Základní text (8)_"/>
    <w:basedOn w:val="DefaultParagraphFont"/>
    <w:link w:val="Style8"/>
    <w:rPr>
      <w:rFonts w:ascii="Times New Roman" w:eastAsia="Times New Roman" w:hAnsi="Times New Roman" w:cs="Times New Roman"/>
      <w:b/>
      <w:bCs/>
      <w:i w:val="0"/>
      <w:iCs w:val="0"/>
      <w:smallCaps w:val="0"/>
      <w:strike w:val="0"/>
      <w:u w:val="none"/>
    </w:rPr>
  </w:style>
  <w:style w:type="character" w:customStyle="1" w:styleId="CharStyle11">
    <w:name w:val="Základní text_"/>
    <w:basedOn w:val="DefaultParagraphFont"/>
    <w:link w:val="Style10"/>
    <w:rPr>
      <w:rFonts w:ascii="Calibri" w:eastAsia="Calibri" w:hAnsi="Calibri" w:cs="Calibri"/>
      <w:b w:val="0"/>
      <w:bCs w:val="0"/>
      <w:i w:val="0"/>
      <w:iCs w:val="0"/>
      <w:smallCaps w:val="0"/>
      <w:strike w:val="0"/>
      <w:sz w:val="22"/>
      <w:szCs w:val="22"/>
      <w:u w:val="none"/>
    </w:rPr>
  </w:style>
  <w:style w:type="character" w:customStyle="1" w:styleId="CharStyle15">
    <w:name w:val="Nadpis #1_"/>
    <w:basedOn w:val="DefaultParagraphFont"/>
    <w:link w:val="Style14"/>
    <w:rPr>
      <w:rFonts w:ascii="Calibri" w:eastAsia="Calibri" w:hAnsi="Calibri" w:cs="Calibri"/>
      <w:b/>
      <w:bCs/>
      <w:i w:val="0"/>
      <w:iCs w:val="0"/>
      <w:smallCaps w:val="0"/>
      <w:strike w:val="0"/>
      <w:sz w:val="28"/>
      <w:szCs w:val="28"/>
      <w:u w:val="single"/>
    </w:rPr>
  </w:style>
  <w:style w:type="character" w:customStyle="1" w:styleId="CharStyle18">
    <w:name w:val="Záhlaví nebo zápatí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31">
    <w:name w:val="Jiné_"/>
    <w:basedOn w:val="DefaultParagraphFont"/>
    <w:link w:val="Style30"/>
    <w:rPr>
      <w:rFonts w:ascii="Calibri" w:eastAsia="Calibri" w:hAnsi="Calibri" w:cs="Calibri"/>
      <w:b w:val="0"/>
      <w:bCs w:val="0"/>
      <w:i w:val="0"/>
      <w:iCs w:val="0"/>
      <w:smallCaps w:val="0"/>
      <w:strike w:val="0"/>
      <w:sz w:val="22"/>
      <w:szCs w:val="22"/>
      <w:u w:val="none"/>
    </w:rPr>
  </w:style>
  <w:style w:type="character" w:customStyle="1" w:styleId="CharStyle45">
    <w:name w:val="Základní text (3)_"/>
    <w:basedOn w:val="DefaultParagraphFont"/>
    <w:link w:val="Style44"/>
    <w:rPr>
      <w:rFonts w:ascii="Arial" w:eastAsia="Arial" w:hAnsi="Arial" w:cs="Arial"/>
      <w:b/>
      <w:bCs/>
      <w:i w:val="0"/>
      <w:iCs w:val="0"/>
      <w:smallCaps w:val="0"/>
      <w:strike w:val="0"/>
      <w:sz w:val="24"/>
      <w:szCs w:val="24"/>
      <w:u w:val="none"/>
    </w:rPr>
  </w:style>
  <w:style w:type="character" w:customStyle="1" w:styleId="CharStyle50">
    <w:name w:val="Základní text (5)_"/>
    <w:basedOn w:val="DefaultParagraphFont"/>
    <w:link w:val="Style49"/>
    <w:rPr>
      <w:rFonts w:ascii="Arial" w:eastAsia="Arial" w:hAnsi="Arial" w:cs="Arial"/>
      <w:b w:val="0"/>
      <w:bCs w:val="0"/>
      <w:i w:val="0"/>
      <w:iCs w:val="0"/>
      <w:smallCaps w:val="0"/>
      <w:strike w:val="0"/>
      <w:sz w:val="19"/>
      <w:szCs w:val="19"/>
      <w:u w:val="none"/>
    </w:rPr>
  </w:style>
  <w:style w:type="paragraph" w:customStyle="1" w:styleId="Style2">
    <w:name w:val="Záhlaví nebo zápatí"/>
    <w:basedOn w:val="Normal"/>
    <w:link w:val="CharStyle3"/>
    <w:pPr>
      <w:widowControl w:val="0"/>
      <w:shd w:val="clear" w:color="auto" w:fill="auto"/>
    </w:pPr>
    <w:rPr>
      <w:rFonts w:ascii="Calibri" w:eastAsia="Calibri" w:hAnsi="Calibri" w:cs="Calibri"/>
      <w:b/>
      <w:bCs/>
      <w:i w:val="0"/>
      <w:iCs w:val="0"/>
      <w:smallCaps w:val="0"/>
      <w:strike w:val="0"/>
      <w:sz w:val="18"/>
      <w:szCs w:val="18"/>
      <w:u w:val="none"/>
    </w:rPr>
  </w:style>
  <w:style w:type="paragraph" w:customStyle="1" w:styleId="Style6">
    <w:name w:val="Základní text (2)"/>
    <w:basedOn w:val="Normal"/>
    <w:link w:val="CharStyle7"/>
    <w:pPr>
      <w:widowControl w:val="0"/>
      <w:shd w:val="clear" w:color="auto" w:fill="auto"/>
      <w:jc w:val="right"/>
    </w:pPr>
    <w:rPr>
      <w:rFonts w:ascii="Calibri" w:eastAsia="Calibri" w:hAnsi="Calibri" w:cs="Calibri"/>
      <w:b w:val="0"/>
      <w:bCs w:val="0"/>
      <w:i w:val="0"/>
      <w:iCs w:val="0"/>
      <w:smallCaps w:val="0"/>
      <w:strike w:val="0"/>
      <w:sz w:val="18"/>
      <w:szCs w:val="18"/>
      <w:u w:val="none"/>
    </w:rPr>
  </w:style>
  <w:style w:type="paragraph" w:customStyle="1" w:styleId="Style8">
    <w:name w:val="Základní text (8)"/>
    <w:basedOn w:val="Normal"/>
    <w:link w:val="CharStyle9"/>
    <w:pPr>
      <w:widowControl w:val="0"/>
      <w:shd w:val="clear" w:color="auto" w:fill="auto"/>
      <w:spacing w:after="130"/>
      <w:jc w:val="center"/>
    </w:pPr>
    <w:rPr>
      <w:rFonts w:ascii="Times New Roman" w:eastAsia="Times New Roman" w:hAnsi="Times New Roman" w:cs="Times New Roman"/>
      <w:b/>
      <w:bCs/>
      <w:i w:val="0"/>
      <w:iCs w:val="0"/>
      <w:smallCaps w:val="0"/>
      <w:strike w:val="0"/>
      <w:u w:val="none"/>
    </w:rPr>
  </w:style>
  <w:style w:type="paragraph" w:customStyle="1" w:styleId="Style10">
    <w:name w:val="Základní text"/>
    <w:basedOn w:val="Normal"/>
    <w:link w:val="CharStyle11"/>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14">
    <w:name w:val="Nadpis #1"/>
    <w:basedOn w:val="Normal"/>
    <w:link w:val="CharStyle15"/>
    <w:pPr>
      <w:widowControl w:val="0"/>
      <w:shd w:val="clear" w:color="auto" w:fill="auto"/>
      <w:spacing w:after="260"/>
      <w:jc w:val="center"/>
      <w:outlineLvl w:val="0"/>
    </w:pPr>
    <w:rPr>
      <w:rFonts w:ascii="Calibri" w:eastAsia="Calibri" w:hAnsi="Calibri" w:cs="Calibri"/>
      <w:b/>
      <w:bCs/>
      <w:i w:val="0"/>
      <w:iCs w:val="0"/>
      <w:smallCaps w:val="0"/>
      <w:strike w:val="0"/>
      <w:sz w:val="28"/>
      <w:szCs w:val="28"/>
      <w:u w:val="single"/>
    </w:rPr>
  </w:style>
  <w:style w:type="paragraph" w:customStyle="1" w:styleId="Style17">
    <w:name w:val="Záhlaví nebo zápatí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0">
    <w:name w:val="Jiné"/>
    <w:basedOn w:val="Normal"/>
    <w:link w:val="CharStyle31"/>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44">
    <w:name w:val="Základní text (3)"/>
    <w:basedOn w:val="Normal"/>
    <w:link w:val="CharStyle45"/>
    <w:pPr>
      <w:widowControl w:val="0"/>
      <w:shd w:val="clear" w:color="auto" w:fill="auto"/>
    </w:pPr>
    <w:rPr>
      <w:rFonts w:ascii="Arial" w:eastAsia="Arial" w:hAnsi="Arial" w:cs="Arial"/>
      <w:b/>
      <w:bCs/>
      <w:i w:val="0"/>
      <w:iCs w:val="0"/>
      <w:smallCaps w:val="0"/>
      <w:strike w:val="0"/>
      <w:sz w:val="24"/>
      <w:szCs w:val="24"/>
      <w:u w:val="none"/>
    </w:rPr>
  </w:style>
  <w:style w:type="paragraph" w:customStyle="1" w:styleId="Style49">
    <w:name w:val="Základní text (5)"/>
    <w:basedOn w:val="Normal"/>
    <w:link w:val="CharStyle50"/>
    <w:pPr>
      <w:widowControl w:val="0"/>
      <w:shd w:val="clear" w:color="auto" w:fill="auto"/>
      <w:spacing w:after="430"/>
      <w:ind w:left="510" w:firstLine="26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SMLOUVA O DÍLO č</dc:title>
  <dc:subject/>
  <dc:creator>Valued Acer Customer</dc:creator>
  <cp:keywords/>
</cp:coreProperties>
</file>