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1BF8" w14:textId="77777777" w:rsidR="009B22B4" w:rsidRPr="00707D40" w:rsidRDefault="009B22B4" w:rsidP="0084175D">
      <w:pPr>
        <w:spacing w:before="1680"/>
        <w:jc w:val="right"/>
      </w:pPr>
      <w:r w:rsidRPr="00707D40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2A68811D" wp14:editId="062E0124">
            <wp:simplePos x="0" y="0"/>
            <wp:positionH relativeFrom="column">
              <wp:posOffset>-183515</wp:posOffset>
            </wp:positionH>
            <wp:positionV relativeFrom="paragraph">
              <wp:posOffset>-123825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E94B6C" w14:textId="77777777" w:rsidR="00EE4480" w:rsidRDefault="00EE4480" w:rsidP="0079400A">
      <w:pPr>
        <w:tabs>
          <w:tab w:val="left" w:pos="3544"/>
        </w:tabs>
        <w:jc w:val="left"/>
        <w:rPr>
          <w:b/>
          <w:sz w:val="28"/>
          <w:szCs w:val="28"/>
        </w:rPr>
      </w:pPr>
    </w:p>
    <w:p w14:paraId="52D605C6" w14:textId="77777777" w:rsidR="00645FBD" w:rsidRPr="00645FBD" w:rsidRDefault="00645FBD" w:rsidP="009961E5">
      <w:pPr>
        <w:tabs>
          <w:tab w:val="left" w:pos="2750"/>
          <w:tab w:val="right" w:leader="dot" w:pos="4536"/>
        </w:tabs>
        <w:rPr>
          <w:bCs/>
          <w:szCs w:val="20"/>
        </w:rPr>
      </w:pPr>
      <w:bookmarkStart w:id="0" w:name="Priloha_1"/>
      <w:bookmarkEnd w:id="0"/>
    </w:p>
    <w:p w14:paraId="5C0480B5" w14:textId="0185751C" w:rsidR="00D10C72" w:rsidRPr="002919BA" w:rsidRDefault="00D10C72" w:rsidP="00D10C72">
      <w:pPr>
        <w:rPr>
          <w:rFonts w:cs="Arial"/>
          <w:b/>
          <w:sz w:val="32"/>
          <w:szCs w:val="32"/>
        </w:rPr>
      </w:pPr>
      <w:r w:rsidRPr="002919BA">
        <w:rPr>
          <w:rFonts w:cs="Arial"/>
          <w:b/>
          <w:sz w:val="32"/>
          <w:szCs w:val="32"/>
        </w:rPr>
        <w:t xml:space="preserve">Dodatek číslo </w:t>
      </w:r>
      <w:r>
        <w:rPr>
          <w:rFonts w:cs="Arial"/>
          <w:b/>
          <w:sz w:val="32"/>
          <w:szCs w:val="32"/>
        </w:rPr>
        <w:t>16</w:t>
      </w:r>
    </w:p>
    <w:p w14:paraId="33CA7FBD" w14:textId="77777777" w:rsidR="00D10C72" w:rsidRPr="002919BA" w:rsidRDefault="00D10C72" w:rsidP="00D10C72">
      <w:pPr>
        <w:rPr>
          <w:rFonts w:cs="Arial"/>
          <w:b/>
          <w:sz w:val="32"/>
          <w:szCs w:val="32"/>
        </w:rPr>
      </w:pPr>
      <w:r w:rsidRPr="002919BA">
        <w:rPr>
          <w:rFonts w:cs="Arial"/>
          <w:b/>
          <w:sz w:val="32"/>
          <w:szCs w:val="32"/>
        </w:rPr>
        <w:t>k pojistné smlouvě číslo 7720</w:t>
      </w:r>
      <w:r>
        <w:rPr>
          <w:rFonts w:cs="Arial"/>
          <w:b/>
          <w:sz w:val="32"/>
          <w:szCs w:val="32"/>
        </w:rPr>
        <w:t>893198</w:t>
      </w:r>
    </w:p>
    <w:p w14:paraId="2763D8B4" w14:textId="77777777" w:rsidR="0079400A" w:rsidRDefault="0079400A" w:rsidP="0084175D">
      <w:pPr>
        <w:rPr>
          <w:rFonts w:cs="Arial"/>
          <w:b/>
          <w:spacing w:val="20"/>
          <w:sz w:val="32"/>
        </w:rPr>
      </w:pPr>
    </w:p>
    <w:p w14:paraId="0654CC1A" w14:textId="77777777" w:rsidR="009536AE" w:rsidRPr="00AC0C71" w:rsidRDefault="009536AE" w:rsidP="009536AE">
      <w:pPr>
        <w:spacing w:after="80"/>
        <w:rPr>
          <w:b/>
          <w:sz w:val="32"/>
          <w:szCs w:val="32"/>
        </w:rPr>
      </w:pPr>
      <w:r w:rsidRPr="00AC0C71">
        <w:rPr>
          <w:b/>
          <w:sz w:val="32"/>
          <w:szCs w:val="32"/>
        </w:rPr>
        <w:t xml:space="preserve">Kooperativa pojišťovna, a.s., </w:t>
      </w:r>
      <w:proofErr w:type="spellStart"/>
      <w:r w:rsidRPr="00AC0C71">
        <w:rPr>
          <w:b/>
          <w:sz w:val="32"/>
          <w:szCs w:val="32"/>
        </w:rPr>
        <w:t>Vienna</w:t>
      </w:r>
      <w:proofErr w:type="spellEnd"/>
      <w:r w:rsidRPr="00AC0C71">
        <w:rPr>
          <w:b/>
          <w:sz w:val="32"/>
          <w:szCs w:val="32"/>
        </w:rPr>
        <w:t xml:space="preserve"> </w:t>
      </w:r>
      <w:proofErr w:type="spellStart"/>
      <w:r w:rsidRPr="00AC0C71">
        <w:rPr>
          <w:b/>
          <w:sz w:val="32"/>
          <w:szCs w:val="32"/>
        </w:rPr>
        <w:t>Insurance</w:t>
      </w:r>
      <w:proofErr w:type="spellEnd"/>
      <w:r w:rsidRPr="00AC0C71">
        <w:rPr>
          <w:b/>
          <w:sz w:val="32"/>
          <w:szCs w:val="32"/>
        </w:rPr>
        <w:t xml:space="preserve"> Group</w:t>
      </w:r>
    </w:p>
    <w:p w14:paraId="7E26A4E2" w14:textId="77777777" w:rsidR="009536AE" w:rsidRPr="009536AE" w:rsidRDefault="009536AE" w:rsidP="009536AE">
      <w:pPr>
        <w:spacing w:after="80"/>
        <w:rPr>
          <w:b/>
          <w:sz w:val="22"/>
          <w:szCs w:val="22"/>
        </w:rPr>
      </w:pPr>
      <w:r w:rsidRPr="009536AE">
        <w:rPr>
          <w:b/>
          <w:sz w:val="22"/>
          <w:szCs w:val="22"/>
        </w:rPr>
        <w:t xml:space="preserve">se sídlem Praha 8, Pobřežní 665/21, PSČ 186 00, Česká republika </w:t>
      </w:r>
    </w:p>
    <w:p w14:paraId="2B906F15" w14:textId="77777777" w:rsidR="009536AE" w:rsidRPr="009536AE" w:rsidRDefault="009536AE" w:rsidP="009536AE">
      <w:pPr>
        <w:spacing w:after="80"/>
        <w:rPr>
          <w:b/>
          <w:sz w:val="22"/>
          <w:szCs w:val="22"/>
        </w:rPr>
      </w:pPr>
      <w:r w:rsidRPr="009536AE">
        <w:rPr>
          <w:b/>
          <w:sz w:val="22"/>
          <w:szCs w:val="22"/>
        </w:rPr>
        <w:t>IČO: 47116617</w:t>
      </w:r>
    </w:p>
    <w:p w14:paraId="5F025191" w14:textId="77777777" w:rsidR="009536AE" w:rsidRPr="00AC0C71" w:rsidRDefault="009536AE" w:rsidP="009536AE">
      <w:pPr>
        <w:spacing w:after="80"/>
        <w:rPr>
          <w:szCs w:val="20"/>
        </w:rPr>
      </w:pPr>
      <w:r w:rsidRPr="00AC0C71">
        <w:rPr>
          <w:szCs w:val="20"/>
        </w:rPr>
        <w:t xml:space="preserve">zapsaná v obchodním rejstříku u Městského soudu v Praze, </w:t>
      </w:r>
      <w:proofErr w:type="spellStart"/>
      <w:r w:rsidRPr="00AC0C71">
        <w:rPr>
          <w:szCs w:val="20"/>
        </w:rPr>
        <w:t>sp</w:t>
      </w:r>
      <w:proofErr w:type="spellEnd"/>
      <w:r w:rsidRPr="00AC0C71">
        <w:rPr>
          <w:szCs w:val="20"/>
        </w:rPr>
        <w:t>. zn. B 1897</w:t>
      </w:r>
    </w:p>
    <w:p w14:paraId="770018D1" w14:textId="77777777" w:rsidR="009536AE" w:rsidRPr="00AC0C71" w:rsidRDefault="009536AE" w:rsidP="009536AE">
      <w:pPr>
        <w:spacing w:after="8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pojistitel</w:t>
      </w:r>
      <w:r w:rsidRPr="00AC0C71">
        <w:rPr>
          <w:szCs w:val="20"/>
        </w:rPr>
        <w:t>“)</w:t>
      </w:r>
    </w:p>
    <w:p w14:paraId="59C4EE67" w14:textId="77777777" w:rsidR="009536AE" w:rsidRPr="00AC0C71" w:rsidRDefault="009536AE" w:rsidP="009536AE">
      <w:pPr>
        <w:spacing w:after="80"/>
        <w:rPr>
          <w:szCs w:val="20"/>
        </w:rPr>
      </w:pPr>
      <w:r w:rsidRPr="00AC0C71">
        <w:rPr>
          <w:szCs w:val="20"/>
        </w:rPr>
        <w:t xml:space="preserve">zastoupený na základě zmocnění níže podepsanými osobami </w:t>
      </w:r>
    </w:p>
    <w:p w14:paraId="1BE0B21D" w14:textId="70C34510" w:rsidR="009536AE" w:rsidRPr="00AC0C71" w:rsidRDefault="009536AE" w:rsidP="009536AE">
      <w:pPr>
        <w:rPr>
          <w:b/>
          <w:color w:val="00B0F0"/>
        </w:rPr>
      </w:pPr>
      <w:r w:rsidRPr="00AC0C71">
        <w:rPr>
          <w:szCs w:val="20"/>
        </w:rPr>
        <w:t xml:space="preserve">Pracoviště: Kooperativa pojišťovna, a.s., </w:t>
      </w:r>
      <w:proofErr w:type="spellStart"/>
      <w:r w:rsidRPr="00AC0C71">
        <w:rPr>
          <w:szCs w:val="20"/>
        </w:rPr>
        <w:t>Vienna</w:t>
      </w:r>
      <w:proofErr w:type="spellEnd"/>
      <w:r w:rsidRPr="00AC0C71">
        <w:rPr>
          <w:szCs w:val="20"/>
        </w:rPr>
        <w:t xml:space="preserve"> </w:t>
      </w:r>
      <w:proofErr w:type="spellStart"/>
      <w:r w:rsidRPr="00AC0C71">
        <w:rPr>
          <w:szCs w:val="20"/>
        </w:rPr>
        <w:t>Insurance</w:t>
      </w:r>
      <w:proofErr w:type="spellEnd"/>
      <w:r w:rsidRPr="00AC0C71">
        <w:rPr>
          <w:szCs w:val="20"/>
        </w:rPr>
        <w:t xml:space="preserve"> Group, Nádražní 14, Brno, PSČ 602 00</w:t>
      </w:r>
    </w:p>
    <w:p w14:paraId="1C859AC2" w14:textId="77777777" w:rsidR="00187DBF" w:rsidRPr="00591F67" w:rsidRDefault="00187DBF" w:rsidP="00187DBF">
      <w:pPr>
        <w:rPr>
          <w:rFonts w:cs="Arial"/>
        </w:rPr>
      </w:pPr>
    </w:p>
    <w:p w14:paraId="4C8EC67D" w14:textId="77777777" w:rsidR="00187DBF" w:rsidRPr="00591F67" w:rsidRDefault="00187DBF" w:rsidP="00187DBF">
      <w:pPr>
        <w:pStyle w:val="Zkladntext33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591F67">
        <w:rPr>
          <w:rFonts w:ascii="Koop Office" w:hAnsi="Koop Office" w:cs="Arial"/>
        </w:rPr>
        <w:t>a</w:t>
      </w:r>
    </w:p>
    <w:p w14:paraId="1C61843A" w14:textId="77777777" w:rsidR="00187DBF" w:rsidRPr="00591F67" w:rsidRDefault="00187DBF" w:rsidP="00187DBF">
      <w:pPr>
        <w:rPr>
          <w:rFonts w:cs="Arial"/>
        </w:rPr>
      </w:pPr>
    </w:p>
    <w:p w14:paraId="641A5E3D" w14:textId="77777777" w:rsidR="00187DBF" w:rsidRPr="00E516A1" w:rsidRDefault="00187DBF" w:rsidP="00187DBF">
      <w:pPr>
        <w:pStyle w:val="Zkladntext3"/>
        <w:spacing w:after="80"/>
        <w:rPr>
          <w:rFonts w:ascii="Koop Office" w:hAnsi="Koop Office"/>
          <w:b/>
          <w:bCs/>
          <w:iCs/>
          <w:sz w:val="32"/>
          <w:szCs w:val="32"/>
        </w:rPr>
      </w:pPr>
      <w:r w:rsidRPr="00E516A1">
        <w:rPr>
          <w:rFonts w:ascii="Koop Office" w:hAnsi="Koop Office"/>
          <w:b/>
          <w:bCs/>
          <w:iCs/>
          <w:sz w:val="32"/>
          <w:szCs w:val="32"/>
        </w:rPr>
        <w:t xml:space="preserve">Statutární město Brno, Městská část </w:t>
      </w:r>
      <w:proofErr w:type="gramStart"/>
      <w:r w:rsidRPr="00E516A1">
        <w:rPr>
          <w:rFonts w:ascii="Koop Office" w:hAnsi="Koop Office"/>
          <w:b/>
          <w:bCs/>
          <w:iCs/>
          <w:sz w:val="32"/>
          <w:szCs w:val="32"/>
        </w:rPr>
        <w:t>Brno - sever</w:t>
      </w:r>
      <w:proofErr w:type="gramEnd"/>
    </w:p>
    <w:p w14:paraId="629E3AB3" w14:textId="77777777" w:rsidR="00187DBF" w:rsidRPr="00E516A1" w:rsidRDefault="00187DBF" w:rsidP="00187DBF">
      <w:pPr>
        <w:pStyle w:val="Nadpis4"/>
        <w:numPr>
          <w:ilvl w:val="0"/>
          <w:numId w:val="0"/>
        </w:numPr>
        <w:spacing w:before="0" w:after="80"/>
        <w:jc w:val="left"/>
        <w:rPr>
          <w:b/>
          <w:sz w:val="22"/>
          <w:szCs w:val="22"/>
        </w:rPr>
      </w:pPr>
      <w:r w:rsidRPr="00E516A1">
        <w:rPr>
          <w:b/>
          <w:sz w:val="22"/>
          <w:szCs w:val="22"/>
        </w:rPr>
        <w:t>se sídlem Bratislavská 70, Brno, PSČ 601 47, Česká republika</w:t>
      </w:r>
    </w:p>
    <w:p w14:paraId="6B3EDE7C" w14:textId="77777777" w:rsidR="00187DBF" w:rsidRPr="00E516A1" w:rsidRDefault="00187DBF" w:rsidP="00187DBF">
      <w:pPr>
        <w:pStyle w:val="Zkladntext3"/>
        <w:spacing w:after="80"/>
        <w:rPr>
          <w:rFonts w:ascii="Koop Office" w:hAnsi="Koop Office"/>
          <w:b/>
          <w:bCs/>
          <w:iCs/>
          <w:sz w:val="22"/>
          <w:szCs w:val="22"/>
        </w:rPr>
      </w:pPr>
      <w:r w:rsidRPr="00E516A1">
        <w:rPr>
          <w:rFonts w:ascii="Koop Office" w:hAnsi="Koop Office"/>
          <w:b/>
          <w:bCs/>
          <w:iCs/>
          <w:sz w:val="22"/>
          <w:szCs w:val="22"/>
        </w:rPr>
        <w:t xml:space="preserve">IČO: 44992785 </w:t>
      </w:r>
    </w:p>
    <w:p w14:paraId="65EA25BE" w14:textId="272F9C47" w:rsidR="00187DBF" w:rsidRPr="00591F67" w:rsidRDefault="00187DBF" w:rsidP="00187DBF">
      <w:pPr>
        <w:spacing w:after="80"/>
      </w:pPr>
      <w:r w:rsidRPr="00591F67">
        <w:t>zapsaná v registru ekonomických subjektů Českého statistického úřadu, Brno</w:t>
      </w:r>
    </w:p>
    <w:p w14:paraId="62B6DD09" w14:textId="77777777" w:rsidR="00187DBF" w:rsidRPr="00591F67" w:rsidRDefault="00187DBF" w:rsidP="00187DBF">
      <w:pPr>
        <w:spacing w:after="80"/>
        <w:rPr>
          <w:rFonts w:cs="Arial"/>
        </w:rPr>
      </w:pPr>
      <w:r w:rsidRPr="00591F67">
        <w:rPr>
          <w:rFonts w:cs="Arial"/>
        </w:rPr>
        <w:t xml:space="preserve">(dále jen </w:t>
      </w:r>
      <w:r w:rsidRPr="00591F67">
        <w:rPr>
          <w:rFonts w:cs="Arial"/>
          <w:b/>
        </w:rPr>
        <w:t>„pojistník"</w:t>
      </w:r>
      <w:r w:rsidRPr="00591F67">
        <w:rPr>
          <w:rFonts w:cs="Arial"/>
        </w:rPr>
        <w:t>),</w:t>
      </w:r>
    </w:p>
    <w:p w14:paraId="1C4A9B82" w14:textId="2E47A867" w:rsidR="00187DBF" w:rsidRPr="00591F67" w:rsidRDefault="00187DBF" w:rsidP="00187DBF">
      <w:pPr>
        <w:pStyle w:val="Zkladntext2"/>
        <w:spacing w:after="80" w:line="240" w:lineRule="auto"/>
      </w:pPr>
      <w:r w:rsidRPr="00591F67">
        <w:t xml:space="preserve">bankovní spojení: </w:t>
      </w:r>
      <w:r w:rsidR="002F5A90">
        <w:rPr>
          <w:rFonts w:cs="Arial"/>
        </w:rPr>
        <w:t>XXXXXXXXX</w:t>
      </w:r>
    </w:p>
    <w:p w14:paraId="753C79A7" w14:textId="757A4DFA" w:rsidR="00187DBF" w:rsidRPr="00591F67" w:rsidRDefault="00187DBF" w:rsidP="00187DBF">
      <w:pPr>
        <w:spacing w:after="80"/>
        <w:rPr>
          <w:bCs/>
        </w:rPr>
      </w:pPr>
      <w:r w:rsidRPr="00591F67">
        <w:rPr>
          <w:bCs/>
        </w:rPr>
        <w:t>zastoupený:</w:t>
      </w:r>
      <w:r w:rsidRPr="00591F67">
        <w:rPr>
          <w:bCs/>
        </w:rPr>
        <w:tab/>
      </w:r>
      <w:bookmarkStart w:id="1" w:name="_Hlk193716452"/>
      <w:r w:rsidR="002F5A90">
        <w:rPr>
          <w:bCs/>
        </w:rPr>
        <w:t>XXXXXXXXXX</w:t>
      </w:r>
      <w:bookmarkEnd w:id="1"/>
    </w:p>
    <w:p w14:paraId="2C13FB0C" w14:textId="77777777" w:rsidR="00187DBF" w:rsidRDefault="00187DBF" w:rsidP="00187DBF">
      <w:pPr>
        <w:rPr>
          <w:szCs w:val="20"/>
        </w:rPr>
      </w:pPr>
      <w:r w:rsidRPr="008F5A99">
        <w:rPr>
          <w:szCs w:val="20"/>
        </w:rPr>
        <w:t>Korespondenční adresa pojistníka je totožná s v</w:t>
      </w:r>
      <w:r>
        <w:rPr>
          <w:szCs w:val="20"/>
        </w:rPr>
        <w:t>ýše uvedenou adresou pojistníka</w:t>
      </w:r>
    </w:p>
    <w:p w14:paraId="0762D110" w14:textId="77777777" w:rsidR="005766B3" w:rsidRPr="00707D40" w:rsidRDefault="005766B3" w:rsidP="005766B3">
      <w:pPr>
        <w:spacing w:before="240" w:after="240"/>
        <w:rPr>
          <w:szCs w:val="20"/>
        </w:rPr>
      </w:pPr>
      <w:r w:rsidRPr="00707D40">
        <w:rPr>
          <w:szCs w:val="20"/>
        </w:rPr>
        <w:t xml:space="preserve">uzavírají </w:t>
      </w:r>
    </w:p>
    <w:p w14:paraId="74FB1246" w14:textId="49EADDCC" w:rsidR="005766B3" w:rsidRPr="00707D40" w:rsidRDefault="0072670D" w:rsidP="005766B3">
      <w:pPr>
        <w:spacing w:after="480"/>
        <w:rPr>
          <w:szCs w:val="20"/>
        </w:rPr>
      </w:pPr>
      <w:r w:rsidRPr="008F5A99">
        <w:rPr>
          <w:szCs w:val="20"/>
        </w:rPr>
        <w:t>ve smyslu zákona č. 89/2012 Sb., občanského zákoníku, tento dodatek, který spolu s výše uvedenou pojistnou smlouvou, pojistnými podmínkami pojistitele a přílohami, na které se pojistná smlouva (ve znění tohoto dodatku) odvolává, tvoří nedílný celek</w:t>
      </w:r>
      <w:r w:rsidR="005766B3" w:rsidRPr="00707D40">
        <w:rPr>
          <w:szCs w:val="20"/>
        </w:rPr>
        <w:t>.</w:t>
      </w:r>
    </w:p>
    <w:p w14:paraId="7AD92FD8" w14:textId="5DF774BC" w:rsidR="00187DBF" w:rsidRDefault="00F8741C" w:rsidP="00187DBF">
      <w:pPr>
        <w:rPr>
          <w:rFonts w:cs="Arial"/>
        </w:rPr>
      </w:pPr>
      <w:r w:rsidRPr="00591F67">
        <w:t>Tento dodatek byl sjednán prostřednictvím</w:t>
      </w:r>
      <w:r w:rsidRPr="00AC0C71">
        <w:rPr>
          <w:szCs w:val="20"/>
        </w:rPr>
        <w:t xml:space="preserve"> </w:t>
      </w:r>
      <w:r w:rsidR="00220894" w:rsidRPr="00AC0C71">
        <w:rPr>
          <w:szCs w:val="20"/>
        </w:rPr>
        <w:t xml:space="preserve">samostatného </w:t>
      </w:r>
      <w:r w:rsidR="00187DBF" w:rsidRPr="00591F67">
        <w:t>zprostředkovatele:</w:t>
      </w:r>
      <w:r w:rsidR="00187DBF" w:rsidRPr="00591F67">
        <w:rPr>
          <w:rFonts w:cs="Arial"/>
        </w:rPr>
        <w:t xml:space="preserve"> </w:t>
      </w:r>
    </w:p>
    <w:p w14:paraId="11CD3BE8" w14:textId="77777777" w:rsidR="00EC50D0" w:rsidRPr="00591F67" w:rsidRDefault="00EC50D0" w:rsidP="00187DBF">
      <w:pPr>
        <w:rPr>
          <w:rFonts w:cs="Arial"/>
        </w:rPr>
      </w:pPr>
    </w:p>
    <w:p w14:paraId="790D7B1C" w14:textId="578C2B9C" w:rsidR="00187DBF" w:rsidRPr="00591F67" w:rsidRDefault="00AA3167" w:rsidP="00645FBD">
      <w:pPr>
        <w:spacing w:after="60"/>
        <w:rPr>
          <w:rFonts w:cs="Arial"/>
          <w:b/>
          <w:sz w:val="22"/>
          <w:szCs w:val="22"/>
        </w:rPr>
      </w:pPr>
      <w:r w:rsidRPr="00AA3167">
        <w:rPr>
          <w:rFonts w:cs="Arial"/>
          <w:b/>
          <w:color w:val="000000"/>
          <w:sz w:val="22"/>
          <w:szCs w:val="22"/>
        </w:rPr>
        <w:t>XXXXXXXXXX</w:t>
      </w:r>
    </w:p>
    <w:p w14:paraId="1538D4F0" w14:textId="36AB959C" w:rsidR="00187DBF" w:rsidRPr="00425151" w:rsidRDefault="00187DBF" w:rsidP="00645FBD">
      <w:pPr>
        <w:spacing w:after="60"/>
        <w:rPr>
          <w:rFonts w:cs="Arial"/>
          <w:b/>
          <w:szCs w:val="20"/>
        </w:rPr>
      </w:pPr>
      <w:r w:rsidRPr="00425151">
        <w:rPr>
          <w:rFonts w:cs="Arial"/>
          <w:b/>
          <w:szCs w:val="20"/>
        </w:rPr>
        <w:t xml:space="preserve">se sídlem </w:t>
      </w:r>
      <w:r w:rsidR="00AA3167" w:rsidRPr="00AA3167">
        <w:rPr>
          <w:rFonts w:cs="Arial"/>
          <w:b/>
          <w:szCs w:val="20"/>
        </w:rPr>
        <w:t>XXXXXXXXXX</w:t>
      </w:r>
    </w:p>
    <w:p w14:paraId="404DC717" w14:textId="7D8532B0" w:rsidR="00187DBF" w:rsidRPr="00425151" w:rsidRDefault="00187DBF" w:rsidP="00EC50D0">
      <w:pPr>
        <w:spacing w:after="80"/>
        <w:rPr>
          <w:rFonts w:cs="Arial"/>
          <w:b/>
          <w:szCs w:val="20"/>
        </w:rPr>
      </w:pPr>
      <w:r w:rsidRPr="00425151">
        <w:rPr>
          <w:rFonts w:cs="Arial"/>
          <w:b/>
          <w:szCs w:val="20"/>
        </w:rPr>
        <w:t xml:space="preserve">IČO: </w:t>
      </w:r>
      <w:r w:rsidR="00AA3167" w:rsidRPr="00AA3167">
        <w:rPr>
          <w:rFonts w:cs="Arial"/>
          <w:b/>
          <w:szCs w:val="20"/>
        </w:rPr>
        <w:t>XXXXXXXXXX</w:t>
      </w:r>
    </w:p>
    <w:p w14:paraId="02DB9746" w14:textId="77777777" w:rsidR="00187DBF" w:rsidRPr="00591F67" w:rsidRDefault="00187DBF" w:rsidP="00EC50D0">
      <w:pPr>
        <w:spacing w:after="80"/>
        <w:rPr>
          <w:rFonts w:cs="Arial"/>
          <w:b/>
        </w:rPr>
      </w:pPr>
      <w:r w:rsidRPr="00591F67">
        <w:rPr>
          <w:rFonts w:cs="Arial"/>
          <w:bCs/>
        </w:rPr>
        <w:t xml:space="preserve">(dále </w:t>
      </w:r>
      <w:r w:rsidRPr="00591F67">
        <w:t xml:space="preserve">jen </w:t>
      </w:r>
      <w:r w:rsidRPr="00591F67">
        <w:rPr>
          <w:b/>
        </w:rPr>
        <w:t>„samostatný zprostředkovatel</w:t>
      </w:r>
      <w:r w:rsidRPr="00591F67">
        <w:rPr>
          <w:b/>
          <w:bCs/>
        </w:rPr>
        <w:t>”</w:t>
      </w:r>
      <w:r w:rsidRPr="00591F67">
        <w:rPr>
          <w:rFonts w:cs="Arial"/>
          <w:bCs/>
        </w:rPr>
        <w:t>)</w:t>
      </w:r>
    </w:p>
    <w:p w14:paraId="7BAB11D2" w14:textId="77777777" w:rsidR="005F05A3" w:rsidRPr="00591F67" w:rsidRDefault="005F05A3" w:rsidP="005F05A3">
      <w:pPr>
        <w:spacing w:before="60"/>
      </w:pPr>
      <w:r w:rsidRPr="00591F67">
        <w:t>Korespondenční adresa samostatného zprostředkovatele je totožná s výše uvedenou adresou samostatného zprostředkovatele.</w:t>
      </w:r>
    </w:p>
    <w:p w14:paraId="69729706" w14:textId="6CD79168" w:rsidR="00187DBF" w:rsidRDefault="005F05A3" w:rsidP="005F05A3">
      <w:pPr>
        <w:spacing w:before="60"/>
      </w:pPr>
      <w:r w:rsidRPr="00034D2B">
        <w:rPr>
          <w:szCs w:val="20"/>
        </w:rPr>
        <w:t>Sjednání tohoto dodatku zprostředkoval pro pojistníka samostatný zprostředkovatel v postavení pojišťovacího makléře</w:t>
      </w:r>
      <w:r w:rsidR="00187DBF" w:rsidRPr="00591F67">
        <w:t>.</w:t>
      </w:r>
    </w:p>
    <w:p w14:paraId="51579943" w14:textId="77777777" w:rsidR="009B22B4" w:rsidRPr="00707D40" w:rsidRDefault="009B22B4" w:rsidP="00FF471C">
      <w:r w:rsidRPr="00707D40">
        <w:br w:type="page"/>
      </w:r>
    </w:p>
    <w:p w14:paraId="289F804C" w14:textId="3291F0B0" w:rsidR="009934B1" w:rsidRPr="00707D40" w:rsidRDefault="00187DBF" w:rsidP="009934B1">
      <w:r w:rsidRPr="00891EE8">
        <w:lastRenderedPageBreak/>
        <w:t>Výše uvedená pojistná smlouva (včetně výše uvedených údajů o výše uvedených subjektech) nově zní takto</w:t>
      </w:r>
      <w:r w:rsidR="00760ECF" w:rsidRPr="00891EE8">
        <w:t>:</w:t>
      </w:r>
    </w:p>
    <w:p w14:paraId="32F4F39B" w14:textId="77777777" w:rsidR="004F5229" w:rsidRDefault="004F5229" w:rsidP="00187DBF">
      <w:pPr>
        <w:pStyle w:val="Nadpislnk"/>
        <w:spacing w:before="0" w:after="0"/>
      </w:pPr>
    </w:p>
    <w:p w14:paraId="7A324CC2" w14:textId="77777777" w:rsidR="009B22B4" w:rsidRPr="00707D40" w:rsidRDefault="009B22B4" w:rsidP="00187DBF">
      <w:pPr>
        <w:pStyle w:val="Nadpislnk"/>
        <w:spacing w:before="120" w:after="0"/>
      </w:pPr>
      <w:r w:rsidRPr="00707D40">
        <w:t>Článek I.</w:t>
      </w:r>
      <w:r w:rsidR="00F425A6" w:rsidRPr="00707D40">
        <w:br/>
      </w:r>
      <w:r w:rsidRPr="00707D40">
        <w:t>Úvodní ustanovení</w:t>
      </w:r>
    </w:p>
    <w:p w14:paraId="76B7AB4E" w14:textId="77777777" w:rsidR="004F5229" w:rsidRPr="00124376" w:rsidRDefault="004F5229" w:rsidP="00292218">
      <w:pPr>
        <w:keepNext/>
        <w:numPr>
          <w:ilvl w:val="0"/>
          <w:numId w:val="12"/>
        </w:numPr>
        <w:tabs>
          <w:tab w:val="clear" w:pos="425"/>
        </w:tabs>
        <w:spacing w:before="120"/>
        <w:rPr>
          <w:rFonts w:cs="Arial"/>
        </w:rPr>
      </w:pPr>
      <w:r w:rsidRPr="00124376">
        <w:rPr>
          <w:rFonts w:cs="Arial"/>
        </w:rPr>
        <w:t>Pojištěným je:</w:t>
      </w:r>
    </w:p>
    <w:p w14:paraId="7F33C0D9" w14:textId="77777777" w:rsidR="004F5229" w:rsidRPr="00124376" w:rsidRDefault="004F5229" w:rsidP="00292218">
      <w:pPr>
        <w:pStyle w:val="Odstavecseseznamem"/>
        <w:numPr>
          <w:ilvl w:val="0"/>
          <w:numId w:val="11"/>
        </w:numPr>
        <w:spacing w:after="200"/>
        <w:rPr>
          <w:rFonts w:ascii="Koop Office" w:hAnsi="Koop Office" w:cs="Arial"/>
        </w:rPr>
      </w:pPr>
      <w:r w:rsidRPr="00124376">
        <w:rPr>
          <w:rFonts w:ascii="Koop Office" w:hAnsi="Koop Office" w:cs="Arial"/>
        </w:rPr>
        <w:t>Pojistník</w:t>
      </w:r>
    </w:p>
    <w:p w14:paraId="7F7A4C39" w14:textId="77777777" w:rsidR="004F5229" w:rsidRPr="00124376" w:rsidRDefault="004F5229" w:rsidP="00292218">
      <w:pPr>
        <w:pStyle w:val="Odstavecseseznamem"/>
        <w:numPr>
          <w:ilvl w:val="0"/>
          <w:numId w:val="11"/>
        </w:numPr>
        <w:spacing w:line="240" w:lineRule="auto"/>
        <w:ind w:left="782" w:hanging="357"/>
        <w:rPr>
          <w:rFonts w:ascii="Koop Office" w:hAnsi="Koop Office" w:cs="Arial"/>
        </w:rPr>
      </w:pPr>
      <w:r w:rsidRPr="00124376">
        <w:rPr>
          <w:rFonts w:ascii="Koop Office" w:hAnsi="Koop Office" w:cs="Arial"/>
        </w:rPr>
        <w:t>Školy, školky a jiná zařízení uvedená v příloze číslo 2</w:t>
      </w:r>
      <w:r>
        <w:rPr>
          <w:rFonts w:ascii="Koop Office" w:hAnsi="Koop Office" w:cs="Arial"/>
        </w:rPr>
        <w:t xml:space="preserve"> a 3</w:t>
      </w:r>
      <w:r w:rsidRPr="00124376">
        <w:rPr>
          <w:rFonts w:ascii="Koop Office" w:hAnsi="Koop Office" w:cs="Arial"/>
        </w:rPr>
        <w:t xml:space="preserve"> smlouvy.</w:t>
      </w:r>
    </w:p>
    <w:p w14:paraId="11CB2F9B" w14:textId="47FF6FF9" w:rsidR="004F5229" w:rsidRPr="00EC7610" w:rsidRDefault="009478E4" w:rsidP="00B56EE3">
      <w:pPr>
        <w:keepNext/>
        <w:numPr>
          <w:ilvl w:val="0"/>
          <w:numId w:val="12"/>
        </w:numPr>
        <w:tabs>
          <w:tab w:val="left" w:pos="-1418"/>
        </w:tabs>
        <w:spacing w:before="120"/>
        <w:rPr>
          <w:rFonts w:cs="Arial"/>
        </w:rPr>
      </w:pPr>
      <w:r w:rsidRPr="00AC0C71">
        <w:t>K pojištění se vztahují: Všeobecné pojistné podmínky (dále jen „</w:t>
      </w:r>
      <w:r w:rsidRPr="00AC0C71">
        <w:rPr>
          <w:b/>
        </w:rPr>
        <w:t>VPP</w:t>
      </w:r>
      <w:r w:rsidRPr="00AC0C71">
        <w:t>“), Zvláštní pojistné podmínky (dále jen „</w:t>
      </w:r>
      <w:r w:rsidRPr="00AC0C71">
        <w:rPr>
          <w:b/>
        </w:rPr>
        <w:t>ZPP</w:t>
      </w:r>
      <w:r w:rsidRPr="00AC0C71">
        <w:t>“) a Dodatkové pojistné podmínky (dále jen „</w:t>
      </w:r>
      <w:r w:rsidRPr="00AC0C71">
        <w:rPr>
          <w:b/>
        </w:rPr>
        <w:t>DPP</w:t>
      </w:r>
      <w:r w:rsidRPr="00AC0C71">
        <w:t>“</w:t>
      </w:r>
      <w:r w:rsidR="004F5229" w:rsidRPr="00EC7610">
        <w:rPr>
          <w:rFonts w:cs="Arial"/>
        </w:rPr>
        <w:t>).</w:t>
      </w:r>
    </w:p>
    <w:p w14:paraId="56D1FA00" w14:textId="063A1227" w:rsidR="004F5229" w:rsidRDefault="004F5229" w:rsidP="00187DBF">
      <w:pPr>
        <w:pStyle w:val="Styl10bTunZarovnatdobloku"/>
      </w:pPr>
      <w:r w:rsidRPr="006368D9">
        <w:t>Všeobecné pojistné podmínky</w:t>
      </w:r>
    </w:p>
    <w:p w14:paraId="5070C790" w14:textId="2C89A5B5" w:rsidR="004F5229" w:rsidRPr="006368D9" w:rsidRDefault="004F5229" w:rsidP="00743294">
      <w:pPr>
        <w:pStyle w:val="Styl10bZarovnatdobloku"/>
      </w:pPr>
      <w:r w:rsidRPr="006368D9">
        <w:t>VPP P-100/14 - pro pojištění majetku a odpovědnosti</w:t>
      </w:r>
    </w:p>
    <w:p w14:paraId="77573F3A" w14:textId="7EDD4CC1" w:rsidR="004F5229" w:rsidRDefault="004F5229" w:rsidP="00187DBF">
      <w:pPr>
        <w:keepNext/>
        <w:spacing w:before="120"/>
        <w:ind w:left="426"/>
        <w:rPr>
          <w:rFonts w:cs="Arial"/>
          <w:b/>
          <w:bCs/>
        </w:rPr>
      </w:pPr>
      <w:r w:rsidRPr="006368D9">
        <w:rPr>
          <w:rFonts w:cs="Arial"/>
          <w:b/>
          <w:bCs/>
        </w:rPr>
        <w:t>Zvláštní pojistné podmínky</w:t>
      </w:r>
    </w:p>
    <w:p w14:paraId="012C7961" w14:textId="77777777" w:rsidR="00187DBF" w:rsidRDefault="004F5229" w:rsidP="00187DBF">
      <w:pPr>
        <w:keepNext/>
        <w:ind w:left="425"/>
        <w:rPr>
          <w:rFonts w:cs="Arial"/>
        </w:rPr>
      </w:pPr>
      <w:r w:rsidRPr="006368D9">
        <w:rPr>
          <w:rFonts w:cs="Arial"/>
          <w:bCs/>
        </w:rPr>
        <w:t>ZPP</w:t>
      </w:r>
      <w:r w:rsidRPr="006368D9">
        <w:rPr>
          <w:rFonts w:cs="Arial"/>
        </w:rPr>
        <w:t xml:space="preserve"> P-150/14 - pro živelní pojištění</w:t>
      </w:r>
      <w:r w:rsidRPr="006368D9">
        <w:rPr>
          <w:rFonts w:cs="Arial"/>
        </w:rPr>
        <w:cr/>
      </w:r>
      <w:r w:rsidRPr="006368D9">
        <w:rPr>
          <w:rFonts w:cs="Arial"/>
          <w:bCs/>
        </w:rPr>
        <w:t>ZPP</w:t>
      </w:r>
      <w:r w:rsidRPr="006368D9">
        <w:rPr>
          <w:rFonts w:cs="Arial"/>
        </w:rPr>
        <w:t xml:space="preserve"> P-200/14 - pro pojištění pro případ odcizení</w:t>
      </w:r>
      <w:r w:rsidRPr="006368D9">
        <w:rPr>
          <w:rFonts w:cs="Arial"/>
        </w:rPr>
        <w:cr/>
      </w:r>
      <w:r w:rsidRPr="006368D9">
        <w:rPr>
          <w:rFonts w:cs="Arial"/>
          <w:bCs/>
        </w:rPr>
        <w:t>ZPP</w:t>
      </w:r>
      <w:r w:rsidRPr="006368D9">
        <w:rPr>
          <w:rFonts w:cs="Arial"/>
        </w:rPr>
        <w:t xml:space="preserve"> P-250/14 - pro pojištění skla</w:t>
      </w:r>
    </w:p>
    <w:p w14:paraId="444B60E7" w14:textId="0C7BB71D" w:rsidR="004F5229" w:rsidRPr="006368D9" w:rsidRDefault="004F5229" w:rsidP="00187DBF">
      <w:pPr>
        <w:keepNext/>
        <w:spacing w:before="120"/>
        <w:ind w:left="425"/>
        <w:rPr>
          <w:rFonts w:cs="Arial"/>
          <w:b/>
          <w:bCs/>
        </w:rPr>
      </w:pPr>
      <w:r w:rsidRPr="006368D9">
        <w:rPr>
          <w:rFonts w:cs="Arial"/>
          <w:b/>
          <w:bCs/>
        </w:rPr>
        <w:t>Dodatkové pojistné podmínky</w:t>
      </w:r>
    </w:p>
    <w:p w14:paraId="1AD1622D" w14:textId="224FB302" w:rsidR="004F5229" w:rsidRPr="006368D9" w:rsidRDefault="004F5229" w:rsidP="00187DBF">
      <w:pPr>
        <w:keepNext/>
        <w:ind w:left="426"/>
        <w:rPr>
          <w:rFonts w:cs="Arial"/>
        </w:rPr>
      </w:pPr>
      <w:r w:rsidRPr="006368D9">
        <w:rPr>
          <w:rFonts w:cs="Arial"/>
        </w:rPr>
        <w:t>DPP P-520/14 - pro pojištění hospodářských rizik, sestávající se z následujících doložek:</w:t>
      </w:r>
    </w:p>
    <w:p w14:paraId="15F62D00" w14:textId="08335ACD" w:rsidR="004F5229" w:rsidRPr="006368D9" w:rsidRDefault="004F5229" w:rsidP="00187DBF">
      <w:pPr>
        <w:keepNext/>
        <w:spacing w:before="120"/>
        <w:ind w:left="426"/>
        <w:rPr>
          <w:rFonts w:cs="Arial"/>
          <w:bCs/>
        </w:rPr>
      </w:pPr>
      <w:r w:rsidRPr="006368D9">
        <w:rPr>
          <w:rFonts w:cs="Arial"/>
          <w:b/>
        </w:rPr>
        <w:t xml:space="preserve">Živel </w:t>
      </w:r>
      <w:r w:rsidRPr="006368D9">
        <w:rPr>
          <w:rFonts w:cs="Arial"/>
          <w:b/>
        </w:rPr>
        <w:cr/>
      </w:r>
      <w:proofErr w:type="gramStart"/>
      <w:r w:rsidRPr="006368D9">
        <w:rPr>
          <w:rFonts w:cs="Arial"/>
        </w:rPr>
        <w:t>DZ101 - Lehké</w:t>
      </w:r>
      <w:proofErr w:type="gramEnd"/>
      <w:r w:rsidRPr="006368D9">
        <w:rPr>
          <w:rFonts w:cs="Arial"/>
        </w:rPr>
        <w:t xml:space="preserve"> stavby, dřevostavby </w:t>
      </w:r>
      <w:r w:rsidRPr="006368D9">
        <w:rPr>
          <w:szCs w:val="20"/>
        </w:rPr>
        <w:t xml:space="preserve">- </w:t>
      </w:r>
      <w:r w:rsidRPr="006368D9">
        <w:rPr>
          <w:rFonts w:cs="Arial"/>
        </w:rPr>
        <w:t>Výluka (1401)</w:t>
      </w:r>
      <w:r w:rsidRPr="006368D9">
        <w:rPr>
          <w:rFonts w:cs="Arial"/>
        </w:rPr>
        <w:cr/>
      </w:r>
      <w:proofErr w:type="gramStart"/>
      <w:r w:rsidRPr="006368D9">
        <w:rPr>
          <w:rFonts w:cs="Arial"/>
          <w:bCs/>
          <w:szCs w:val="20"/>
        </w:rPr>
        <w:t>DZ112</w:t>
      </w:r>
      <w:r w:rsidRPr="006368D9">
        <w:rPr>
          <w:rFonts w:cs="Arial"/>
          <w:bCs/>
        </w:rPr>
        <w:t xml:space="preserve"> </w:t>
      </w:r>
      <w:r w:rsidRPr="006368D9">
        <w:t xml:space="preserve">- </w:t>
      </w:r>
      <w:r w:rsidRPr="006368D9">
        <w:rPr>
          <w:rFonts w:cs="Arial"/>
          <w:bCs/>
        </w:rPr>
        <w:t>Fotovoltaická</w:t>
      </w:r>
      <w:proofErr w:type="gramEnd"/>
      <w:r w:rsidRPr="006368D9">
        <w:rPr>
          <w:rFonts w:cs="Arial"/>
          <w:bCs/>
        </w:rPr>
        <w:t xml:space="preserve"> elektrárna - </w:t>
      </w:r>
      <w:r>
        <w:rPr>
          <w:rFonts w:cs="Arial"/>
          <w:bCs/>
        </w:rPr>
        <w:t>Výluka</w:t>
      </w:r>
      <w:r w:rsidRPr="006368D9">
        <w:rPr>
          <w:rFonts w:cs="Arial"/>
          <w:bCs/>
        </w:rPr>
        <w:t xml:space="preserve"> </w:t>
      </w:r>
      <w:r w:rsidRPr="006368D9">
        <w:rPr>
          <w:rFonts w:cs="Arial"/>
        </w:rPr>
        <w:t>(1401)</w:t>
      </w:r>
      <w:r w:rsidRPr="006368D9">
        <w:rPr>
          <w:rFonts w:cs="Arial"/>
          <w:bCs/>
        </w:rPr>
        <w:t xml:space="preserve"> </w:t>
      </w:r>
    </w:p>
    <w:p w14:paraId="20290E93" w14:textId="5979BBFF" w:rsidR="004F5229" w:rsidRDefault="004F5229" w:rsidP="00187DBF">
      <w:pPr>
        <w:ind w:left="426"/>
        <w:rPr>
          <w:rFonts w:cs="Arial"/>
          <w:bCs/>
          <w:szCs w:val="20"/>
        </w:rPr>
      </w:pPr>
      <w:proofErr w:type="gramStart"/>
      <w:r w:rsidRPr="006368D9">
        <w:rPr>
          <w:rFonts w:cs="Arial"/>
          <w:bCs/>
          <w:szCs w:val="20"/>
        </w:rPr>
        <w:t xml:space="preserve">DZ113 - </w:t>
      </w:r>
      <w:r w:rsidRPr="006368D9">
        <w:rPr>
          <w:szCs w:val="20"/>
        </w:rPr>
        <w:t>Atmosférické</w:t>
      </w:r>
      <w:proofErr w:type="gramEnd"/>
      <w:r w:rsidRPr="006368D9">
        <w:rPr>
          <w:szCs w:val="20"/>
        </w:rPr>
        <w:t xml:space="preserve"> srážky</w:t>
      </w:r>
      <w:r w:rsidR="006A1784">
        <w:rPr>
          <w:szCs w:val="20"/>
        </w:rPr>
        <w:t xml:space="preserve"> </w:t>
      </w:r>
      <w:r w:rsidRPr="006368D9">
        <w:rPr>
          <w:szCs w:val="20"/>
        </w:rPr>
        <w:t xml:space="preserve">- Rozšíření rozsahu pojištění </w:t>
      </w:r>
      <w:r w:rsidRPr="006368D9">
        <w:rPr>
          <w:rFonts w:cs="Arial"/>
          <w:szCs w:val="20"/>
        </w:rPr>
        <w:t>(1401)</w:t>
      </w:r>
      <w:r w:rsidRPr="006368D9">
        <w:rPr>
          <w:rFonts w:cs="Arial"/>
          <w:bCs/>
          <w:szCs w:val="20"/>
        </w:rPr>
        <w:t xml:space="preserve"> </w:t>
      </w:r>
    </w:p>
    <w:p w14:paraId="6400BCE8" w14:textId="1EF96FE3" w:rsidR="00317486" w:rsidRPr="00AC0C71" w:rsidRDefault="00317486" w:rsidP="00BE429E">
      <w:pPr>
        <w:spacing w:after="120"/>
        <w:ind w:left="426"/>
        <w:rPr>
          <w:szCs w:val="20"/>
        </w:rPr>
      </w:pPr>
      <w:proofErr w:type="gramStart"/>
      <w:r w:rsidRPr="00B8288C">
        <w:rPr>
          <w:szCs w:val="20"/>
        </w:rPr>
        <w:t>DZ114 -</w:t>
      </w:r>
      <w:r w:rsidR="00BE429E" w:rsidRPr="00B8288C">
        <w:rPr>
          <w:szCs w:val="20"/>
        </w:rPr>
        <w:t xml:space="preserve"> </w:t>
      </w:r>
      <w:r w:rsidRPr="00B8288C">
        <w:rPr>
          <w:szCs w:val="20"/>
        </w:rPr>
        <w:t>Nepřímý</w:t>
      </w:r>
      <w:proofErr w:type="gramEnd"/>
      <w:r w:rsidRPr="00B8288C">
        <w:rPr>
          <w:szCs w:val="20"/>
        </w:rPr>
        <w:t xml:space="preserve"> úder blesku - Rozšíření rozsahu pojištění (1404)</w:t>
      </w:r>
    </w:p>
    <w:p w14:paraId="24FEFF9A" w14:textId="7BC3EC30" w:rsidR="004F5229" w:rsidRPr="006368D9" w:rsidRDefault="004F5229" w:rsidP="00187DBF">
      <w:pPr>
        <w:keepNext/>
        <w:spacing w:before="120"/>
        <w:ind w:left="426"/>
        <w:rPr>
          <w:rFonts w:cs="Arial"/>
          <w:b/>
        </w:rPr>
      </w:pPr>
      <w:r w:rsidRPr="006368D9">
        <w:rPr>
          <w:rFonts w:cs="Arial"/>
          <w:b/>
        </w:rPr>
        <w:t>Zabezpečení</w:t>
      </w:r>
    </w:p>
    <w:p w14:paraId="2FAC6D6B" w14:textId="77777777" w:rsidR="00BB2025" w:rsidRPr="006368D9" w:rsidRDefault="004F5229" w:rsidP="00BB2025">
      <w:pPr>
        <w:tabs>
          <w:tab w:val="left" w:pos="426"/>
          <w:tab w:val="left" w:pos="1276"/>
        </w:tabs>
        <w:ind w:left="426" w:hanging="1729"/>
        <w:rPr>
          <w:rFonts w:cs="Arial"/>
          <w:b/>
          <w:bCs/>
          <w:color w:val="FF00FF"/>
          <w:szCs w:val="20"/>
        </w:rPr>
      </w:pPr>
      <w:r>
        <w:rPr>
          <w:rFonts w:cs="Arial"/>
          <w:b/>
          <w:bCs/>
          <w:color w:val="FF00FF"/>
          <w:szCs w:val="20"/>
        </w:rPr>
        <w:tab/>
      </w:r>
      <w:proofErr w:type="gramStart"/>
      <w:r w:rsidR="00BB2025" w:rsidRPr="006368D9">
        <w:rPr>
          <w:rFonts w:cs="Arial"/>
          <w:bCs/>
          <w:szCs w:val="20"/>
        </w:rPr>
        <w:t>DOZ101 - Předepsané</w:t>
      </w:r>
      <w:proofErr w:type="gramEnd"/>
      <w:r w:rsidR="00BB2025" w:rsidRPr="006368D9">
        <w:rPr>
          <w:rFonts w:cs="Arial"/>
          <w:bCs/>
          <w:szCs w:val="20"/>
        </w:rPr>
        <w:t xml:space="preserve"> způsoby zabezpečení pojištěných věcí (netýká se finančních prostředků a cenných předmětů) (1401)</w:t>
      </w:r>
    </w:p>
    <w:p w14:paraId="04EE7006" w14:textId="77777777" w:rsidR="00BB2025" w:rsidRDefault="00BB2025" w:rsidP="00BB2025">
      <w:pPr>
        <w:ind w:left="426"/>
        <w:rPr>
          <w:rFonts w:cs="Arial"/>
          <w:bCs/>
          <w:szCs w:val="20"/>
        </w:rPr>
      </w:pPr>
      <w:proofErr w:type="gramStart"/>
      <w:r w:rsidRPr="006368D9">
        <w:rPr>
          <w:rFonts w:cs="Arial"/>
          <w:bCs/>
          <w:szCs w:val="20"/>
        </w:rPr>
        <w:t>DOZ105 - Předepsané</w:t>
      </w:r>
      <w:proofErr w:type="gramEnd"/>
      <w:r w:rsidRPr="006368D9">
        <w:rPr>
          <w:rFonts w:cs="Arial"/>
          <w:bCs/>
          <w:szCs w:val="20"/>
        </w:rPr>
        <w:t xml:space="preserve"> způsoby zabezpečení - Výklad pojmů (1401)</w:t>
      </w:r>
    </w:p>
    <w:p w14:paraId="539F647C" w14:textId="55352F92" w:rsidR="004F5229" w:rsidRPr="006368D9" w:rsidRDefault="004F5229" w:rsidP="003808EA">
      <w:pPr>
        <w:tabs>
          <w:tab w:val="left" w:pos="426"/>
          <w:tab w:val="left" w:pos="1276"/>
        </w:tabs>
        <w:spacing w:before="120"/>
        <w:ind w:left="425" w:firstLine="1"/>
        <w:rPr>
          <w:rFonts w:cs="Arial"/>
          <w:b/>
          <w:szCs w:val="20"/>
        </w:rPr>
      </w:pPr>
      <w:r w:rsidRPr="006368D9">
        <w:rPr>
          <w:rFonts w:cs="Arial"/>
          <w:b/>
          <w:szCs w:val="20"/>
        </w:rPr>
        <w:t>Obecné</w:t>
      </w:r>
    </w:p>
    <w:p w14:paraId="00FFDDD7" w14:textId="77777777" w:rsidR="00E300E2" w:rsidRPr="006368D9" w:rsidRDefault="00E300E2" w:rsidP="00E300E2">
      <w:pPr>
        <w:ind w:left="426"/>
        <w:rPr>
          <w:rFonts w:cs="Arial"/>
          <w:szCs w:val="20"/>
        </w:rPr>
      </w:pPr>
      <w:proofErr w:type="gramStart"/>
      <w:r w:rsidRPr="006368D9">
        <w:rPr>
          <w:rFonts w:cs="Arial"/>
          <w:szCs w:val="20"/>
        </w:rPr>
        <w:t>DOB10</w:t>
      </w:r>
      <w:r>
        <w:rPr>
          <w:rFonts w:cs="Arial"/>
          <w:szCs w:val="20"/>
        </w:rPr>
        <w:t>1</w:t>
      </w:r>
      <w:r w:rsidRPr="006368D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-</w:t>
      </w:r>
      <w:r w:rsidRPr="006368D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Elektronická</w:t>
      </w:r>
      <w:proofErr w:type="gramEnd"/>
      <w:r>
        <w:rPr>
          <w:rFonts w:cs="Arial"/>
          <w:szCs w:val="20"/>
        </w:rPr>
        <w:t xml:space="preserve"> rizika - Výluka</w:t>
      </w:r>
      <w:r w:rsidRPr="006368D9">
        <w:rPr>
          <w:rFonts w:cs="Arial"/>
          <w:szCs w:val="20"/>
        </w:rPr>
        <w:t xml:space="preserve"> (1401)</w:t>
      </w:r>
    </w:p>
    <w:p w14:paraId="72EE290A" w14:textId="77777777" w:rsidR="00E300E2" w:rsidRPr="006368D9" w:rsidRDefault="00E300E2" w:rsidP="00E300E2">
      <w:pPr>
        <w:ind w:left="426"/>
        <w:rPr>
          <w:rFonts w:cs="Arial"/>
          <w:szCs w:val="20"/>
        </w:rPr>
      </w:pPr>
      <w:proofErr w:type="gramStart"/>
      <w:r w:rsidRPr="006368D9">
        <w:rPr>
          <w:rFonts w:cs="Arial"/>
          <w:szCs w:val="20"/>
        </w:rPr>
        <w:t>DOB103 - Výklad</w:t>
      </w:r>
      <w:proofErr w:type="gramEnd"/>
      <w:r w:rsidRPr="006368D9">
        <w:rPr>
          <w:rFonts w:cs="Arial"/>
          <w:szCs w:val="20"/>
        </w:rPr>
        <w:t xml:space="preserve"> pojmů pro účely pojistné smlouvy (1401)</w:t>
      </w:r>
    </w:p>
    <w:p w14:paraId="35A95DB8" w14:textId="77777777" w:rsidR="00E300E2" w:rsidRPr="006368D9" w:rsidRDefault="00E300E2" w:rsidP="00E300E2">
      <w:pPr>
        <w:ind w:left="426"/>
        <w:rPr>
          <w:rFonts w:cs="Arial"/>
          <w:szCs w:val="20"/>
        </w:rPr>
      </w:pPr>
      <w:proofErr w:type="gramStart"/>
      <w:r w:rsidRPr="006368D9">
        <w:rPr>
          <w:rFonts w:cs="Arial"/>
          <w:szCs w:val="20"/>
        </w:rPr>
        <w:t>DOB104 - Demolice</w:t>
      </w:r>
      <w:proofErr w:type="gramEnd"/>
      <w:r w:rsidRPr="006368D9">
        <w:rPr>
          <w:rFonts w:cs="Arial"/>
          <w:szCs w:val="20"/>
        </w:rPr>
        <w:t>, suť - Rozšíření pojistného plnění (1401)</w:t>
      </w:r>
    </w:p>
    <w:p w14:paraId="3D7D2F3D" w14:textId="77777777" w:rsidR="00E300E2" w:rsidRPr="006368D9" w:rsidRDefault="00E300E2" w:rsidP="00E300E2">
      <w:pPr>
        <w:ind w:left="426"/>
        <w:rPr>
          <w:rFonts w:cs="Arial"/>
          <w:szCs w:val="20"/>
        </w:rPr>
      </w:pPr>
      <w:proofErr w:type="gramStart"/>
      <w:r w:rsidRPr="006368D9">
        <w:rPr>
          <w:rFonts w:cs="Arial"/>
          <w:szCs w:val="20"/>
        </w:rPr>
        <w:t>DOB105 - Tíha</w:t>
      </w:r>
      <w:proofErr w:type="gramEnd"/>
      <w:r w:rsidRPr="006368D9">
        <w:rPr>
          <w:rFonts w:cs="Arial"/>
          <w:szCs w:val="20"/>
        </w:rPr>
        <w:t xml:space="preserve"> sněhu, námraza - Vymezení podmínek (1401)</w:t>
      </w:r>
      <w:r w:rsidRPr="006368D9">
        <w:rPr>
          <w:rFonts w:cs="Arial"/>
          <w:b/>
          <w:color w:val="FF00FF"/>
          <w:szCs w:val="20"/>
        </w:rPr>
        <w:t xml:space="preserve"> </w:t>
      </w:r>
    </w:p>
    <w:p w14:paraId="068A175F" w14:textId="77777777" w:rsidR="00E300E2" w:rsidRPr="006368D9" w:rsidRDefault="00E300E2" w:rsidP="00E300E2">
      <w:pPr>
        <w:tabs>
          <w:tab w:val="left" w:pos="426"/>
        </w:tabs>
        <w:ind w:left="426"/>
        <w:rPr>
          <w:rFonts w:cs="Arial"/>
          <w:b/>
          <w:bCs/>
          <w:color w:val="FF00FF"/>
          <w:szCs w:val="20"/>
        </w:rPr>
      </w:pPr>
      <w:proofErr w:type="gramStart"/>
      <w:r>
        <w:rPr>
          <w:rFonts w:cs="Arial"/>
          <w:bCs/>
          <w:szCs w:val="20"/>
        </w:rPr>
        <w:t>D</w:t>
      </w:r>
      <w:r w:rsidRPr="006368D9">
        <w:rPr>
          <w:rFonts w:cs="Arial"/>
          <w:bCs/>
          <w:szCs w:val="20"/>
        </w:rPr>
        <w:t>OB107 - Definice</w:t>
      </w:r>
      <w:proofErr w:type="gramEnd"/>
      <w:r w:rsidRPr="006368D9">
        <w:rPr>
          <w:rFonts w:cs="Arial"/>
          <w:bCs/>
          <w:szCs w:val="20"/>
        </w:rPr>
        <w:t xml:space="preserve"> jedné pojistné události pro pojistná nebezpečí povodeň, záplava, </w:t>
      </w:r>
      <w:r>
        <w:rPr>
          <w:rFonts w:cs="Arial"/>
          <w:bCs/>
          <w:szCs w:val="20"/>
        </w:rPr>
        <w:t xml:space="preserve">vichřice, </w:t>
      </w:r>
      <w:r w:rsidRPr="006368D9">
        <w:rPr>
          <w:rFonts w:cs="Arial"/>
          <w:bCs/>
          <w:szCs w:val="20"/>
        </w:rPr>
        <w:t>krupobití (1401)</w:t>
      </w:r>
    </w:p>
    <w:p w14:paraId="2D39839A" w14:textId="396113B2" w:rsidR="00C125FC" w:rsidRPr="009558F1" w:rsidRDefault="00C125FC" w:rsidP="00C125FC">
      <w:pPr>
        <w:keepNext/>
        <w:spacing w:before="120"/>
        <w:ind w:left="426"/>
        <w:rPr>
          <w:szCs w:val="20"/>
        </w:rPr>
      </w:pPr>
      <w:r w:rsidRPr="009558F1">
        <w:rPr>
          <w:b/>
          <w:szCs w:val="20"/>
        </w:rPr>
        <w:t>Jiné</w:t>
      </w:r>
    </w:p>
    <w:p w14:paraId="127A6D43" w14:textId="77777777" w:rsidR="00C125FC" w:rsidRPr="009558F1" w:rsidRDefault="00C125FC" w:rsidP="00C125FC">
      <w:pPr>
        <w:keepLines/>
        <w:ind w:left="426"/>
        <w:rPr>
          <w:szCs w:val="20"/>
        </w:rPr>
      </w:pPr>
      <w:proofErr w:type="gramStart"/>
      <w:r w:rsidRPr="009558F1">
        <w:rPr>
          <w:szCs w:val="20"/>
        </w:rPr>
        <w:t>DODC101</w:t>
      </w:r>
      <w:r>
        <w:rPr>
          <w:szCs w:val="20"/>
        </w:rPr>
        <w:t xml:space="preserve"> </w:t>
      </w:r>
      <w:r w:rsidRPr="009558F1">
        <w:rPr>
          <w:szCs w:val="20"/>
        </w:rPr>
        <w:t>-</w:t>
      </w:r>
      <w:r>
        <w:rPr>
          <w:szCs w:val="20"/>
        </w:rPr>
        <w:t xml:space="preserve"> </w:t>
      </w:r>
      <w:r w:rsidRPr="009558F1">
        <w:rPr>
          <w:szCs w:val="20"/>
        </w:rPr>
        <w:t>Poškození</w:t>
      </w:r>
      <w:proofErr w:type="gramEnd"/>
      <w:r w:rsidRPr="009558F1">
        <w:rPr>
          <w:szCs w:val="20"/>
        </w:rPr>
        <w:t xml:space="preserve"> vnějšího kontaktního zateplovacího systému (zateplení fasády) ptactvem, hmyzem a hlodavci - Rozšíření rozsahu pojištění (1401)</w:t>
      </w:r>
    </w:p>
    <w:p w14:paraId="7DBE4D4C" w14:textId="77777777" w:rsidR="00C125FC" w:rsidRPr="009558F1" w:rsidRDefault="00C125FC" w:rsidP="00C125FC">
      <w:pPr>
        <w:ind w:left="426"/>
        <w:rPr>
          <w:szCs w:val="20"/>
        </w:rPr>
      </w:pPr>
      <w:proofErr w:type="gramStart"/>
      <w:r w:rsidRPr="009558F1">
        <w:rPr>
          <w:szCs w:val="20"/>
        </w:rPr>
        <w:t>DODC102</w:t>
      </w:r>
      <w:r>
        <w:rPr>
          <w:szCs w:val="20"/>
        </w:rPr>
        <w:t xml:space="preserve"> </w:t>
      </w:r>
      <w:r w:rsidRPr="009558F1">
        <w:rPr>
          <w:szCs w:val="20"/>
        </w:rPr>
        <w:t>-</w:t>
      </w:r>
      <w:r>
        <w:rPr>
          <w:szCs w:val="20"/>
        </w:rPr>
        <w:t xml:space="preserve"> </w:t>
      </w:r>
      <w:r w:rsidRPr="009558F1">
        <w:rPr>
          <w:szCs w:val="20"/>
        </w:rPr>
        <w:t>Malby</w:t>
      </w:r>
      <w:proofErr w:type="gramEnd"/>
      <w:r w:rsidRPr="009558F1">
        <w:rPr>
          <w:szCs w:val="20"/>
        </w:rPr>
        <w:t>, nástřiky nebo polepení - Rozšíření rozsahu pojištění (1401)</w:t>
      </w:r>
    </w:p>
    <w:p w14:paraId="19FE63B1" w14:textId="77777777" w:rsidR="004F5229" w:rsidRDefault="004F5229" w:rsidP="00187DBF">
      <w:pPr>
        <w:keepNext/>
        <w:ind w:left="391" w:firstLine="318"/>
        <w:jc w:val="center"/>
        <w:rPr>
          <w:rFonts w:cs="Arial"/>
          <w:b/>
        </w:rPr>
      </w:pPr>
    </w:p>
    <w:p w14:paraId="029ED076" w14:textId="77777777" w:rsidR="00C94D66" w:rsidRDefault="009B22B4" w:rsidP="00C94D66">
      <w:pPr>
        <w:jc w:val="center"/>
        <w:rPr>
          <w:b/>
          <w:bCs/>
          <w:sz w:val="24"/>
        </w:rPr>
      </w:pPr>
      <w:r w:rsidRPr="00C94D66">
        <w:rPr>
          <w:rFonts w:cs="Arial"/>
          <w:b/>
          <w:sz w:val="24"/>
        </w:rPr>
        <w:t>Článek II.</w:t>
      </w:r>
      <w:r w:rsidR="00F425A6" w:rsidRPr="00C94D66">
        <w:rPr>
          <w:rFonts w:cs="Arial"/>
          <w:b/>
          <w:sz w:val="24"/>
        </w:rPr>
        <w:br/>
      </w:r>
      <w:r w:rsidR="00C94D66" w:rsidRPr="006368D9">
        <w:rPr>
          <w:b/>
          <w:bCs/>
          <w:sz w:val="24"/>
        </w:rPr>
        <w:t>Druhy a způsoby pojištění, předměty a rozsah pojištění</w:t>
      </w:r>
    </w:p>
    <w:p w14:paraId="735329C6" w14:textId="77777777" w:rsidR="00C94D66" w:rsidRPr="006368D9" w:rsidRDefault="00C94D66" w:rsidP="00C94D66">
      <w:pPr>
        <w:keepNext/>
        <w:numPr>
          <w:ilvl w:val="0"/>
          <w:numId w:val="14"/>
        </w:numPr>
        <w:spacing w:before="120"/>
        <w:ind w:left="391" w:hanging="391"/>
        <w:jc w:val="left"/>
        <w:rPr>
          <w:rFonts w:cs="Arial"/>
          <w:b/>
        </w:rPr>
      </w:pPr>
      <w:r w:rsidRPr="006368D9">
        <w:rPr>
          <w:rFonts w:cs="Arial"/>
          <w:b/>
        </w:rPr>
        <w:t xml:space="preserve">Obecná ujednání pro pojištění majetku </w:t>
      </w:r>
    </w:p>
    <w:p w14:paraId="622897A4" w14:textId="77777777" w:rsidR="004F5229" w:rsidRPr="006368D9" w:rsidRDefault="004F5229" w:rsidP="00292218">
      <w:pPr>
        <w:numPr>
          <w:ilvl w:val="1"/>
          <w:numId w:val="13"/>
        </w:numPr>
        <w:tabs>
          <w:tab w:val="clear" w:pos="360"/>
        </w:tabs>
        <w:spacing w:before="120"/>
        <w:ind w:left="425" w:hanging="425"/>
        <w:rPr>
          <w:rFonts w:cs="Arial"/>
          <w:b/>
        </w:rPr>
      </w:pPr>
      <w:r w:rsidRPr="006368D9">
        <w:rPr>
          <w:rFonts w:cs="Arial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14:paraId="4A4E5A2D" w14:textId="77777777" w:rsidR="004F5229" w:rsidRPr="006368D9" w:rsidRDefault="004F5229" w:rsidP="00292218">
      <w:pPr>
        <w:numPr>
          <w:ilvl w:val="1"/>
          <w:numId w:val="13"/>
        </w:numPr>
        <w:tabs>
          <w:tab w:val="clear" w:pos="360"/>
        </w:tabs>
        <w:spacing w:before="120"/>
        <w:ind w:left="426" w:hanging="426"/>
        <w:rPr>
          <w:rFonts w:cs="Arial"/>
        </w:rPr>
      </w:pPr>
      <w:r w:rsidRPr="006368D9">
        <w:rPr>
          <w:rFonts w:cs="Arial"/>
        </w:rPr>
        <w:t xml:space="preserve">Pro pojištění majetku je místem pojištění </w:t>
      </w:r>
    </w:p>
    <w:p w14:paraId="42A8FD9A" w14:textId="27FD8234" w:rsidR="00A1451B" w:rsidRDefault="00E36EFE" w:rsidP="00A1451B">
      <w:pPr>
        <w:spacing w:before="60"/>
        <w:ind w:firstLine="425"/>
        <w:rPr>
          <w:rFonts w:cs="Arial"/>
          <w:b/>
          <w:u w:val="dotted"/>
        </w:rPr>
      </w:pPr>
      <w:r>
        <w:rPr>
          <w:rFonts w:cs="Arial"/>
          <w:b/>
          <w:u w:val="dotted"/>
        </w:rPr>
        <w:t>d</w:t>
      </w:r>
      <w:r w:rsidR="00A1451B">
        <w:rPr>
          <w:rFonts w:cs="Arial"/>
          <w:b/>
          <w:u w:val="dotted"/>
        </w:rPr>
        <w:t>le přílohy č.2 pojistné smlouvy</w:t>
      </w:r>
    </w:p>
    <w:p w14:paraId="7E253FA2" w14:textId="0EC92053" w:rsidR="00A1451B" w:rsidRDefault="00E36EFE" w:rsidP="00A1451B">
      <w:pPr>
        <w:ind w:firstLine="426"/>
        <w:rPr>
          <w:rFonts w:cs="Arial"/>
          <w:b/>
          <w:u w:val="dotted"/>
        </w:rPr>
      </w:pPr>
      <w:r>
        <w:rPr>
          <w:rFonts w:cs="Arial"/>
          <w:b/>
          <w:u w:val="dotted"/>
        </w:rPr>
        <w:t>d</w:t>
      </w:r>
      <w:r w:rsidR="00A1451B">
        <w:rPr>
          <w:rFonts w:cs="Arial"/>
          <w:b/>
          <w:u w:val="dotted"/>
        </w:rPr>
        <w:t>le přílohy č.3 pojistné smlouvy</w:t>
      </w:r>
    </w:p>
    <w:p w14:paraId="3AE643E5" w14:textId="124256F2" w:rsidR="004F5229" w:rsidRPr="00BC0E00" w:rsidRDefault="004F5229" w:rsidP="00292218">
      <w:pPr>
        <w:ind w:firstLine="426"/>
        <w:rPr>
          <w:rFonts w:cs="Arial"/>
        </w:rPr>
      </w:pPr>
      <w:r w:rsidRPr="00BC0E00">
        <w:rPr>
          <w:rFonts w:cs="Arial"/>
          <w:b/>
          <w:u w:val="dotted"/>
        </w:rPr>
        <w:t>Katastrální území města Brna</w:t>
      </w:r>
      <w:r w:rsidR="007B5782">
        <w:rPr>
          <w:rFonts w:cs="Arial"/>
          <w:b/>
          <w:u w:val="dotted"/>
        </w:rPr>
        <w:t xml:space="preserve"> s působností</w:t>
      </w:r>
      <w:r w:rsidRPr="00BC0E00">
        <w:rPr>
          <w:rFonts w:cs="Arial"/>
          <w:b/>
          <w:u w:val="dotted"/>
        </w:rPr>
        <w:t xml:space="preserve"> Městské části Brno-sever</w:t>
      </w:r>
      <w:r w:rsidRPr="00BC0E00">
        <w:rPr>
          <w:rFonts w:cs="Arial"/>
        </w:rPr>
        <w:t>,</w:t>
      </w:r>
    </w:p>
    <w:p w14:paraId="2EC76FF9" w14:textId="0B50558A" w:rsidR="004F5229" w:rsidRDefault="004F5229" w:rsidP="00E36EFE">
      <w:pPr>
        <w:spacing w:before="60"/>
        <w:ind w:left="709" w:hanging="284"/>
        <w:rPr>
          <w:rFonts w:cs="Arial"/>
        </w:rPr>
      </w:pPr>
      <w:r w:rsidRPr="006368D9">
        <w:rPr>
          <w:rFonts w:cs="Arial"/>
        </w:rPr>
        <w:t>není-li dále uvedeno jinak.</w:t>
      </w:r>
    </w:p>
    <w:p w14:paraId="23EE5797" w14:textId="09A30823" w:rsidR="00292218" w:rsidRDefault="00292218" w:rsidP="00292218">
      <w:pPr>
        <w:ind w:left="709" w:hanging="283"/>
        <w:rPr>
          <w:rFonts w:cs="Arial"/>
        </w:rPr>
      </w:pPr>
    </w:p>
    <w:p w14:paraId="4E7BD6BE" w14:textId="7FEA216B" w:rsidR="00292218" w:rsidRDefault="00292218" w:rsidP="00292218">
      <w:pPr>
        <w:ind w:left="709" w:hanging="283"/>
        <w:rPr>
          <w:rFonts w:cs="Arial"/>
        </w:rPr>
      </w:pPr>
    </w:p>
    <w:p w14:paraId="0BDA8342" w14:textId="77777777" w:rsidR="002509ED" w:rsidRPr="00AC0C71" w:rsidRDefault="002509ED" w:rsidP="002509ED">
      <w:pPr>
        <w:pStyle w:val="slovn-rove1"/>
      </w:pPr>
      <w:r w:rsidRPr="00AC0C71">
        <w:lastRenderedPageBreak/>
        <w:t>Přehled sjednaných pojištění</w:t>
      </w:r>
    </w:p>
    <w:p w14:paraId="290B0093" w14:textId="30B700B4" w:rsidR="002509ED" w:rsidRPr="00AC0C71" w:rsidRDefault="002509ED" w:rsidP="002509ED">
      <w:pPr>
        <w:keepLines/>
        <w:spacing w:after="120"/>
      </w:pPr>
      <w:r w:rsidRPr="00AC0C71">
        <w:t>Pojištění se sjednává pro předměty pojištění v rozsahu a na místech pojištění uvedených v následujících tabulkách:</w:t>
      </w:r>
    </w:p>
    <w:p w14:paraId="583721D3" w14:textId="77777777" w:rsidR="00292218" w:rsidRPr="006368D9" w:rsidRDefault="00292218" w:rsidP="006019F9">
      <w:pPr>
        <w:keepNext/>
        <w:spacing w:before="120"/>
        <w:ind w:left="567" w:hanging="567"/>
        <w:rPr>
          <w:b/>
          <w:szCs w:val="20"/>
        </w:rPr>
      </w:pPr>
      <w:r w:rsidRPr="006368D9">
        <w:rPr>
          <w:b/>
          <w:szCs w:val="20"/>
        </w:rPr>
        <w:t>2.</w:t>
      </w:r>
      <w:r>
        <w:rPr>
          <w:b/>
          <w:szCs w:val="20"/>
        </w:rPr>
        <w:t>1</w:t>
      </w:r>
      <w:r w:rsidRPr="006368D9">
        <w:rPr>
          <w:b/>
          <w:szCs w:val="20"/>
        </w:rPr>
        <w:t>.1</w:t>
      </w:r>
      <w:r>
        <w:rPr>
          <w:b/>
          <w:szCs w:val="20"/>
        </w:rPr>
        <w:tab/>
      </w:r>
      <w:r w:rsidRPr="006368D9">
        <w:rPr>
          <w:b/>
          <w:szCs w:val="20"/>
        </w:rPr>
        <w:t>Živelní pojištění</w:t>
      </w:r>
    </w:p>
    <w:tbl>
      <w:tblPr>
        <w:tblStyle w:val="Mkatabulky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1247"/>
        <w:gridCol w:w="1276"/>
        <w:gridCol w:w="1418"/>
        <w:gridCol w:w="1275"/>
      </w:tblGrid>
      <w:tr w:rsidR="00292218" w:rsidRPr="006368D9" w14:paraId="2B32E3A2" w14:textId="77777777" w:rsidTr="00C6100C">
        <w:tc>
          <w:tcPr>
            <w:tcW w:w="9752" w:type="dxa"/>
            <w:gridSpan w:val="7"/>
          </w:tcPr>
          <w:p w14:paraId="56197F3B" w14:textId="77777777" w:rsidR="00292218" w:rsidRPr="006368D9" w:rsidRDefault="00292218" w:rsidP="00DB0387">
            <w:pPr>
              <w:rPr>
                <w:b/>
                <w:szCs w:val="20"/>
              </w:rPr>
            </w:pPr>
            <w:r w:rsidRPr="006368D9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 w:rsidRPr="000F06FB">
              <w:rPr>
                <w:szCs w:val="20"/>
              </w:rPr>
              <w:t>dle přílohy číslo 2 pojistné smlouvy</w:t>
            </w:r>
          </w:p>
        </w:tc>
      </w:tr>
      <w:tr w:rsidR="00292218" w:rsidRPr="006368D9" w14:paraId="5411B16B" w14:textId="77777777" w:rsidTr="00C6100C">
        <w:tc>
          <w:tcPr>
            <w:tcW w:w="9752" w:type="dxa"/>
            <w:gridSpan w:val="7"/>
          </w:tcPr>
          <w:p w14:paraId="5A539897" w14:textId="77777777" w:rsidR="00292218" w:rsidRPr="00CA248D" w:rsidRDefault="00292218" w:rsidP="00DB0387">
            <w:pPr>
              <w:rPr>
                <w:szCs w:val="20"/>
              </w:rPr>
            </w:pPr>
            <w:r w:rsidRPr="006368D9">
              <w:rPr>
                <w:b/>
                <w:szCs w:val="20"/>
              </w:rPr>
              <w:t>Rozsah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sdružený živel vyjma pojistného nebezpečí „povodeň nebo záplava“</w:t>
            </w:r>
          </w:p>
        </w:tc>
      </w:tr>
      <w:tr w:rsidR="00292218" w:rsidRPr="006368D9" w14:paraId="62C83C7D" w14:textId="77777777" w:rsidTr="00C6100C">
        <w:tc>
          <w:tcPr>
            <w:tcW w:w="9752" w:type="dxa"/>
            <w:gridSpan w:val="7"/>
          </w:tcPr>
          <w:p w14:paraId="45D04A89" w14:textId="2C110D59" w:rsidR="00292218" w:rsidRPr="006368D9" w:rsidRDefault="00292218" w:rsidP="00DB0387">
            <w:pPr>
              <w:rPr>
                <w:szCs w:val="20"/>
              </w:rPr>
            </w:pPr>
            <w:r w:rsidRPr="006368D9">
              <w:rPr>
                <w:b/>
                <w:szCs w:val="20"/>
              </w:rPr>
              <w:t>Pojištění se řídí:</w:t>
            </w:r>
            <w:r w:rsidRPr="006368D9">
              <w:rPr>
                <w:szCs w:val="20"/>
              </w:rPr>
              <w:t xml:space="preserve"> VPP P-100/14, ZPP P-150/14 a doložkami </w:t>
            </w:r>
            <w:r w:rsidRPr="00BE0CEB">
              <w:rPr>
                <w:szCs w:val="20"/>
              </w:rPr>
              <w:t xml:space="preserve">DOB101, </w:t>
            </w:r>
            <w:r>
              <w:rPr>
                <w:szCs w:val="20"/>
              </w:rPr>
              <w:t>DOB10</w:t>
            </w:r>
            <w:r w:rsidRPr="00BE0CEB">
              <w:rPr>
                <w:szCs w:val="20"/>
              </w:rPr>
              <w:t xml:space="preserve">3, </w:t>
            </w:r>
            <w:r>
              <w:rPr>
                <w:szCs w:val="20"/>
              </w:rPr>
              <w:t>DOB10</w:t>
            </w:r>
            <w:r w:rsidRPr="00BE0CEB">
              <w:rPr>
                <w:szCs w:val="20"/>
              </w:rPr>
              <w:t xml:space="preserve">4, </w:t>
            </w:r>
            <w:r>
              <w:rPr>
                <w:szCs w:val="20"/>
              </w:rPr>
              <w:t>DOB10</w:t>
            </w:r>
            <w:r w:rsidRPr="00BE0CEB">
              <w:rPr>
                <w:szCs w:val="20"/>
              </w:rPr>
              <w:t xml:space="preserve">5, </w:t>
            </w:r>
            <w:r>
              <w:rPr>
                <w:szCs w:val="20"/>
              </w:rPr>
              <w:t>DOB10</w:t>
            </w:r>
            <w:r w:rsidRPr="00BE0CEB">
              <w:rPr>
                <w:szCs w:val="20"/>
              </w:rPr>
              <w:t>7, DZ</w:t>
            </w:r>
            <w:r>
              <w:rPr>
                <w:szCs w:val="20"/>
              </w:rPr>
              <w:t>10</w:t>
            </w:r>
            <w:r w:rsidRPr="00BE0CEB">
              <w:rPr>
                <w:szCs w:val="20"/>
              </w:rPr>
              <w:t xml:space="preserve">1, </w:t>
            </w:r>
            <w:r>
              <w:rPr>
                <w:szCs w:val="20"/>
              </w:rPr>
              <w:t>DZ1</w:t>
            </w:r>
            <w:r w:rsidRPr="00BE0CEB">
              <w:rPr>
                <w:szCs w:val="20"/>
              </w:rPr>
              <w:t xml:space="preserve">12, </w:t>
            </w:r>
            <w:r w:rsidRPr="003B0B1C">
              <w:rPr>
                <w:szCs w:val="20"/>
              </w:rPr>
              <w:t>DZ113</w:t>
            </w:r>
            <w:r w:rsidR="001F203B" w:rsidRPr="003B0B1C">
              <w:rPr>
                <w:szCs w:val="20"/>
              </w:rPr>
              <w:t>, DZ114</w:t>
            </w:r>
          </w:p>
        </w:tc>
      </w:tr>
      <w:tr w:rsidR="00341375" w:rsidRPr="006368D9" w14:paraId="5C2F16AF" w14:textId="77777777" w:rsidTr="00384844">
        <w:tc>
          <w:tcPr>
            <w:tcW w:w="709" w:type="dxa"/>
            <w:vAlign w:val="center"/>
          </w:tcPr>
          <w:p w14:paraId="36C575A1" w14:textId="2FCD9CF8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proofErr w:type="spellStart"/>
            <w:r w:rsidRPr="00AC0C71">
              <w:rPr>
                <w:b/>
              </w:rPr>
              <w:t>Poř</w:t>
            </w:r>
            <w:proofErr w:type="spellEnd"/>
            <w:r w:rsidRPr="00AC0C71">
              <w:rPr>
                <w:b/>
              </w:rPr>
              <w:t>. číslo</w:t>
            </w:r>
          </w:p>
        </w:tc>
        <w:tc>
          <w:tcPr>
            <w:tcW w:w="1985" w:type="dxa"/>
            <w:vAlign w:val="center"/>
          </w:tcPr>
          <w:p w14:paraId="503E82BF" w14:textId="1DD43EC1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14:paraId="092AAA63" w14:textId="07C25276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247" w:type="dxa"/>
            <w:vAlign w:val="center"/>
          </w:tcPr>
          <w:p w14:paraId="44D75901" w14:textId="32B80A0F" w:rsidR="00341375" w:rsidRPr="006368D9" w:rsidRDefault="00341375" w:rsidP="00341375">
            <w:pPr>
              <w:ind w:left="-108" w:right="-108"/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147E4851" w14:textId="5126C5DA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*) 1)</w:t>
            </w:r>
          </w:p>
        </w:tc>
        <w:tc>
          <w:tcPr>
            <w:tcW w:w="1418" w:type="dxa"/>
            <w:vAlign w:val="center"/>
          </w:tcPr>
          <w:p w14:paraId="10C68B75" w14:textId="77777777" w:rsidR="00341375" w:rsidRPr="00AC0C71" w:rsidRDefault="00341375" w:rsidP="00341375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3069B182" w14:textId="2BE0CE03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14:paraId="61CBA2BD" w14:textId="0574BB2E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292218" w:rsidRPr="006368D9" w14:paraId="42889309" w14:textId="77777777" w:rsidTr="00384844">
        <w:tc>
          <w:tcPr>
            <w:tcW w:w="709" w:type="dxa"/>
            <w:vAlign w:val="center"/>
          </w:tcPr>
          <w:p w14:paraId="1586123E" w14:textId="77777777" w:rsidR="00292218" w:rsidRPr="006019F9" w:rsidRDefault="00292218" w:rsidP="00DB0387">
            <w:pPr>
              <w:jc w:val="center"/>
              <w:rPr>
                <w:bCs/>
                <w:szCs w:val="20"/>
              </w:rPr>
            </w:pPr>
            <w:r w:rsidRPr="006019F9">
              <w:rPr>
                <w:bCs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53767FC2" w14:textId="77777777" w:rsidR="00292218" w:rsidRPr="006019F9" w:rsidRDefault="00292218" w:rsidP="00DB0387">
            <w:pPr>
              <w:jc w:val="left"/>
              <w:rPr>
                <w:bCs/>
                <w:szCs w:val="20"/>
              </w:rPr>
            </w:pPr>
            <w:r w:rsidRPr="006019F9">
              <w:rPr>
                <w:bCs/>
                <w:szCs w:val="20"/>
              </w:rPr>
              <w:t>Vlastní nemovité objekty dle přílohy číslo 2</w:t>
            </w:r>
          </w:p>
        </w:tc>
        <w:tc>
          <w:tcPr>
            <w:tcW w:w="1842" w:type="dxa"/>
            <w:vAlign w:val="center"/>
          </w:tcPr>
          <w:p w14:paraId="041007E7" w14:textId="677753CC" w:rsidR="00292218" w:rsidRPr="00FA7E24" w:rsidRDefault="00593105" w:rsidP="00DB0387">
            <w:pPr>
              <w:jc w:val="right"/>
              <w:rPr>
                <w:bCs/>
                <w:szCs w:val="20"/>
              </w:rPr>
            </w:pPr>
            <w:r>
              <w:rPr>
                <w:bCs/>
                <w:szCs w:val="20"/>
              </w:rPr>
              <w:t>2 975 </w:t>
            </w:r>
            <w:r w:rsidR="00D82870">
              <w:rPr>
                <w:bCs/>
                <w:szCs w:val="20"/>
              </w:rPr>
              <w:t>872</w:t>
            </w:r>
            <w:r>
              <w:rPr>
                <w:bCs/>
                <w:szCs w:val="20"/>
              </w:rPr>
              <w:t xml:space="preserve"> </w:t>
            </w:r>
            <w:r w:rsidR="00A10E3D">
              <w:rPr>
                <w:bCs/>
                <w:szCs w:val="20"/>
              </w:rPr>
              <w:t>287</w:t>
            </w:r>
            <w:r w:rsidR="00292218" w:rsidRPr="00FA7E24">
              <w:rPr>
                <w:bCs/>
                <w:szCs w:val="20"/>
              </w:rPr>
              <w:t xml:space="preserve"> Kč</w:t>
            </w:r>
          </w:p>
        </w:tc>
        <w:tc>
          <w:tcPr>
            <w:tcW w:w="1247" w:type="dxa"/>
            <w:vAlign w:val="center"/>
          </w:tcPr>
          <w:p w14:paraId="760BD4E6" w14:textId="3455A217" w:rsidR="00292218" w:rsidRPr="00FA7E24" w:rsidRDefault="00292218" w:rsidP="00DB0387">
            <w:pPr>
              <w:jc w:val="center"/>
              <w:rPr>
                <w:szCs w:val="20"/>
              </w:rPr>
            </w:pPr>
            <w:r w:rsidRPr="00FA7E24">
              <w:rPr>
                <w:szCs w:val="20"/>
              </w:rPr>
              <w:t>1</w:t>
            </w:r>
            <w:r w:rsidR="005C705E" w:rsidRPr="00FA7E24">
              <w:rPr>
                <w:szCs w:val="20"/>
              </w:rPr>
              <w:t>0</w:t>
            </w:r>
            <w:r w:rsidRPr="00FA7E24">
              <w:rPr>
                <w:szCs w:val="20"/>
              </w:rPr>
              <w:t> 000 Kč</w:t>
            </w:r>
          </w:p>
        </w:tc>
        <w:tc>
          <w:tcPr>
            <w:tcW w:w="1276" w:type="dxa"/>
            <w:vAlign w:val="center"/>
          </w:tcPr>
          <w:p w14:paraId="3EF36D4C" w14:textId="77777777" w:rsidR="00292218" w:rsidRPr="00C05B04" w:rsidRDefault="00292218" w:rsidP="00DB0387">
            <w:pPr>
              <w:jc w:val="center"/>
              <w:rPr>
                <w:szCs w:val="20"/>
                <w:vertAlign w:val="superscript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1BB4CC43" w14:textId="77777777" w:rsidR="00292218" w:rsidRPr="006368D9" w:rsidRDefault="00292218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  <w:tc>
          <w:tcPr>
            <w:tcW w:w="1275" w:type="dxa"/>
            <w:vAlign w:val="center"/>
          </w:tcPr>
          <w:p w14:paraId="020CDD0B" w14:textId="77777777" w:rsidR="00292218" w:rsidRPr="006368D9" w:rsidRDefault="00292218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  <w:tr w:rsidR="00CB1153" w:rsidRPr="006368D9" w14:paraId="12665357" w14:textId="77777777" w:rsidTr="00384844">
        <w:tc>
          <w:tcPr>
            <w:tcW w:w="709" w:type="dxa"/>
            <w:vAlign w:val="center"/>
          </w:tcPr>
          <w:p w14:paraId="6369EFE0" w14:textId="6C80B47D" w:rsidR="00CB1153" w:rsidRDefault="00CB1153" w:rsidP="00CB1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2245CC8" w14:textId="5DAF091B" w:rsidR="00CB1153" w:rsidRPr="008E79FA" w:rsidRDefault="00524C3B" w:rsidP="00CB115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Soubor vlastních o</w:t>
            </w:r>
            <w:r w:rsidR="00CB1153">
              <w:rPr>
                <w:szCs w:val="20"/>
              </w:rPr>
              <w:t>statní</w:t>
            </w:r>
            <w:r>
              <w:rPr>
                <w:szCs w:val="20"/>
              </w:rPr>
              <w:t>ch</w:t>
            </w:r>
            <w:r w:rsidR="00CB1153">
              <w:rPr>
                <w:szCs w:val="20"/>
              </w:rPr>
              <w:t xml:space="preserve"> </w:t>
            </w:r>
            <w:proofErr w:type="gramStart"/>
            <w:r w:rsidR="00CB1153">
              <w:rPr>
                <w:szCs w:val="20"/>
              </w:rPr>
              <w:t>stav</w:t>
            </w:r>
            <w:r>
              <w:rPr>
                <w:szCs w:val="20"/>
              </w:rPr>
              <w:t>e</w:t>
            </w:r>
            <w:r w:rsidR="00CB1153">
              <w:rPr>
                <w:szCs w:val="20"/>
              </w:rPr>
              <w:t>b</w:t>
            </w:r>
            <w:r w:rsidR="00640E6B">
              <w:rPr>
                <w:szCs w:val="20"/>
              </w:rPr>
              <w:t xml:space="preserve"> </w:t>
            </w:r>
            <w:r w:rsidR="00716133">
              <w:rPr>
                <w:szCs w:val="20"/>
              </w:rPr>
              <w:t>- zpevněné</w:t>
            </w:r>
            <w:proofErr w:type="gramEnd"/>
            <w:r w:rsidR="00716133">
              <w:rPr>
                <w:szCs w:val="20"/>
              </w:rPr>
              <w:t xml:space="preserve"> plochy, sítě, oplocení pojištěných nemovitých objektů</w:t>
            </w:r>
          </w:p>
        </w:tc>
        <w:tc>
          <w:tcPr>
            <w:tcW w:w="1842" w:type="dxa"/>
            <w:vAlign w:val="center"/>
          </w:tcPr>
          <w:p w14:paraId="780860E2" w14:textId="7231C183" w:rsidR="00CB1153" w:rsidRPr="00FA7E24" w:rsidRDefault="00516CBC" w:rsidP="00516C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1247" w:type="dxa"/>
            <w:vAlign w:val="center"/>
          </w:tcPr>
          <w:p w14:paraId="7479C498" w14:textId="60008D28" w:rsidR="00CB1153" w:rsidRPr="00FA7E24" w:rsidRDefault="00CB1153" w:rsidP="00CB1153">
            <w:pPr>
              <w:jc w:val="center"/>
              <w:rPr>
                <w:szCs w:val="20"/>
              </w:rPr>
            </w:pPr>
            <w:r w:rsidRPr="00FA7E24">
              <w:rPr>
                <w:szCs w:val="20"/>
              </w:rPr>
              <w:t>10 000 Kč</w:t>
            </w:r>
          </w:p>
        </w:tc>
        <w:tc>
          <w:tcPr>
            <w:tcW w:w="1276" w:type="dxa"/>
            <w:vAlign w:val="center"/>
          </w:tcPr>
          <w:p w14:paraId="7E77FD37" w14:textId="103432A4" w:rsidR="00CB1153" w:rsidRPr="008F1C82" w:rsidRDefault="00CB1153" w:rsidP="00CB1153">
            <w:pPr>
              <w:jc w:val="center"/>
              <w:rPr>
                <w:szCs w:val="20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5C3A2CE0" w14:textId="3D8781C3" w:rsidR="00CB1153" w:rsidRDefault="00CB1153" w:rsidP="00CB1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5 000 000 Kč</w:t>
            </w:r>
          </w:p>
        </w:tc>
        <w:tc>
          <w:tcPr>
            <w:tcW w:w="1275" w:type="dxa"/>
            <w:vAlign w:val="center"/>
          </w:tcPr>
          <w:p w14:paraId="3ED87DFE" w14:textId="1289FAEC" w:rsidR="00CB1153" w:rsidRDefault="00CB1153" w:rsidP="00CB1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  <w:tr w:rsidR="00CB1153" w:rsidRPr="006368D9" w14:paraId="459C3C05" w14:textId="77777777" w:rsidTr="00384844">
        <w:tc>
          <w:tcPr>
            <w:tcW w:w="709" w:type="dxa"/>
            <w:vAlign w:val="center"/>
          </w:tcPr>
          <w:p w14:paraId="487FCA9D" w14:textId="28E68F41" w:rsidR="00CB1153" w:rsidRDefault="00CB1153" w:rsidP="00CB1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698CC3D9" w14:textId="2A449C39" w:rsidR="00CB1153" w:rsidRPr="008E79FA" w:rsidRDefault="00CB1153" w:rsidP="00CB1153">
            <w:pPr>
              <w:jc w:val="left"/>
              <w:rPr>
                <w:szCs w:val="20"/>
              </w:rPr>
            </w:pPr>
            <w:r w:rsidRPr="008E79FA">
              <w:rPr>
                <w:szCs w:val="20"/>
              </w:rPr>
              <w:t>Soubor vlastního</w:t>
            </w:r>
            <w:r>
              <w:rPr>
                <w:szCs w:val="20"/>
              </w:rPr>
              <w:t xml:space="preserve"> </w:t>
            </w:r>
            <w:r w:rsidRPr="008E79FA">
              <w:rPr>
                <w:szCs w:val="20"/>
              </w:rPr>
              <w:t>movitého zařízení a vybavení</w:t>
            </w:r>
            <w:r>
              <w:rPr>
                <w:szCs w:val="20"/>
              </w:rPr>
              <w:t xml:space="preserve"> v místě </w:t>
            </w:r>
            <w:proofErr w:type="gramStart"/>
            <w:r>
              <w:rPr>
                <w:szCs w:val="20"/>
              </w:rPr>
              <w:t>pojištění - Brno</w:t>
            </w:r>
            <w:proofErr w:type="gramEnd"/>
            <w:r>
              <w:rPr>
                <w:szCs w:val="20"/>
              </w:rPr>
              <w:t>, Janouškova 577/2</w:t>
            </w:r>
          </w:p>
        </w:tc>
        <w:tc>
          <w:tcPr>
            <w:tcW w:w="1842" w:type="dxa"/>
            <w:vAlign w:val="center"/>
          </w:tcPr>
          <w:p w14:paraId="58423B5D" w14:textId="252A07B5" w:rsidR="00CB1153" w:rsidRPr="00FA7E24" w:rsidRDefault="00CB1153" w:rsidP="00CB1153">
            <w:pPr>
              <w:jc w:val="right"/>
              <w:rPr>
                <w:szCs w:val="20"/>
              </w:rPr>
            </w:pPr>
            <w:r w:rsidRPr="00FA7E24">
              <w:rPr>
                <w:szCs w:val="20"/>
              </w:rPr>
              <w:t>2 200 000 Kč</w:t>
            </w:r>
          </w:p>
        </w:tc>
        <w:tc>
          <w:tcPr>
            <w:tcW w:w="1247" w:type="dxa"/>
            <w:vAlign w:val="center"/>
          </w:tcPr>
          <w:p w14:paraId="7FEC4F53" w14:textId="58766BCA" w:rsidR="00CB1153" w:rsidRPr="00FA7E24" w:rsidRDefault="00CB1153" w:rsidP="00CB1153">
            <w:pPr>
              <w:jc w:val="center"/>
              <w:rPr>
                <w:szCs w:val="20"/>
              </w:rPr>
            </w:pPr>
            <w:r w:rsidRPr="00FA7E24">
              <w:rPr>
                <w:szCs w:val="20"/>
              </w:rPr>
              <w:t>10 000 Kč</w:t>
            </w:r>
          </w:p>
        </w:tc>
        <w:tc>
          <w:tcPr>
            <w:tcW w:w="1276" w:type="dxa"/>
            <w:vAlign w:val="center"/>
          </w:tcPr>
          <w:p w14:paraId="27AC1C9D" w14:textId="521217B2" w:rsidR="00CB1153" w:rsidRPr="008F1C82" w:rsidRDefault="00CB1153" w:rsidP="00CB1153">
            <w:pPr>
              <w:jc w:val="center"/>
              <w:rPr>
                <w:szCs w:val="20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10D27773" w14:textId="1B23F669" w:rsidR="00CB1153" w:rsidRDefault="00CB1153" w:rsidP="00CB1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  <w:tc>
          <w:tcPr>
            <w:tcW w:w="1275" w:type="dxa"/>
            <w:vAlign w:val="center"/>
          </w:tcPr>
          <w:p w14:paraId="753D2408" w14:textId="4DB0DF74" w:rsidR="00CB1153" w:rsidRDefault="00CB1153" w:rsidP="00CB1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  <w:tr w:rsidR="00CB1153" w:rsidRPr="006368D9" w14:paraId="3C4BC2DB" w14:textId="77777777" w:rsidTr="00384844">
        <w:tc>
          <w:tcPr>
            <w:tcW w:w="709" w:type="dxa"/>
            <w:vAlign w:val="center"/>
          </w:tcPr>
          <w:p w14:paraId="50D77540" w14:textId="51E63ADB" w:rsidR="00CB1153" w:rsidRDefault="00CB1153" w:rsidP="00CB1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74B9EFC3" w14:textId="63EA3333" w:rsidR="00CB1153" w:rsidRPr="008E79FA" w:rsidRDefault="00CB1153" w:rsidP="00CB1153">
            <w:pPr>
              <w:jc w:val="left"/>
              <w:rPr>
                <w:szCs w:val="20"/>
              </w:rPr>
            </w:pPr>
            <w:r w:rsidRPr="008E79FA">
              <w:rPr>
                <w:szCs w:val="20"/>
              </w:rPr>
              <w:t>Soubor vlastního</w:t>
            </w:r>
            <w:r>
              <w:rPr>
                <w:szCs w:val="20"/>
              </w:rPr>
              <w:t xml:space="preserve"> </w:t>
            </w:r>
            <w:r w:rsidRPr="008E79FA">
              <w:rPr>
                <w:szCs w:val="20"/>
              </w:rPr>
              <w:t>movitého zařízení a vybavení</w:t>
            </w:r>
            <w:r>
              <w:rPr>
                <w:szCs w:val="20"/>
              </w:rPr>
              <w:t xml:space="preserve"> v místě </w:t>
            </w:r>
            <w:proofErr w:type="gramStart"/>
            <w:r>
              <w:rPr>
                <w:szCs w:val="20"/>
              </w:rPr>
              <w:t xml:space="preserve">pojištění - </w:t>
            </w:r>
            <w:r w:rsidRPr="00522AB6">
              <w:rPr>
                <w:szCs w:val="20"/>
              </w:rPr>
              <w:t>Brno</w:t>
            </w:r>
            <w:proofErr w:type="gramEnd"/>
            <w:r w:rsidRPr="00522AB6">
              <w:rPr>
                <w:szCs w:val="20"/>
              </w:rPr>
              <w:t>, Zemědělská 173/29</w:t>
            </w:r>
            <w:r>
              <w:rPr>
                <w:szCs w:val="20"/>
              </w:rPr>
              <w:t xml:space="preserve"> – sportovní areál</w:t>
            </w:r>
          </w:p>
        </w:tc>
        <w:tc>
          <w:tcPr>
            <w:tcW w:w="1842" w:type="dxa"/>
            <w:vAlign w:val="center"/>
          </w:tcPr>
          <w:p w14:paraId="1C30120A" w14:textId="2ABB16E7" w:rsidR="00CB1153" w:rsidRPr="00FA7E24" w:rsidRDefault="00CB1153" w:rsidP="00CB1153">
            <w:pPr>
              <w:jc w:val="right"/>
              <w:rPr>
                <w:szCs w:val="20"/>
              </w:rPr>
            </w:pPr>
            <w:r w:rsidRPr="00FA7E24">
              <w:rPr>
                <w:szCs w:val="20"/>
              </w:rPr>
              <w:t>208 000 Kč</w:t>
            </w:r>
          </w:p>
        </w:tc>
        <w:tc>
          <w:tcPr>
            <w:tcW w:w="1247" w:type="dxa"/>
            <w:vAlign w:val="center"/>
          </w:tcPr>
          <w:p w14:paraId="7B30C965" w14:textId="666A5A8E" w:rsidR="00CB1153" w:rsidRPr="00FA7E24" w:rsidRDefault="00CB1153" w:rsidP="00CB1153">
            <w:pPr>
              <w:jc w:val="center"/>
              <w:rPr>
                <w:szCs w:val="20"/>
              </w:rPr>
            </w:pPr>
            <w:r w:rsidRPr="00FA7E24">
              <w:rPr>
                <w:szCs w:val="20"/>
              </w:rPr>
              <w:t>10 000 Kč</w:t>
            </w:r>
          </w:p>
        </w:tc>
        <w:tc>
          <w:tcPr>
            <w:tcW w:w="1276" w:type="dxa"/>
            <w:vAlign w:val="center"/>
          </w:tcPr>
          <w:p w14:paraId="19AB17A3" w14:textId="1920F419" w:rsidR="00CB1153" w:rsidRPr="008F1C82" w:rsidRDefault="00CB1153" w:rsidP="00CB1153">
            <w:pPr>
              <w:jc w:val="center"/>
              <w:rPr>
                <w:szCs w:val="20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53B68A13" w14:textId="204115E3" w:rsidR="00CB1153" w:rsidRDefault="00CB1153" w:rsidP="00CB1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  <w:tc>
          <w:tcPr>
            <w:tcW w:w="1275" w:type="dxa"/>
            <w:vAlign w:val="center"/>
          </w:tcPr>
          <w:p w14:paraId="1CDBEE25" w14:textId="7BF15EC8" w:rsidR="00CB1153" w:rsidRDefault="00CB1153" w:rsidP="00CB11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  <w:tr w:rsidR="00292218" w:rsidRPr="006368D9" w14:paraId="0DC03530" w14:textId="77777777" w:rsidTr="00384844">
        <w:tc>
          <w:tcPr>
            <w:tcW w:w="709" w:type="dxa"/>
            <w:vAlign w:val="center"/>
          </w:tcPr>
          <w:p w14:paraId="3B313717" w14:textId="4FB057F5" w:rsidR="00292218" w:rsidRPr="006368D9" w:rsidRDefault="00CB1153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292218">
              <w:rPr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6A1B3F06" w14:textId="77777777" w:rsidR="00292218" w:rsidRPr="006368D9" w:rsidRDefault="00292218" w:rsidP="00DB038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Demolice, suť – doložka DOB104</w:t>
            </w:r>
          </w:p>
        </w:tc>
        <w:tc>
          <w:tcPr>
            <w:tcW w:w="1842" w:type="dxa"/>
            <w:vAlign w:val="center"/>
          </w:tcPr>
          <w:p w14:paraId="324DC8EF" w14:textId="3979297D" w:rsidR="00292218" w:rsidRPr="00FA7E24" w:rsidRDefault="00516CBC" w:rsidP="00516C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1247" w:type="dxa"/>
            <w:vAlign w:val="center"/>
          </w:tcPr>
          <w:p w14:paraId="6D22470C" w14:textId="08EA602B" w:rsidR="00292218" w:rsidRPr="00FA7E24" w:rsidRDefault="00292218" w:rsidP="00DB0387">
            <w:pPr>
              <w:jc w:val="center"/>
              <w:rPr>
                <w:szCs w:val="20"/>
              </w:rPr>
            </w:pPr>
            <w:r w:rsidRPr="00FA7E24">
              <w:rPr>
                <w:szCs w:val="20"/>
              </w:rPr>
              <w:t>1</w:t>
            </w:r>
            <w:r w:rsidR="005C705E" w:rsidRPr="00FA7E24">
              <w:rPr>
                <w:szCs w:val="20"/>
              </w:rPr>
              <w:t>0</w:t>
            </w:r>
            <w:r w:rsidRPr="00FA7E24">
              <w:rPr>
                <w:szCs w:val="20"/>
              </w:rPr>
              <w:t> 000 Kč</w:t>
            </w:r>
          </w:p>
        </w:tc>
        <w:tc>
          <w:tcPr>
            <w:tcW w:w="1276" w:type="dxa"/>
            <w:vAlign w:val="center"/>
          </w:tcPr>
          <w:p w14:paraId="570C8979" w14:textId="77777777" w:rsidR="00292218" w:rsidRPr="00C05B04" w:rsidRDefault="00292218" w:rsidP="00DB0387">
            <w:pPr>
              <w:jc w:val="center"/>
              <w:rPr>
                <w:szCs w:val="20"/>
                <w:vertAlign w:val="superscript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1702D960" w14:textId="77777777" w:rsidR="00292218" w:rsidRPr="006368D9" w:rsidRDefault="00292218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5 000 000 Kč</w:t>
            </w:r>
          </w:p>
        </w:tc>
        <w:tc>
          <w:tcPr>
            <w:tcW w:w="1275" w:type="dxa"/>
            <w:vAlign w:val="center"/>
          </w:tcPr>
          <w:p w14:paraId="6359F95C" w14:textId="77777777" w:rsidR="00292218" w:rsidRPr="006368D9" w:rsidRDefault="00292218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  <w:tr w:rsidR="00292218" w:rsidRPr="006368D9" w14:paraId="5A0D101A" w14:textId="77777777" w:rsidTr="00C6100C">
        <w:tc>
          <w:tcPr>
            <w:tcW w:w="9752" w:type="dxa"/>
            <w:gridSpan w:val="7"/>
          </w:tcPr>
          <w:p w14:paraId="2B874FF8" w14:textId="77777777" w:rsidR="00292218" w:rsidRDefault="00292218" w:rsidP="00DB0387">
            <w:pPr>
              <w:rPr>
                <w:szCs w:val="20"/>
              </w:rPr>
            </w:pPr>
            <w:r w:rsidRPr="006368D9">
              <w:rPr>
                <w:szCs w:val="20"/>
              </w:rPr>
              <w:t>Poznámky:</w:t>
            </w:r>
            <w:r>
              <w:rPr>
                <w:szCs w:val="20"/>
              </w:rPr>
              <w:t xml:space="preserve"> </w:t>
            </w:r>
          </w:p>
          <w:p w14:paraId="6B132F5E" w14:textId="5CC492CF" w:rsidR="00292218" w:rsidRPr="006368D9" w:rsidRDefault="00292218" w:rsidP="00DB0387">
            <w:pPr>
              <w:spacing w:before="60"/>
              <w:rPr>
                <w:szCs w:val="20"/>
              </w:rPr>
            </w:pPr>
            <w:r w:rsidRPr="00AE3ED7">
              <w:rPr>
                <w:szCs w:val="20"/>
              </w:rPr>
              <w:t>Pojištění</w:t>
            </w:r>
            <w:r w:rsidR="00DD572C">
              <w:rPr>
                <w:szCs w:val="20"/>
              </w:rPr>
              <w:t xml:space="preserve"> předmětu uvedeného pod poř.č.1</w:t>
            </w:r>
            <w:r w:rsidRPr="00AE3ED7">
              <w:rPr>
                <w:szCs w:val="20"/>
              </w:rPr>
              <w:t xml:space="preserve"> se vztahuje i na pamětní desku v parku Stanislava Krátkého (pojistná částka 48</w:t>
            </w:r>
            <w:r w:rsidR="00C94D66"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300,-</w:t>
            </w:r>
            <w:r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Kč</w:t>
            </w:r>
            <w:r>
              <w:rPr>
                <w:szCs w:val="20"/>
              </w:rPr>
              <w:t>)</w:t>
            </w:r>
            <w:r w:rsidRPr="00AE3ED7">
              <w:rPr>
                <w:szCs w:val="20"/>
              </w:rPr>
              <w:t>, Brno</w:t>
            </w:r>
            <w:r w:rsidR="00C94D66">
              <w:rPr>
                <w:szCs w:val="20"/>
              </w:rPr>
              <w:t>-</w:t>
            </w:r>
            <w:r w:rsidRPr="00AE3ED7">
              <w:rPr>
                <w:szCs w:val="20"/>
              </w:rPr>
              <w:t xml:space="preserve">Černá Pole a </w:t>
            </w:r>
            <w:r w:rsidR="007075E3">
              <w:rPr>
                <w:szCs w:val="20"/>
              </w:rPr>
              <w:t xml:space="preserve">na </w:t>
            </w:r>
            <w:r w:rsidRPr="00AE3ED7">
              <w:rPr>
                <w:szCs w:val="20"/>
              </w:rPr>
              <w:t xml:space="preserve">pamětní desku Bojovníkům za svobodu v parku Marie </w:t>
            </w:r>
            <w:proofErr w:type="spellStart"/>
            <w:r w:rsidRPr="00AE3ED7">
              <w:rPr>
                <w:szCs w:val="20"/>
              </w:rPr>
              <w:t>Restituty</w:t>
            </w:r>
            <w:proofErr w:type="spellEnd"/>
            <w:r w:rsidRPr="00AE3ED7">
              <w:rPr>
                <w:szCs w:val="20"/>
              </w:rPr>
              <w:t xml:space="preserve"> (pojistná částka 59</w:t>
            </w:r>
            <w:r w:rsidR="00C94D66"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987,-</w:t>
            </w:r>
            <w:r w:rsidR="00C94D66"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Kč)</w:t>
            </w:r>
            <w:r>
              <w:rPr>
                <w:szCs w:val="20"/>
              </w:rPr>
              <w:t xml:space="preserve">, </w:t>
            </w:r>
            <w:r w:rsidRPr="00AE3ED7">
              <w:rPr>
                <w:szCs w:val="20"/>
              </w:rPr>
              <w:t>Brno-Husovice</w:t>
            </w:r>
            <w:r>
              <w:rPr>
                <w:szCs w:val="20"/>
              </w:rPr>
              <w:t>.</w:t>
            </w:r>
          </w:p>
        </w:tc>
      </w:tr>
    </w:tbl>
    <w:p w14:paraId="422F8A7D" w14:textId="77777777" w:rsidR="00292218" w:rsidRPr="006368D9" w:rsidRDefault="00292218" w:rsidP="0029221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14:paraId="34E0BD78" w14:textId="77777777" w:rsidR="00292218" w:rsidRDefault="00292218" w:rsidP="00292218">
      <w:pPr>
        <w:rPr>
          <w:szCs w:val="20"/>
        </w:rPr>
      </w:pPr>
    </w:p>
    <w:p w14:paraId="2CD17930" w14:textId="3D74C734" w:rsidR="00292218" w:rsidRDefault="00292218" w:rsidP="00292218">
      <w:pPr>
        <w:keepNext/>
        <w:ind w:left="567" w:hanging="567"/>
        <w:rPr>
          <w:b/>
          <w:szCs w:val="20"/>
        </w:rPr>
      </w:pPr>
      <w:r w:rsidRPr="006368D9">
        <w:rPr>
          <w:b/>
          <w:szCs w:val="20"/>
        </w:rPr>
        <w:t>2.</w:t>
      </w:r>
      <w:r>
        <w:rPr>
          <w:b/>
          <w:szCs w:val="20"/>
        </w:rPr>
        <w:t>1.</w:t>
      </w:r>
      <w:r w:rsidRPr="006368D9">
        <w:rPr>
          <w:b/>
          <w:szCs w:val="20"/>
        </w:rPr>
        <w:t>2</w:t>
      </w:r>
      <w:r>
        <w:rPr>
          <w:b/>
          <w:szCs w:val="20"/>
        </w:rPr>
        <w:tab/>
      </w:r>
      <w:r w:rsidRPr="006368D9">
        <w:rPr>
          <w:b/>
          <w:szCs w:val="20"/>
        </w:rPr>
        <w:t>Živelní pojištění</w:t>
      </w:r>
    </w:p>
    <w:tbl>
      <w:tblPr>
        <w:tblStyle w:val="Mkatabulky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1247"/>
        <w:gridCol w:w="1276"/>
        <w:gridCol w:w="1418"/>
        <w:gridCol w:w="1275"/>
      </w:tblGrid>
      <w:tr w:rsidR="00292218" w:rsidRPr="006368D9" w14:paraId="0938D0AF" w14:textId="77777777" w:rsidTr="00C6100C">
        <w:tc>
          <w:tcPr>
            <w:tcW w:w="9752" w:type="dxa"/>
            <w:gridSpan w:val="7"/>
          </w:tcPr>
          <w:p w14:paraId="7B23030C" w14:textId="77777777" w:rsidR="00292218" w:rsidRPr="006368D9" w:rsidRDefault="00292218" w:rsidP="00DB0387">
            <w:pPr>
              <w:rPr>
                <w:b/>
                <w:szCs w:val="20"/>
              </w:rPr>
            </w:pPr>
            <w:r w:rsidRPr="006368D9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 w:rsidRPr="000F06FB">
              <w:rPr>
                <w:szCs w:val="20"/>
              </w:rPr>
              <w:t xml:space="preserve">dle přílohy číslo </w:t>
            </w:r>
            <w:r>
              <w:rPr>
                <w:szCs w:val="20"/>
              </w:rPr>
              <w:t>3</w:t>
            </w:r>
            <w:r w:rsidRPr="000F06FB">
              <w:rPr>
                <w:szCs w:val="20"/>
              </w:rPr>
              <w:t xml:space="preserve"> pojistné smlouvy</w:t>
            </w:r>
          </w:p>
        </w:tc>
      </w:tr>
      <w:tr w:rsidR="00292218" w:rsidRPr="006368D9" w14:paraId="1EA32C5D" w14:textId="77777777" w:rsidTr="00C6100C">
        <w:tc>
          <w:tcPr>
            <w:tcW w:w="9752" w:type="dxa"/>
            <w:gridSpan w:val="7"/>
          </w:tcPr>
          <w:p w14:paraId="63AA7DA6" w14:textId="77777777" w:rsidR="00292218" w:rsidRPr="00CA248D" w:rsidRDefault="00292218" w:rsidP="00DB0387">
            <w:pPr>
              <w:rPr>
                <w:szCs w:val="20"/>
              </w:rPr>
            </w:pPr>
            <w:r w:rsidRPr="006368D9">
              <w:rPr>
                <w:b/>
                <w:szCs w:val="20"/>
              </w:rPr>
              <w:t>Rozsah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sdružený živel</w:t>
            </w:r>
          </w:p>
        </w:tc>
      </w:tr>
      <w:tr w:rsidR="00292218" w:rsidRPr="006368D9" w14:paraId="424D567A" w14:textId="77777777" w:rsidTr="00C6100C">
        <w:tc>
          <w:tcPr>
            <w:tcW w:w="9752" w:type="dxa"/>
            <w:gridSpan w:val="7"/>
          </w:tcPr>
          <w:p w14:paraId="74E9A434" w14:textId="1FFA8F31" w:rsidR="00292218" w:rsidRPr="006368D9" w:rsidRDefault="00292218" w:rsidP="00DB0387">
            <w:pPr>
              <w:rPr>
                <w:szCs w:val="20"/>
              </w:rPr>
            </w:pPr>
            <w:r w:rsidRPr="006368D9">
              <w:rPr>
                <w:b/>
                <w:szCs w:val="20"/>
              </w:rPr>
              <w:t>Pojištění se řídí:</w:t>
            </w:r>
            <w:r w:rsidRPr="006368D9">
              <w:rPr>
                <w:szCs w:val="20"/>
              </w:rPr>
              <w:t xml:space="preserve"> VPP P-100/14, ZPP P-150/14 a doložkami </w:t>
            </w:r>
            <w:r w:rsidRPr="00BE0CEB">
              <w:rPr>
                <w:szCs w:val="20"/>
              </w:rPr>
              <w:t xml:space="preserve">DOB101, </w:t>
            </w:r>
            <w:r>
              <w:rPr>
                <w:szCs w:val="20"/>
              </w:rPr>
              <w:t>DOB10</w:t>
            </w:r>
            <w:r w:rsidRPr="00BE0CEB">
              <w:rPr>
                <w:szCs w:val="20"/>
              </w:rPr>
              <w:t xml:space="preserve">3, </w:t>
            </w:r>
            <w:r>
              <w:rPr>
                <w:szCs w:val="20"/>
              </w:rPr>
              <w:t>DOB10</w:t>
            </w:r>
            <w:r w:rsidRPr="00BE0CEB">
              <w:rPr>
                <w:szCs w:val="20"/>
              </w:rPr>
              <w:t xml:space="preserve">4, </w:t>
            </w:r>
            <w:r>
              <w:rPr>
                <w:szCs w:val="20"/>
              </w:rPr>
              <w:t>DOB10</w:t>
            </w:r>
            <w:r w:rsidRPr="00BE0CEB">
              <w:rPr>
                <w:szCs w:val="20"/>
              </w:rPr>
              <w:t xml:space="preserve">5, </w:t>
            </w:r>
            <w:r>
              <w:rPr>
                <w:szCs w:val="20"/>
              </w:rPr>
              <w:t>DOB10</w:t>
            </w:r>
            <w:r w:rsidRPr="00BE0CEB">
              <w:rPr>
                <w:szCs w:val="20"/>
              </w:rPr>
              <w:t>7, DZ</w:t>
            </w:r>
            <w:r>
              <w:rPr>
                <w:szCs w:val="20"/>
              </w:rPr>
              <w:t>10</w:t>
            </w:r>
            <w:r w:rsidRPr="00BE0CEB">
              <w:rPr>
                <w:szCs w:val="20"/>
              </w:rPr>
              <w:t xml:space="preserve">1, </w:t>
            </w:r>
            <w:r>
              <w:rPr>
                <w:szCs w:val="20"/>
              </w:rPr>
              <w:t>DZ1</w:t>
            </w:r>
            <w:r w:rsidRPr="00BE0CEB">
              <w:rPr>
                <w:szCs w:val="20"/>
              </w:rPr>
              <w:t xml:space="preserve">12, </w:t>
            </w:r>
            <w:r w:rsidRPr="003B0B1C">
              <w:rPr>
                <w:szCs w:val="20"/>
              </w:rPr>
              <w:t>DZ113</w:t>
            </w:r>
            <w:r w:rsidR="00C36CEC" w:rsidRPr="003B0B1C">
              <w:rPr>
                <w:szCs w:val="20"/>
              </w:rPr>
              <w:t>, DZ114</w:t>
            </w:r>
          </w:p>
        </w:tc>
      </w:tr>
      <w:tr w:rsidR="00341375" w:rsidRPr="006368D9" w14:paraId="22A728B9" w14:textId="77777777" w:rsidTr="00C36CEC">
        <w:tc>
          <w:tcPr>
            <w:tcW w:w="709" w:type="dxa"/>
            <w:vAlign w:val="center"/>
          </w:tcPr>
          <w:p w14:paraId="2BFB5C44" w14:textId="12930FB6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proofErr w:type="spellStart"/>
            <w:r w:rsidRPr="00AC0C71">
              <w:rPr>
                <w:b/>
              </w:rPr>
              <w:t>Poř</w:t>
            </w:r>
            <w:proofErr w:type="spellEnd"/>
            <w:r w:rsidRPr="00AC0C71">
              <w:rPr>
                <w:b/>
              </w:rPr>
              <w:t>. číslo</w:t>
            </w:r>
          </w:p>
        </w:tc>
        <w:tc>
          <w:tcPr>
            <w:tcW w:w="1985" w:type="dxa"/>
            <w:vAlign w:val="center"/>
          </w:tcPr>
          <w:p w14:paraId="650F5D4A" w14:textId="3EBBC551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14:paraId="197ACFC1" w14:textId="037850D2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247" w:type="dxa"/>
            <w:vAlign w:val="center"/>
          </w:tcPr>
          <w:p w14:paraId="1780D9DC" w14:textId="46CAEC9B" w:rsidR="00341375" w:rsidRPr="006368D9" w:rsidRDefault="00341375" w:rsidP="00341375">
            <w:pPr>
              <w:ind w:left="-108" w:right="-108"/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45328FFC" w14:textId="4B9B34A4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*) 1)</w:t>
            </w:r>
          </w:p>
        </w:tc>
        <w:tc>
          <w:tcPr>
            <w:tcW w:w="1418" w:type="dxa"/>
            <w:vAlign w:val="center"/>
          </w:tcPr>
          <w:p w14:paraId="43E40A63" w14:textId="77777777" w:rsidR="00341375" w:rsidRPr="00AC0C71" w:rsidRDefault="00341375" w:rsidP="00341375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5696B437" w14:textId="1E6F5F4B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14:paraId="6E8C97C4" w14:textId="02D551F0" w:rsidR="00341375" w:rsidRPr="006368D9" w:rsidRDefault="00341375" w:rsidP="00341375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292218" w:rsidRPr="006368D9" w14:paraId="00F45AC0" w14:textId="77777777" w:rsidTr="00C36CEC">
        <w:tc>
          <w:tcPr>
            <w:tcW w:w="709" w:type="dxa"/>
            <w:vAlign w:val="center"/>
          </w:tcPr>
          <w:p w14:paraId="01D2180E" w14:textId="77777777" w:rsidR="00292218" w:rsidRPr="006368D9" w:rsidRDefault="00292218" w:rsidP="00DB0387">
            <w:pPr>
              <w:jc w:val="center"/>
              <w:rPr>
                <w:szCs w:val="20"/>
              </w:rPr>
            </w:pPr>
            <w:r w:rsidRPr="006368D9">
              <w:rPr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73F17234" w14:textId="77777777" w:rsidR="00292218" w:rsidRPr="006368D9" w:rsidRDefault="00292218" w:rsidP="00DB038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Vlastní nemovité objekty dle přílohy číslo 3</w:t>
            </w:r>
          </w:p>
        </w:tc>
        <w:tc>
          <w:tcPr>
            <w:tcW w:w="1842" w:type="dxa"/>
            <w:vAlign w:val="center"/>
          </w:tcPr>
          <w:p w14:paraId="10B719AD" w14:textId="2CF2C677" w:rsidR="00292218" w:rsidRPr="00FA7E24" w:rsidRDefault="004F65D7" w:rsidP="00DB038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856 500</w:t>
            </w:r>
            <w:r w:rsidR="00292218" w:rsidRPr="00FA7E24">
              <w:rPr>
                <w:szCs w:val="20"/>
              </w:rPr>
              <w:t> 000 Kč</w:t>
            </w:r>
          </w:p>
        </w:tc>
        <w:tc>
          <w:tcPr>
            <w:tcW w:w="1247" w:type="dxa"/>
            <w:vAlign w:val="center"/>
          </w:tcPr>
          <w:p w14:paraId="5B60B1BA" w14:textId="6E2D210B" w:rsidR="00292218" w:rsidRPr="00FA7E24" w:rsidRDefault="00292218" w:rsidP="00DB0387">
            <w:pPr>
              <w:jc w:val="center"/>
              <w:rPr>
                <w:szCs w:val="20"/>
              </w:rPr>
            </w:pPr>
            <w:r w:rsidRPr="00FA7E24">
              <w:rPr>
                <w:szCs w:val="20"/>
              </w:rPr>
              <w:t>1</w:t>
            </w:r>
            <w:r w:rsidR="00EC6857" w:rsidRPr="00FA7E24">
              <w:rPr>
                <w:szCs w:val="20"/>
              </w:rPr>
              <w:t>0</w:t>
            </w:r>
            <w:r w:rsidRPr="00FA7E24">
              <w:rPr>
                <w:szCs w:val="20"/>
              </w:rPr>
              <w:t> 000 Kč</w:t>
            </w:r>
          </w:p>
        </w:tc>
        <w:tc>
          <w:tcPr>
            <w:tcW w:w="1276" w:type="dxa"/>
            <w:vAlign w:val="center"/>
          </w:tcPr>
          <w:p w14:paraId="278F0909" w14:textId="77777777" w:rsidR="00292218" w:rsidRPr="00C05B04" w:rsidRDefault="00292218" w:rsidP="00DB0387">
            <w:pPr>
              <w:jc w:val="center"/>
              <w:rPr>
                <w:szCs w:val="20"/>
                <w:vertAlign w:val="superscript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355A574A" w14:textId="77777777" w:rsidR="00292218" w:rsidRPr="006368D9" w:rsidRDefault="00292218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  <w:tc>
          <w:tcPr>
            <w:tcW w:w="1275" w:type="dxa"/>
            <w:vAlign w:val="center"/>
          </w:tcPr>
          <w:p w14:paraId="65D3947D" w14:textId="77777777" w:rsidR="00292218" w:rsidRPr="006368D9" w:rsidRDefault="00292218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  <w:tr w:rsidR="00AD4954" w:rsidRPr="006368D9" w14:paraId="03B26DD0" w14:textId="77777777" w:rsidTr="00F77082">
        <w:tc>
          <w:tcPr>
            <w:tcW w:w="709" w:type="dxa"/>
            <w:vAlign w:val="center"/>
          </w:tcPr>
          <w:p w14:paraId="528E6EAE" w14:textId="650EED69" w:rsidR="00AD4954" w:rsidRDefault="00AD4954" w:rsidP="00AD495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3D38D809" w14:textId="4FE0AA1C" w:rsidR="00AD4954" w:rsidRDefault="00AD4954" w:rsidP="00AD495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Soubor vlastních ostatních </w:t>
            </w:r>
            <w:proofErr w:type="gramStart"/>
            <w:r>
              <w:rPr>
                <w:szCs w:val="20"/>
              </w:rPr>
              <w:t>staveb</w:t>
            </w:r>
            <w:r w:rsidR="00990BBF">
              <w:rPr>
                <w:szCs w:val="20"/>
              </w:rPr>
              <w:t xml:space="preserve"> </w:t>
            </w:r>
            <w:r w:rsidR="000621BC">
              <w:rPr>
                <w:szCs w:val="20"/>
              </w:rPr>
              <w:t>- zpevněné</w:t>
            </w:r>
            <w:proofErr w:type="gramEnd"/>
            <w:r w:rsidR="000621BC">
              <w:rPr>
                <w:szCs w:val="20"/>
              </w:rPr>
              <w:t xml:space="preserve"> plochy, sítě, oplocení pojištěných nemovitých objektů</w:t>
            </w:r>
          </w:p>
        </w:tc>
        <w:tc>
          <w:tcPr>
            <w:tcW w:w="1842" w:type="dxa"/>
            <w:vAlign w:val="center"/>
          </w:tcPr>
          <w:p w14:paraId="48C4AE68" w14:textId="653E15E1" w:rsidR="00AD4954" w:rsidRPr="00FA7E24" w:rsidRDefault="00AD4954" w:rsidP="00F770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1247" w:type="dxa"/>
            <w:vAlign w:val="center"/>
          </w:tcPr>
          <w:p w14:paraId="3C639D27" w14:textId="19DA3CB2" w:rsidR="00AD4954" w:rsidRPr="00FA7E24" w:rsidRDefault="00AD4954" w:rsidP="00AD4954">
            <w:pPr>
              <w:jc w:val="center"/>
              <w:rPr>
                <w:szCs w:val="20"/>
              </w:rPr>
            </w:pPr>
            <w:r w:rsidRPr="00FA7E24">
              <w:rPr>
                <w:szCs w:val="20"/>
              </w:rPr>
              <w:t>10 000 Kč</w:t>
            </w:r>
          </w:p>
        </w:tc>
        <w:tc>
          <w:tcPr>
            <w:tcW w:w="1276" w:type="dxa"/>
            <w:vAlign w:val="center"/>
          </w:tcPr>
          <w:p w14:paraId="5490C50C" w14:textId="645737FA" w:rsidR="00AD4954" w:rsidRPr="008F1C82" w:rsidRDefault="00AD4954" w:rsidP="00AD4954">
            <w:pPr>
              <w:jc w:val="center"/>
              <w:rPr>
                <w:szCs w:val="20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50E43C11" w14:textId="010B5E52" w:rsidR="00AD4954" w:rsidRDefault="00AD4954" w:rsidP="00AD495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5 000 000 Kč</w:t>
            </w:r>
          </w:p>
        </w:tc>
        <w:tc>
          <w:tcPr>
            <w:tcW w:w="1275" w:type="dxa"/>
            <w:vAlign w:val="center"/>
          </w:tcPr>
          <w:p w14:paraId="5EE148CB" w14:textId="2C2E23DE" w:rsidR="00AD4954" w:rsidRDefault="00AD4954" w:rsidP="00AD495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  <w:tr w:rsidR="00292218" w:rsidRPr="006368D9" w14:paraId="2D45ADB0" w14:textId="77777777" w:rsidTr="00F77082">
        <w:tc>
          <w:tcPr>
            <w:tcW w:w="709" w:type="dxa"/>
            <w:vAlign w:val="center"/>
          </w:tcPr>
          <w:p w14:paraId="394A3B56" w14:textId="00E9B555" w:rsidR="00292218" w:rsidRPr="006368D9" w:rsidRDefault="00AD4954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292218">
              <w:rPr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6FD325F0" w14:textId="77777777" w:rsidR="00292218" w:rsidRPr="006368D9" w:rsidRDefault="00292218" w:rsidP="00DB038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Demolice, suť – doložka DOB104</w:t>
            </w:r>
          </w:p>
        </w:tc>
        <w:tc>
          <w:tcPr>
            <w:tcW w:w="1842" w:type="dxa"/>
            <w:vAlign w:val="center"/>
          </w:tcPr>
          <w:p w14:paraId="1263495F" w14:textId="75886C80" w:rsidR="00292218" w:rsidRPr="00FA7E24" w:rsidRDefault="00F77082" w:rsidP="00F770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1247" w:type="dxa"/>
            <w:vAlign w:val="center"/>
          </w:tcPr>
          <w:p w14:paraId="06028B9F" w14:textId="54598E25" w:rsidR="00292218" w:rsidRPr="00FA7E24" w:rsidRDefault="00292218" w:rsidP="00DB0387">
            <w:pPr>
              <w:jc w:val="center"/>
              <w:rPr>
                <w:szCs w:val="20"/>
              </w:rPr>
            </w:pPr>
            <w:r w:rsidRPr="00FA7E24">
              <w:rPr>
                <w:szCs w:val="20"/>
              </w:rPr>
              <w:t>1</w:t>
            </w:r>
            <w:r w:rsidR="00EC6857" w:rsidRPr="00FA7E24">
              <w:rPr>
                <w:szCs w:val="20"/>
              </w:rPr>
              <w:t>0</w:t>
            </w:r>
            <w:r w:rsidRPr="00FA7E24">
              <w:rPr>
                <w:szCs w:val="20"/>
              </w:rPr>
              <w:t> 000 Kč</w:t>
            </w:r>
          </w:p>
        </w:tc>
        <w:tc>
          <w:tcPr>
            <w:tcW w:w="1276" w:type="dxa"/>
            <w:vAlign w:val="center"/>
          </w:tcPr>
          <w:p w14:paraId="2AB2F887" w14:textId="614B39A3" w:rsidR="00292218" w:rsidRPr="006368D9" w:rsidRDefault="00642331" w:rsidP="00DB0387">
            <w:pPr>
              <w:jc w:val="center"/>
              <w:rPr>
                <w:szCs w:val="20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14:paraId="2EF51B80" w14:textId="77777777" w:rsidR="00292218" w:rsidRPr="006368D9" w:rsidRDefault="00292218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5 000 000 Kč</w:t>
            </w:r>
          </w:p>
        </w:tc>
        <w:tc>
          <w:tcPr>
            <w:tcW w:w="1275" w:type="dxa"/>
            <w:vAlign w:val="center"/>
          </w:tcPr>
          <w:p w14:paraId="0C2CC9C8" w14:textId="77777777" w:rsidR="00292218" w:rsidRPr="006368D9" w:rsidRDefault="00292218" w:rsidP="00DB03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</w:tbl>
    <w:p w14:paraId="07D70374" w14:textId="77777777" w:rsidR="00F06387" w:rsidRDefault="00F06387" w:rsidP="00F06387">
      <w:pPr>
        <w:keepNext/>
        <w:ind w:left="567" w:hanging="567"/>
        <w:rPr>
          <w:b/>
          <w:szCs w:val="20"/>
        </w:rPr>
      </w:pPr>
      <w:r w:rsidRPr="006368D9">
        <w:rPr>
          <w:b/>
          <w:szCs w:val="20"/>
        </w:rPr>
        <w:lastRenderedPageBreak/>
        <w:t>2.</w:t>
      </w:r>
      <w:r>
        <w:rPr>
          <w:b/>
          <w:szCs w:val="20"/>
        </w:rPr>
        <w:t>1.</w:t>
      </w:r>
      <w:r w:rsidRPr="006368D9">
        <w:rPr>
          <w:b/>
          <w:szCs w:val="20"/>
        </w:rPr>
        <w:t>2</w:t>
      </w:r>
      <w:r>
        <w:rPr>
          <w:b/>
          <w:szCs w:val="20"/>
        </w:rPr>
        <w:tab/>
      </w:r>
      <w:r w:rsidRPr="006368D9">
        <w:rPr>
          <w:b/>
          <w:szCs w:val="20"/>
        </w:rPr>
        <w:t>Živelní pojištění</w:t>
      </w:r>
    </w:p>
    <w:tbl>
      <w:tblPr>
        <w:tblStyle w:val="Mkatabulky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292218" w:rsidRPr="006368D9" w14:paraId="1DF6F2B2" w14:textId="77777777" w:rsidTr="006C3A0A">
        <w:tc>
          <w:tcPr>
            <w:tcW w:w="9752" w:type="dxa"/>
          </w:tcPr>
          <w:p w14:paraId="2F0FAE4D" w14:textId="77777777" w:rsidR="00292218" w:rsidRDefault="00292218" w:rsidP="00DB0387">
            <w:pPr>
              <w:rPr>
                <w:szCs w:val="20"/>
              </w:rPr>
            </w:pPr>
            <w:r w:rsidRPr="006368D9">
              <w:rPr>
                <w:szCs w:val="20"/>
              </w:rPr>
              <w:t>Poznámky:</w:t>
            </w:r>
            <w:r>
              <w:rPr>
                <w:szCs w:val="20"/>
              </w:rPr>
              <w:t xml:space="preserve"> </w:t>
            </w:r>
          </w:p>
          <w:p w14:paraId="68158E0A" w14:textId="787C6448" w:rsidR="00292218" w:rsidRPr="006368D9" w:rsidRDefault="00292218" w:rsidP="00C94D66">
            <w:pPr>
              <w:spacing w:before="60"/>
              <w:rPr>
                <w:szCs w:val="20"/>
              </w:rPr>
            </w:pPr>
            <w:r w:rsidRPr="002A1088">
              <w:rPr>
                <w:szCs w:val="20"/>
              </w:rPr>
              <w:t xml:space="preserve">Pro pojistné nebezpečí </w:t>
            </w:r>
            <w:r w:rsidRPr="003B684E">
              <w:rPr>
                <w:b/>
                <w:szCs w:val="20"/>
              </w:rPr>
              <w:t xml:space="preserve">povodeň nebo záplava, </w:t>
            </w:r>
            <w:r w:rsidRPr="002A1088">
              <w:rPr>
                <w:szCs w:val="20"/>
              </w:rPr>
              <w:t xml:space="preserve">se sjednává spoluúčast ve výši </w:t>
            </w:r>
            <w:proofErr w:type="gramStart"/>
            <w:r w:rsidRPr="002A1088">
              <w:rPr>
                <w:b/>
                <w:szCs w:val="20"/>
              </w:rPr>
              <w:t>10%</w:t>
            </w:r>
            <w:proofErr w:type="gramEnd"/>
            <w:r w:rsidRPr="002A1088">
              <w:rPr>
                <w:b/>
                <w:szCs w:val="20"/>
              </w:rPr>
              <w:t>, min. 20 000,- Kč</w:t>
            </w:r>
            <w:r>
              <w:rPr>
                <w:b/>
                <w:szCs w:val="20"/>
              </w:rPr>
              <w:t>.</w:t>
            </w:r>
          </w:p>
        </w:tc>
      </w:tr>
    </w:tbl>
    <w:p w14:paraId="0295383C" w14:textId="77777777" w:rsidR="00F77082" w:rsidRDefault="00F77082" w:rsidP="00F77082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14:paraId="1CB06CE4" w14:textId="77777777" w:rsidR="003946BC" w:rsidRPr="007E6334" w:rsidRDefault="003946BC" w:rsidP="00F77082">
      <w:pPr>
        <w:keepNext/>
        <w:rPr>
          <w:szCs w:val="20"/>
        </w:rPr>
      </w:pPr>
    </w:p>
    <w:p w14:paraId="71A2E9AE" w14:textId="77777777" w:rsidR="00292218" w:rsidRPr="006368D9" w:rsidRDefault="00292218" w:rsidP="00292218">
      <w:pPr>
        <w:ind w:left="567" w:hanging="567"/>
        <w:rPr>
          <w:b/>
          <w:szCs w:val="20"/>
        </w:rPr>
      </w:pPr>
      <w:r>
        <w:rPr>
          <w:b/>
          <w:szCs w:val="20"/>
        </w:rPr>
        <w:t>2.2</w:t>
      </w:r>
      <w:r w:rsidRPr="006368D9">
        <w:rPr>
          <w:b/>
          <w:szCs w:val="20"/>
        </w:rPr>
        <w:t>.1</w:t>
      </w:r>
      <w:r>
        <w:rPr>
          <w:b/>
          <w:szCs w:val="20"/>
        </w:rPr>
        <w:tab/>
      </w:r>
      <w:r w:rsidRPr="006368D9">
        <w:rPr>
          <w:b/>
          <w:szCs w:val="20"/>
        </w:rPr>
        <w:t>Pojištění pro případ odcizení</w:t>
      </w:r>
    </w:p>
    <w:tbl>
      <w:tblPr>
        <w:tblStyle w:val="Mkatabulky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48"/>
        <w:gridCol w:w="992"/>
        <w:gridCol w:w="1134"/>
        <w:gridCol w:w="1276"/>
        <w:gridCol w:w="1418"/>
        <w:gridCol w:w="1275"/>
      </w:tblGrid>
      <w:tr w:rsidR="00C125FC" w:rsidRPr="006368D9" w14:paraId="3E170CAA" w14:textId="77777777" w:rsidTr="00F77082">
        <w:tc>
          <w:tcPr>
            <w:tcW w:w="9752" w:type="dxa"/>
            <w:gridSpan w:val="7"/>
          </w:tcPr>
          <w:p w14:paraId="7679EA1B" w14:textId="77777777" w:rsidR="00C125FC" w:rsidRPr="006368D9" w:rsidRDefault="00C125FC" w:rsidP="00DB0387">
            <w:pPr>
              <w:rPr>
                <w:b/>
                <w:szCs w:val="20"/>
              </w:rPr>
            </w:pPr>
            <w:r w:rsidRPr="006368D9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 w:rsidRPr="000F06FB">
              <w:rPr>
                <w:szCs w:val="20"/>
              </w:rPr>
              <w:t>dle příloh 2 a 3 pojistné smlouvy</w:t>
            </w:r>
          </w:p>
        </w:tc>
      </w:tr>
      <w:tr w:rsidR="00C125FC" w:rsidRPr="006368D9" w14:paraId="5D933211" w14:textId="77777777" w:rsidTr="00F77082">
        <w:tc>
          <w:tcPr>
            <w:tcW w:w="9752" w:type="dxa"/>
            <w:gridSpan w:val="7"/>
          </w:tcPr>
          <w:p w14:paraId="154D9D2B" w14:textId="77777777" w:rsidR="00C125FC" w:rsidRPr="006368D9" w:rsidRDefault="00C125FC" w:rsidP="00DB0387">
            <w:pPr>
              <w:rPr>
                <w:b/>
                <w:szCs w:val="20"/>
              </w:rPr>
            </w:pPr>
            <w:r w:rsidRPr="006368D9">
              <w:rPr>
                <w:b/>
                <w:szCs w:val="20"/>
              </w:rPr>
              <w:t xml:space="preserve">Rozsah pojištění: </w:t>
            </w:r>
            <w:r w:rsidRPr="006368D9">
              <w:rPr>
                <w:szCs w:val="20"/>
              </w:rPr>
              <w:t>pojištění pro případ odcizení</w:t>
            </w:r>
            <w:r>
              <w:rPr>
                <w:szCs w:val="20"/>
              </w:rPr>
              <w:t xml:space="preserve"> (s výjimkou loupeže přepravovaných peněz nebo cenin)</w:t>
            </w:r>
          </w:p>
        </w:tc>
      </w:tr>
      <w:tr w:rsidR="00C125FC" w:rsidRPr="006368D9" w14:paraId="2DA71FB6" w14:textId="77777777" w:rsidTr="00F77082">
        <w:tc>
          <w:tcPr>
            <w:tcW w:w="9752" w:type="dxa"/>
            <w:gridSpan w:val="7"/>
          </w:tcPr>
          <w:p w14:paraId="72F49FE6" w14:textId="77777777" w:rsidR="00C125FC" w:rsidRPr="006368D9" w:rsidRDefault="00C125FC" w:rsidP="00DB0387">
            <w:pPr>
              <w:rPr>
                <w:szCs w:val="20"/>
              </w:rPr>
            </w:pPr>
            <w:r w:rsidRPr="006368D9">
              <w:rPr>
                <w:b/>
                <w:szCs w:val="20"/>
              </w:rPr>
              <w:t>Pojištění se řídí:</w:t>
            </w:r>
            <w:r w:rsidRPr="006368D9">
              <w:rPr>
                <w:szCs w:val="20"/>
              </w:rPr>
              <w:t xml:space="preserve"> VPP P-100/14, ZPP P-200/14 a doložkami DOB101, DOB103, </w:t>
            </w:r>
            <w:r>
              <w:rPr>
                <w:szCs w:val="20"/>
              </w:rPr>
              <w:t>DOZ101, DOZ105</w:t>
            </w:r>
          </w:p>
        </w:tc>
      </w:tr>
      <w:tr w:rsidR="0023314D" w:rsidRPr="006368D9" w14:paraId="236F29B0" w14:textId="77777777" w:rsidTr="00F77082">
        <w:tc>
          <w:tcPr>
            <w:tcW w:w="709" w:type="dxa"/>
            <w:vAlign w:val="center"/>
          </w:tcPr>
          <w:p w14:paraId="7F7844FB" w14:textId="1E49D98C" w:rsidR="0023314D" w:rsidRPr="006368D9" w:rsidRDefault="0023314D" w:rsidP="0023314D">
            <w:pPr>
              <w:jc w:val="center"/>
              <w:rPr>
                <w:b/>
                <w:szCs w:val="20"/>
              </w:rPr>
            </w:pPr>
            <w:proofErr w:type="spellStart"/>
            <w:r w:rsidRPr="00AC0C71">
              <w:rPr>
                <w:b/>
              </w:rPr>
              <w:t>Poř</w:t>
            </w:r>
            <w:proofErr w:type="spellEnd"/>
            <w:r w:rsidRPr="00AC0C71">
              <w:rPr>
                <w:b/>
              </w:rPr>
              <w:t>. číslo</w:t>
            </w:r>
          </w:p>
        </w:tc>
        <w:tc>
          <w:tcPr>
            <w:tcW w:w="2948" w:type="dxa"/>
            <w:vAlign w:val="center"/>
          </w:tcPr>
          <w:p w14:paraId="43FB5668" w14:textId="2DF22288" w:rsidR="0023314D" w:rsidRPr="006368D9" w:rsidRDefault="0023314D" w:rsidP="0023314D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992" w:type="dxa"/>
            <w:vAlign w:val="center"/>
          </w:tcPr>
          <w:p w14:paraId="1C2EAC20" w14:textId="16E83D2B" w:rsidR="0023314D" w:rsidRPr="006368D9" w:rsidRDefault="0023314D" w:rsidP="0023314D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134" w:type="dxa"/>
            <w:vAlign w:val="center"/>
          </w:tcPr>
          <w:p w14:paraId="458E0105" w14:textId="3E5F55AF" w:rsidR="0023314D" w:rsidRPr="006368D9" w:rsidRDefault="0023314D" w:rsidP="0023314D">
            <w:pPr>
              <w:ind w:left="-104" w:right="-110"/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73C9FBE6" w14:textId="09A1A4DB" w:rsidR="0023314D" w:rsidRPr="006368D9" w:rsidRDefault="0023314D" w:rsidP="0023314D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*) 1)</w:t>
            </w:r>
          </w:p>
        </w:tc>
        <w:tc>
          <w:tcPr>
            <w:tcW w:w="1418" w:type="dxa"/>
            <w:vAlign w:val="center"/>
          </w:tcPr>
          <w:p w14:paraId="014A1DCE" w14:textId="77777777" w:rsidR="0023314D" w:rsidRPr="00AC0C71" w:rsidRDefault="0023314D" w:rsidP="0023314D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511A3320" w14:textId="13660D14" w:rsidR="0023314D" w:rsidRPr="006368D9" w:rsidRDefault="0023314D" w:rsidP="0023314D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14:paraId="75283B12" w14:textId="0B9782F7" w:rsidR="0023314D" w:rsidRPr="006368D9" w:rsidRDefault="0023314D" w:rsidP="0023314D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623450" w:rsidRPr="006368D9" w14:paraId="08456A2D" w14:textId="77777777" w:rsidTr="00623450">
        <w:tc>
          <w:tcPr>
            <w:tcW w:w="709" w:type="dxa"/>
            <w:vAlign w:val="center"/>
          </w:tcPr>
          <w:p w14:paraId="7A9EFA0F" w14:textId="77777777" w:rsidR="00623450" w:rsidRPr="006368D9" w:rsidRDefault="00623450" w:rsidP="0068566E">
            <w:pPr>
              <w:jc w:val="center"/>
              <w:rPr>
                <w:szCs w:val="20"/>
              </w:rPr>
            </w:pPr>
            <w:r w:rsidRPr="006368D9">
              <w:rPr>
                <w:szCs w:val="20"/>
              </w:rPr>
              <w:t>1.</w:t>
            </w:r>
          </w:p>
        </w:tc>
        <w:tc>
          <w:tcPr>
            <w:tcW w:w="2948" w:type="dxa"/>
            <w:vAlign w:val="center"/>
          </w:tcPr>
          <w:p w14:paraId="3FEC0956" w14:textId="69D60812" w:rsidR="00623450" w:rsidRPr="006368D9" w:rsidRDefault="00623450" w:rsidP="0068566E">
            <w:pPr>
              <w:jc w:val="left"/>
              <w:rPr>
                <w:szCs w:val="20"/>
              </w:rPr>
            </w:pPr>
            <w:r w:rsidRPr="006019F9">
              <w:rPr>
                <w:bCs/>
                <w:szCs w:val="20"/>
              </w:rPr>
              <w:t>Vlastní nemovité objekty dle příloh číslo 2</w:t>
            </w:r>
            <w:r w:rsidR="00F134EE">
              <w:rPr>
                <w:bCs/>
                <w:szCs w:val="20"/>
              </w:rPr>
              <w:t xml:space="preserve"> a 3</w:t>
            </w:r>
          </w:p>
        </w:tc>
        <w:tc>
          <w:tcPr>
            <w:tcW w:w="992" w:type="dxa"/>
            <w:vMerge w:val="restart"/>
            <w:vAlign w:val="center"/>
          </w:tcPr>
          <w:p w14:paraId="5D2EF3B2" w14:textId="53E00C0D" w:rsidR="00623450" w:rsidRPr="006368D9" w:rsidRDefault="00623450" w:rsidP="0062345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14:paraId="6D47CA21" w14:textId="283F0E67" w:rsidR="00623450" w:rsidRPr="00FA7E24" w:rsidRDefault="00623450" w:rsidP="0068566E">
            <w:pPr>
              <w:jc w:val="center"/>
              <w:rPr>
                <w:szCs w:val="20"/>
              </w:rPr>
            </w:pPr>
            <w:r w:rsidRPr="00FA7E24">
              <w:rPr>
                <w:szCs w:val="20"/>
              </w:rPr>
              <w:t>5 000 Kč</w:t>
            </w:r>
          </w:p>
        </w:tc>
        <w:tc>
          <w:tcPr>
            <w:tcW w:w="1276" w:type="dxa"/>
            <w:vMerge w:val="restart"/>
            <w:vAlign w:val="center"/>
          </w:tcPr>
          <w:p w14:paraId="7622455A" w14:textId="77777777" w:rsidR="00623450" w:rsidRPr="00C05B04" w:rsidRDefault="00623450" w:rsidP="0068566E">
            <w:pPr>
              <w:jc w:val="center"/>
              <w:rPr>
                <w:szCs w:val="20"/>
                <w:vertAlign w:val="superscript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Merge w:val="restart"/>
            <w:vAlign w:val="center"/>
          </w:tcPr>
          <w:p w14:paraId="1BCB8728" w14:textId="77777777" w:rsidR="00623450" w:rsidRPr="006368D9" w:rsidRDefault="00623450" w:rsidP="006856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2 000 000 Kč</w:t>
            </w:r>
          </w:p>
        </w:tc>
        <w:tc>
          <w:tcPr>
            <w:tcW w:w="1275" w:type="dxa"/>
            <w:vMerge w:val="restart"/>
            <w:vAlign w:val="center"/>
          </w:tcPr>
          <w:p w14:paraId="6A0CCDF0" w14:textId="43A1E8A9" w:rsidR="00623450" w:rsidRPr="006368D9" w:rsidRDefault="00623450" w:rsidP="006856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  <w:tr w:rsidR="00623450" w:rsidRPr="006368D9" w14:paraId="60A11470" w14:textId="77777777" w:rsidTr="00AD6A29">
        <w:tc>
          <w:tcPr>
            <w:tcW w:w="709" w:type="dxa"/>
            <w:vAlign w:val="center"/>
          </w:tcPr>
          <w:p w14:paraId="7574109D" w14:textId="71D3A644" w:rsidR="00623450" w:rsidRPr="006368D9" w:rsidRDefault="00623450" w:rsidP="006856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948" w:type="dxa"/>
            <w:vAlign w:val="center"/>
          </w:tcPr>
          <w:p w14:paraId="00AE3AC5" w14:textId="22DA779F" w:rsidR="00623450" w:rsidRDefault="00623450" w:rsidP="0068566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Soubor vlastních ostatních </w:t>
            </w:r>
            <w:proofErr w:type="gramStart"/>
            <w:r>
              <w:rPr>
                <w:szCs w:val="20"/>
              </w:rPr>
              <w:t>staveb</w:t>
            </w:r>
            <w:r w:rsidR="00176752">
              <w:rPr>
                <w:szCs w:val="20"/>
              </w:rPr>
              <w:t>- zpevněné</w:t>
            </w:r>
            <w:proofErr w:type="gramEnd"/>
            <w:r w:rsidR="00176752">
              <w:rPr>
                <w:szCs w:val="20"/>
              </w:rPr>
              <w:t xml:space="preserve"> plochy, sítě, oplocení pojištěných nemovitých objektů</w:t>
            </w:r>
          </w:p>
        </w:tc>
        <w:tc>
          <w:tcPr>
            <w:tcW w:w="992" w:type="dxa"/>
            <w:vMerge/>
          </w:tcPr>
          <w:p w14:paraId="3711420D" w14:textId="77777777" w:rsidR="00623450" w:rsidRPr="006368D9" w:rsidRDefault="00623450" w:rsidP="0068566E">
            <w:pPr>
              <w:rPr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C1FC631" w14:textId="77777777" w:rsidR="00623450" w:rsidRPr="00FA7E24" w:rsidRDefault="00623450" w:rsidP="0068566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A030018" w14:textId="77777777" w:rsidR="00623450" w:rsidRPr="008F1C82" w:rsidRDefault="00623450" w:rsidP="0068566E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0277EB2" w14:textId="77777777" w:rsidR="00623450" w:rsidRDefault="00623450" w:rsidP="0068566E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63454AC" w14:textId="77777777" w:rsidR="00623450" w:rsidRDefault="00623450" w:rsidP="0068566E">
            <w:pPr>
              <w:jc w:val="center"/>
              <w:rPr>
                <w:szCs w:val="20"/>
              </w:rPr>
            </w:pPr>
          </w:p>
        </w:tc>
      </w:tr>
      <w:tr w:rsidR="00623450" w:rsidRPr="006368D9" w14:paraId="175A69CF" w14:textId="77777777" w:rsidTr="00AD6A29">
        <w:tc>
          <w:tcPr>
            <w:tcW w:w="709" w:type="dxa"/>
            <w:vAlign w:val="center"/>
          </w:tcPr>
          <w:p w14:paraId="2AF8375B" w14:textId="5E43A9E5" w:rsidR="00623450" w:rsidRPr="006368D9" w:rsidRDefault="00623450" w:rsidP="006856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2948" w:type="dxa"/>
            <w:vAlign w:val="center"/>
          </w:tcPr>
          <w:p w14:paraId="0F706E4F" w14:textId="01F98886" w:rsidR="00623450" w:rsidRDefault="00623450" w:rsidP="0068566E">
            <w:pPr>
              <w:jc w:val="left"/>
              <w:rPr>
                <w:szCs w:val="20"/>
              </w:rPr>
            </w:pPr>
            <w:r w:rsidRPr="008E79FA">
              <w:rPr>
                <w:szCs w:val="20"/>
              </w:rPr>
              <w:t>Soubor vlastního</w:t>
            </w:r>
            <w:r>
              <w:rPr>
                <w:szCs w:val="20"/>
              </w:rPr>
              <w:t xml:space="preserve"> </w:t>
            </w:r>
            <w:r w:rsidRPr="008E79FA">
              <w:rPr>
                <w:szCs w:val="20"/>
              </w:rPr>
              <w:t>movitého zařízení a vybavení</w:t>
            </w:r>
            <w:r>
              <w:rPr>
                <w:szCs w:val="20"/>
              </w:rPr>
              <w:t xml:space="preserve"> v místě </w:t>
            </w:r>
            <w:proofErr w:type="gramStart"/>
            <w:r>
              <w:rPr>
                <w:szCs w:val="20"/>
              </w:rPr>
              <w:t>pojištění - Brno</w:t>
            </w:r>
            <w:proofErr w:type="gramEnd"/>
            <w:r>
              <w:rPr>
                <w:szCs w:val="20"/>
              </w:rPr>
              <w:t>, Janouškova 577/2</w:t>
            </w:r>
          </w:p>
        </w:tc>
        <w:tc>
          <w:tcPr>
            <w:tcW w:w="992" w:type="dxa"/>
            <w:vMerge/>
          </w:tcPr>
          <w:p w14:paraId="674494C7" w14:textId="77777777" w:rsidR="00623450" w:rsidRPr="006368D9" w:rsidRDefault="00623450" w:rsidP="0068566E">
            <w:pPr>
              <w:rPr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D0C8C74" w14:textId="77777777" w:rsidR="00623450" w:rsidRPr="00FA7E24" w:rsidRDefault="00623450" w:rsidP="0068566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752923" w14:textId="77777777" w:rsidR="00623450" w:rsidRPr="008F1C82" w:rsidRDefault="00623450" w:rsidP="0068566E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AB80C3E" w14:textId="77777777" w:rsidR="00623450" w:rsidRDefault="00623450" w:rsidP="0068566E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BA68FB" w14:textId="77777777" w:rsidR="00623450" w:rsidRDefault="00623450" w:rsidP="0068566E">
            <w:pPr>
              <w:jc w:val="center"/>
              <w:rPr>
                <w:szCs w:val="20"/>
              </w:rPr>
            </w:pPr>
          </w:p>
        </w:tc>
      </w:tr>
      <w:tr w:rsidR="00623450" w:rsidRPr="006368D9" w14:paraId="3F624273" w14:textId="77777777" w:rsidTr="00AD6A29">
        <w:tc>
          <w:tcPr>
            <w:tcW w:w="709" w:type="dxa"/>
            <w:vAlign w:val="center"/>
          </w:tcPr>
          <w:p w14:paraId="4645A5E3" w14:textId="09E76F8A" w:rsidR="00623450" w:rsidRPr="006368D9" w:rsidRDefault="00623450" w:rsidP="006856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2948" w:type="dxa"/>
            <w:vAlign w:val="center"/>
          </w:tcPr>
          <w:p w14:paraId="78F9C602" w14:textId="5CF7249D" w:rsidR="00623450" w:rsidRDefault="00623450" w:rsidP="0068566E">
            <w:pPr>
              <w:jc w:val="left"/>
              <w:rPr>
                <w:szCs w:val="20"/>
              </w:rPr>
            </w:pPr>
            <w:r w:rsidRPr="008E79FA">
              <w:rPr>
                <w:szCs w:val="20"/>
              </w:rPr>
              <w:t>Soubor vlastního</w:t>
            </w:r>
            <w:r>
              <w:rPr>
                <w:szCs w:val="20"/>
              </w:rPr>
              <w:t xml:space="preserve"> </w:t>
            </w:r>
            <w:r w:rsidRPr="008E79FA">
              <w:rPr>
                <w:szCs w:val="20"/>
              </w:rPr>
              <w:t>movitého zařízení a vybavení</w:t>
            </w:r>
            <w:r>
              <w:rPr>
                <w:szCs w:val="20"/>
              </w:rPr>
              <w:t xml:space="preserve"> v místě </w:t>
            </w:r>
            <w:proofErr w:type="gramStart"/>
            <w:r>
              <w:rPr>
                <w:szCs w:val="20"/>
              </w:rPr>
              <w:t xml:space="preserve">pojištění - </w:t>
            </w:r>
            <w:r w:rsidRPr="00522AB6">
              <w:rPr>
                <w:szCs w:val="20"/>
              </w:rPr>
              <w:t>Brno</w:t>
            </w:r>
            <w:proofErr w:type="gramEnd"/>
            <w:r w:rsidRPr="00522AB6">
              <w:rPr>
                <w:szCs w:val="20"/>
              </w:rPr>
              <w:t>, Zemědělská 173/29</w:t>
            </w:r>
            <w:r>
              <w:rPr>
                <w:szCs w:val="20"/>
              </w:rPr>
              <w:t xml:space="preserve"> – sportovní areál</w:t>
            </w:r>
          </w:p>
        </w:tc>
        <w:tc>
          <w:tcPr>
            <w:tcW w:w="992" w:type="dxa"/>
            <w:vMerge/>
          </w:tcPr>
          <w:p w14:paraId="212E450C" w14:textId="77777777" w:rsidR="00623450" w:rsidRPr="006368D9" w:rsidRDefault="00623450" w:rsidP="0068566E">
            <w:pPr>
              <w:rPr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71B9CD4" w14:textId="77777777" w:rsidR="00623450" w:rsidRPr="00FA7E24" w:rsidRDefault="00623450" w:rsidP="0068566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95C1EB9" w14:textId="77777777" w:rsidR="00623450" w:rsidRPr="008F1C82" w:rsidRDefault="00623450" w:rsidP="0068566E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E137167" w14:textId="77777777" w:rsidR="00623450" w:rsidRDefault="00623450" w:rsidP="0068566E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AF26038" w14:textId="77777777" w:rsidR="00623450" w:rsidRDefault="00623450" w:rsidP="0068566E">
            <w:pPr>
              <w:jc w:val="center"/>
              <w:rPr>
                <w:szCs w:val="20"/>
              </w:rPr>
            </w:pPr>
          </w:p>
        </w:tc>
      </w:tr>
      <w:tr w:rsidR="00C125FC" w:rsidRPr="006368D9" w14:paraId="00048CBA" w14:textId="77777777" w:rsidTr="00F77082">
        <w:tc>
          <w:tcPr>
            <w:tcW w:w="9752" w:type="dxa"/>
            <w:gridSpan w:val="7"/>
          </w:tcPr>
          <w:p w14:paraId="6A06E8BB" w14:textId="77777777" w:rsidR="00C125FC" w:rsidRDefault="00C125FC" w:rsidP="00DB0387">
            <w:pPr>
              <w:rPr>
                <w:szCs w:val="20"/>
              </w:rPr>
            </w:pPr>
            <w:r w:rsidRPr="006368D9">
              <w:rPr>
                <w:szCs w:val="20"/>
              </w:rPr>
              <w:t>Poznámky:</w:t>
            </w:r>
          </w:p>
          <w:p w14:paraId="261B4A77" w14:textId="1B868B19" w:rsidR="00C125FC" w:rsidRPr="0046667D" w:rsidRDefault="00F134EE" w:rsidP="00BC21B5">
            <w:pPr>
              <w:spacing w:before="60"/>
              <w:rPr>
                <w:rFonts w:cs="Arial"/>
                <w:szCs w:val="20"/>
                <w:highlight w:val="yellow"/>
              </w:rPr>
            </w:pPr>
            <w:r w:rsidRPr="00AE3ED7">
              <w:rPr>
                <w:szCs w:val="20"/>
              </w:rPr>
              <w:t>Pojištění</w:t>
            </w:r>
            <w:r>
              <w:rPr>
                <w:szCs w:val="20"/>
              </w:rPr>
              <w:t xml:space="preserve"> předmětu uvedeného pod poř.č.1</w:t>
            </w:r>
            <w:r w:rsidRPr="00AE3ED7">
              <w:rPr>
                <w:szCs w:val="20"/>
              </w:rPr>
              <w:t xml:space="preserve"> se vztahuje i na pamětní desku v parku Stanislava Krátkého (pojistná částka 48</w:t>
            </w:r>
            <w:r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300,-</w:t>
            </w:r>
            <w:r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Kč</w:t>
            </w:r>
            <w:r>
              <w:rPr>
                <w:szCs w:val="20"/>
              </w:rPr>
              <w:t>)</w:t>
            </w:r>
            <w:r w:rsidRPr="00AE3ED7">
              <w:rPr>
                <w:szCs w:val="20"/>
              </w:rPr>
              <w:t>, Brno</w:t>
            </w:r>
            <w:r>
              <w:rPr>
                <w:szCs w:val="20"/>
              </w:rPr>
              <w:t>-</w:t>
            </w:r>
            <w:r w:rsidRPr="00AE3ED7">
              <w:rPr>
                <w:szCs w:val="20"/>
              </w:rPr>
              <w:t xml:space="preserve">Černá Pole a </w:t>
            </w:r>
            <w:r>
              <w:rPr>
                <w:szCs w:val="20"/>
              </w:rPr>
              <w:t xml:space="preserve">na </w:t>
            </w:r>
            <w:r w:rsidRPr="00AE3ED7">
              <w:rPr>
                <w:szCs w:val="20"/>
              </w:rPr>
              <w:t xml:space="preserve">pamětní desku Bojovníkům za svobodu v parku Marie </w:t>
            </w:r>
            <w:proofErr w:type="spellStart"/>
            <w:r w:rsidRPr="00AE3ED7">
              <w:rPr>
                <w:szCs w:val="20"/>
              </w:rPr>
              <w:t>Restituty</w:t>
            </w:r>
            <w:proofErr w:type="spellEnd"/>
            <w:r w:rsidRPr="00AE3ED7">
              <w:rPr>
                <w:szCs w:val="20"/>
              </w:rPr>
              <w:t xml:space="preserve"> (pojistná částka 59</w:t>
            </w:r>
            <w:r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987,-</w:t>
            </w:r>
            <w:r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Kč)</w:t>
            </w:r>
            <w:r>
              <w:rPr>
                <w:szCs w:val="20"/>
              </w:rPr>
              <w:t xml:space="preserve">, </w:t>
            </w:r>
            <w:r w:rsidRPr="00AE3ED7">
              <w:rPr>
                <w:szCs w:val="20"/>
              </w:rPr>
              <w:t>Brno-Husovice</w:t>
            </w:r>
            <w:r w:rsidR="00C94D66">
              <w:rPr>
                <w:szCs w:val="20"/>
              </w:rPr>
              <w:t>.</w:t>
            </w:r>
          </w:p>
        </w:tc>
      </w:tr>
    </w:tbl>
    <w:p w14:paraId="499778B6" w14:textId="77777777" w:rsidR="00C125FC" w:rsidRDefault="00C125FC" w:rsidP="00C125FC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14:paraId="45444955" w14:textId="77777777" w:rsidR="007E6334" w:rsidRPr="007E6334" w:rsidRDefault="007E6334" w:rsidP="00C125FC">
      <w:pPr>
        <w:keepNext/>
        <w:rPr>
          <w:szCs w:val="20"/>
        </w:rPr>
      </w:pPr>
    </w:p>
    <w:p w14:paraId="3DE1C172" w14:textId="2CDEC370" w:rsidR="00292218" w:rsidRDefault="00292218" w:rsidP="00966E2E">
      <w:pPr>
        <w:ind w:left="567" w:hanging="567"/>
        <w:rPr>
          <w:b/>
          <w:szCs w:val="20"/>
        </w:rPr>
      </w:pPr>
      <w:r w:rsidRPr="006368D9">
        <w:rPr>
          <w:b/>
          <w:szCs w:val="20"/>
        </w:rPr>
        <w:t>2.</w:t>
      </w:r>
      <w:r>
        <w:rPr>
          <w:b/>
          <w:szCs w:val="20"/>
        </w:rPr>
        <w:t>3</w:t>
      </w:r>
      <w:r w:rsidRPr="006368D9">
        <w:rPr>
          <w:b/>
          <w:szCs w:val="20"/>
        </w:rPr>
        <w:t>.1</w:t>
      </w:r>
      <w:r>
        <w:rPr>
          <w:b/>
          <w:szCs w:val="20"/>
        </w:rPr>
        <w:tab/>
      </w:r>
      <w:r w:rsidRPr="006368D9">
        <w:rPr>
          <w:b/>
          <w:szCs w:val="20"/>
        </w:rPr>
        <w:t>Pojištění pro případ vandalismu</w:t>
      </w:r>
    </w:p>
    <w:tbl>
      <w:tblPr>
        <w:tblStyle w:val="Mkatabulky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48"/>
        <w:gridCol w:w="992"/>
        <w:gridCol w:w="1134"/>
        <w:gridCol w:w="1276"/>
        <w:gridCol w:w="1418"/>
        <w:gridCol w:w="1275"/>
      </w:tblGrid>
      <w:tr w:rsidR="00261068" w:rsidRPr="006368D9" w14:paraId="0073B1EA" w14:textId="77777777" w:rsidTr="00DE63A7">
        <w:tc>
          <w:tcPr>
            <w:tcW w:w="9752" w:type="dxa"/>
            <w:gridSpan w:val="7"/>
          </w:tcPr>
          <w:p w14:paraId="3D299CDD" w14:textId="77777777" w:rsidR="00261068" w:rsidRPr="006368D9" w:rsidRDefault="00261068" w:rsidP="00DB0387">
            <w:pPr>
              <w:rPr>
                <w:b/>
                <w:szCs w:val="20"/>
              </w:rPr>
            </w:pPr>
            <w:r w:rsidRPr="006368D9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 w:rsidRPr="000F06FB">
              <w:rPr>
                <w:szCs w:val="20"/>
              </w:rPr>
              <w:t>dle příloh 2 a 3 pojistné smlouvy</w:t>
            </w:r>
          </w:p>
        </w:tc>
      </w:tr>
      <w:tr w:rsidR="00261068" w:rsidRPr="006368D9" w14:paraId="674825E1" w14:textId="77777777" w:rsidTr="00DE63A7">
        <w:tc>
          <w:tcPr>
            <w:tcW w:w="9752" w:type="dxa"/>
            <w:gridSpan w:val="7"/>
          </w:tcPr>
          <w:p w14:paraId="717D1980" w14:textId="0A8B5ADB" w:rsidR="00261068" w:rsidRPr="006368D9" w:rsidRDefault="00261068" w:rsidP="00261068">
            <w:pPr>
              <w:rPr>
                <w:b/>
                <w:szCs w:val="20"/>
              </w:rPr>
            </w:pPr>
            <w:r w:rsidRPr="006368D9">
              <w:rPr>
                <w:b/>
                <w:szCs w:val="20"/>
              </w:rPr>
              <w:t xml:space="preserve">Rozsah pojištění: </w:t>
            </w:r>
            <w:r w:rsidRPr="006368D9">
              <w:rPr>
                <w:szCs w:val="20"/>
              </w:rPr>
              <w:t>pojištění pro případ vandalismu</w:t>
            </w:r>
          </w:p>
        </w:tc>
      </w:tr>
      <w:tr w:rsidR="00261068" w:rsidRPr="006368D9" w14:paraId="5F1E84AC" w14:textId="77777777" w:rsidTr="00DE63A7">
        <w:tc>
          <w:tcPr>
            <w:tcW w:w="9752" w:type="dxa"/>
            <w:gridSpan w:val="7"/>
          </w:tcPr>
          <w:p w14:paraId="55E22126" w14:textId="296F83A2" w:rsidR="00261068" w:rsidRPr="006368D9" w:rsidRDefault="00261068" w:rsidP="00261068">
            <w:pPr>
              <w:rPr>
                <w:szCs w:val="20"/>
              </w:rPr>
            </w:pPr>
            <w:r w:rsidRPr="006368D9">
              <w:rPr>
                <w:b/>
                <w:szCs w:val="20"/>
              </w:rPr>
              <w:t>Pojištění se řídí:</w:t>
            </w:r>
            <w:r w:rsidRPr="006368D9">
              <w:rPr>
                <w:szCs w:val="20"/>
              </w:rPr>
              <w:t xml:space="preserve"> VPP P-100/14, ZPP P-200/14 a doložkami DOB101, DOB103</w:t>
            </w:r>
            <w:r>
              <w:rPr>
                <w:szCs w:val="20"/>
              </w:rPr>
              <w:t xml:space="preserve">, </w:t>
            </w:r>
            <w:r w:rsidR="00810428">
              <w:rPr>
                <w:szCs w:val="20"/>
              </w:rPr>
              <w:t xml:space="preserve">DOZ101, </w:t>
            </w:r>
            <w:r w:rsidR="003070A4">
              <w:rPr>
                <w:szCs w:val="20"/>
              </w:rPr>
              <w:t xml:space="preserve">DOZ105, </w:t>
            </w:r>
            <w:r>
              <w:rPr>
                <w:szCs w:val="20"/>
              </w:rPr>
              <w:t>DODC101, DODC102</w:t>
            </w:r>
          </w:p>
        </w:tc>
      </w:tr>
      <w:tr w:rsidR="00831A1C" w:rsidRPr="006368D9" w14:paraId="6C7EB00B" w14:textId="77777777" w:rsidTr="00831A1C">
        <w:tc>
          <w:tcPr>
            <w:tcW w:w="709" w:type="dxa"/>
            <w:vAlign w:val="center"/>
          </w:tcPr>
          <w:p w14:paraId="30D49A78" w14:textId="4298DCE9" w:rsidR="00831A1C" w:rsidRPr="006368D9" w:rsidRDefault="00831A1C" w:rsidP="00831A1C">
            <w:pPr>
              <w:jc w:val="center"/>
              <w:rPr>
                <w:b/>
                <w:szCs w:val="20"/>
              </w:rPr>
            </w:pPr>
            <w:proofErr w:type="spellStart"/>
            <w:r w:rsidRPr="00AC0C71">
              <w:rPr>
                <w:b/>
              </w:rPr>
              <w:t>Poř</w:t>
            </w:r>
            <w:proofErr w:type="spellEnd"/>
            <w:r w:rsidRPr="00AC0C71">
              <w:rPr>
                <w:b/>
              </w:rPr>
              <w:t>. číslo</w:t>
            </w:r>
          </w:p>
        </w:tc>
        <w:tc>
          <w:tcPr>
            <w:tcW w:w="2948" w:type="dxa"/>
            <w:vAlign w:val="center"/>
          </w:tcPr>
          <w:p w14:paraId="6736BB38" w14:textId="5BABEF16" w:rsidR="00831A1C" w:rsidRPr="006368D9" w:rsidRDefault="00831A1C" w:rsidP="00831A1C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992" w:type="dxa"/>
            <w:vAlign w:val="center"/>
          </w:tcPr>
          <w:p w14:paraId="39B93414" w14:textId="13B9E9DC" w:rsidR="00831A1C" w:rsidRPr="006368D9" w:rsidRDefault="00831A1C" w:rsidP="00831A1C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134" w:type="dxa"/>
            <w:vAlign w:val="center"/>
          </w:tcPr>
          <w:p w14:paraId="110FA9DA" w14:textId="57B3237C" w:rsidR="00831A1C" w:rsidRPr="006368D9" w:rsidRDefault="00831A1C" w:rsidP="00831A1C">
            <w:pPr>
              <w:ind w:left="-104" w:right="-110"/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20F3C7B8" w14:textId="594308F2" w:rsidR="00831A1C" w:rsidRPr="006368D9" w:rsidRDefault="00831A1C" w:rsidP="00831A1C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*) 1)</w:t>
            </w:r>
          </w:p>
        </w:tc>
        <w:tc>
          <w:tcPr>
            <w:tcW w:w="1418" w:type="dxa"/>
            <w:vAlign w:val="center"/>
          </w:tcPr>
          <w:p w14:paraId="53ACEE32" w14:textId="77777777" w:rsidR="00831A1C" w:rsidRPr="00AC0C71" w:rsidRDefault="00831A1C" w:rsidP="00831A1C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48DD8104" w14:textId="2C3ACB02" w:rsidR="00831A1C" w:rsidRPr="006368D9" w:rsidRDefault="00831A1C" w:rsidP="00831A1C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14:paraId="74AB58E8" w14:textId="76D57D08" w:rsidR="00831A1C" w:rsidRPr="006368D9" w:rsidRDefault="00831A1C" w:rsidP="00831A1C">
            <w:pPr>
              <w:jc w:val="center"/>
              <w:rPr>
                <w:b/>
                <w:szCs w:val="20"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D6671A" w:rsidRPr="006368D9" w14:paraId="2117A954" w14:textId="77777777" w:rsidTr="00831A1C">
        <w:tc>
          <w:tcPr>
            <w:tcW w:w="709" w:type="dxa"/>
            <w:vAlign w:val="center"/>
          </w:tcPr>
          <w:p w14:paraId="53348843" w14:textId="24535FFF" w:rsidR="00D6671A" w:rsidRPr="006368D9" w:rsidRDefault="00D6671A" w:rsidP="00F11592">
            <w:pPr>
              <w:jc w:val="center"/>
              <w:rPr>
                <w:szCs w:val="20"/>
              </w:rPr>
            </w:pPr>
            <w:r w:rsidRPr="006368D9">
              <w:rPr>
                <w:szCs w:val="20"/>
              </w:rPr>
              <w:t>1.</w:t>
            </w:r>
          </w:p>
        </w:tc>
        <w:tc>
          <w:tcPr>
            <w:tcW w:w="2948" w:type="dxa"/>
            <w:vAlign w:val="center"/>
          </w:tcPr>
          <w:p w14:paraId="215C4C55" w14:textId="7F29C01A" w:rsidR="00D6671A" w:rsidRPr="006368D9" w:rsidRDefault="00D6671A" w:rsidP="00F11592">
            <w:pPr>
              <w:jc w:val="left"/>
              <w:rPr>
                <w:szCs w:val="20"/>
              </w:rPr>
            </w:pPr>
            <w:r w:rsidRPr="006019F9">
              <w:rPr>
                <w:bCs/>
                <w:szCs w:val="20"/>
              </w:rPr>
              <w:t>Vlastní nemovité objekty dle příloh číslo 2</w:t>
            </w:r>
            <w:r>
              <w:rPr>
                <w:bCs/>
                <w:szCs w:val="20"/>
              </w:rPr>
              <w:t xml:space="preserve"> a 3</w:t>
            </w:r>
          </w:p>
        </w:tc>
        <w:tc>
          <w:tcPr>
            <w:tcW w:w="992" w:type="dxa"/>
            <w:vMerge w:val="restart"/>
            <w:vAlign w:val="center"/>
          </w:tcPr>
          <w:p w14:paraId="6CE9121F" w14:textId="27717F80" w:rsidR="00D6671A" w:rsidRPr="006368D9" w:rsidRDefault="003070A4" w:rsidP="003070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14:paraId="446926C6" w14:textId="1462C853" w:rsidR="00D6671A" w:rsidRPr="00FA7E24" w:rsidRDefault="00D6671A" w:rsidP="00F11592">
            <w:pPr>
              <w:jc w:val="center"/>
              <w:rPr>
                <w:szCs w:val="20"/>
              </w:rPr>
            </w:pPr>
            <w:proofErr w:type="gramStart"/>
            <w:r w:rsidRPr="00FA7E24">
              <w:rPr>
                <w:szCs w:val="20"/>
              </w:rPr>
              <w:t>10%</w:t>
            </w:r>
            <w:proofErr w:type="gramEnd"/>
            <w:r w:rsidRPr="00FA7E24">
              <w:rPr>
                <w:szCs w:val="20"/>
              </w:rPr>
              <w:t>, min. 5 000 Kč</w:t>
            </w:r>
          </w:p>
        </w:tc>
        <w:tc>
          <w:tcPr>
            <w:tcW w:w="1276" w:type="dxa"/>
            <w:vMerge w:val="restart"/>
            <w:vAlign w:val="center"/>
          </w:tcPr>
          <w:p w14:paraId="110148FB" w14:textId="77777777" w:rsidR="00D6671A" w:rsidRPr="00C05B04" w:rsidRDefault="00D6671A" w:rsidP="00F11592">
            <w:pPr>
              <w:jc w:val="center"/>
              <w:rPr>
                <w:szCs w:val="20"/>
                <w:vertAlign w:val="superscript"/>
              </w:rPr>
            </w:pPr>
            <w:r w:rsidRPr="008F1C82">
              <w:rPr>
                <w:szCs w:val="20"/>
              </w:rPr>
              <w:t>*)</w:t>
            </w:r>
          </w:p>
        </w:tc>
        <w:tc>
          <w:tcPr>
            <w:tcW w:w="1418" w:type="dxa"/>
            <w:vMerge w:val="restart"/>
            <w:vAlign w:val="center"/>
          </w:tcPr>
          <w:p w14:paraId="795990DC" w14:textId="0671179C" w:rsidR="00D6671A" w:rsidRPr="006368D9" w:rsidRDefault="00D6671A" w:rsidP="00F1159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2 000 000 Kč</w:t>
            </w:r>
          </w:p>
        </w:tc>
        <w:tc>
          <w:tcPr>
            <w:tcW w:w="1275" w:type="dxa"/>
            <w:vMerge w:val="restart"/>
            <w:vAlign w:val="center"/>
          </w:tcPr>
          <w:p w14:paraId="7C17334A" w14:textId="77777777" w:rsidR="00D6671A" w:rsidRPr="006368D9" w:rsidRDefault="00D6671A" w:rsidP="00F1159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Nesjednává se</w:t>
            </w:r>
          </w:p>
        </w:tc>
      </w:tr>
      <w:tr w:rsidR="00D6671A" w:rsidRPr="006368D9" w14:paraId="703BF331" w14:textId="77777777" w:rsidTr="00831A1C">
        <w:tc>
          <w:tcPr>
            <w:tcW w:w="709" w:type="dxa"/>
            <w:vAlign w:val="center"/>
          </w:tcPr>
          <w:p w14:paraId="54C85587" w14:textId="7FBB8F04" w:rsidR="00D6671A" w:rsidRPr="006368D9" w:rsidRDefault="00D6671A" w:rsidP="00F1159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948" w:type="dxa"/>
            <w:vAlign w:val="center"/>
          </w:tcPr>
          <w:p w14:paraId="2485F9B5" w14:textId="7321A4D3" w:rsidR="00D6671A" w:rsidRDefault="00D6671A" w:rsidP="00F11592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Soubor vlastních ostatních </w:t>
            </w:r>
            <w:proofErr w:type="gramStart"/>
            <w:r>
              <w:rPr>
                <w:szCs w:val="20"/>
              </w:rPr>
              <w:t>staveb</w:t>
            </w:r>
            <w:r w:rsidR="0078221D">
              <w:rPr>
                <w:szCs w:val="20"/>
              </w:rPr>
              <w:t>- zpevněné</w:t>
            </w:r>
            <w:proofErr w:type="gramEnd"/>
            <w:r w:rsidR="0078221D">
              <w:rPr>
                <w:szCs w:val="20"/>
              </w:rPr>
              <w:t xml:space="preserve"> plochy, sítě, oplocení pojištěných nemovitých objektů</w:t>
            </w:r>
          </w:p>
        </w:tc>
        <w:tc>
          <w:tcPr>
            <w:tcW w:w="992" w:type="dxa"/>
            <w:vMerge/>
          </w:tcPr>
          <w:p w14:paraId="42C94A2E" w14:textId="77777777" w:rsidR="00D6671A" w:rsidRPr="006368D9" w:rsidRDefault="00D6671A" w:rsidP="00F11592">
            <w:pPr>
              <w:rPr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F2F8DBE" w14:textId="77777777" w:rsidR="00D6671A" w:rsidRPr="00FA7E24" w:rsidRDefault="00D6671A" w:rsidP="00F1159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5D935C" w14:textId="77777777" w:rsidR="00D6671A" w:rsidRPr="008F1C82" w:rsidRDefault="00D6671A" w:rsidP="00F11592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6EAE207" w14:textId="77777777" w:rsidR="00D6671A" w:rsidRDefault="00D6671A" w:rsidP="00F11592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BEDE375" w14:textId="77777777" w:rsidR="00D6671A" w:rsidRDefault="00D6671A" w:rsidP="00F11592">
            <w:pPr>
              <w:jc w:val="center"/>
              <w:rPr>
                <w:szCs w:val="20"/>
              </w:rPr>
            </w:pPr>
          </w:p>
        </w:tc>
      </w:tr>
      <w:tr w:rsidR="00D6671A" w:rsidRPr="006368D9" w14:paraId="7407D648" w14:textId="77777777" w:rsidTr="00831A1C">
        <w:tc>
          <w:tcPr>
            <w:tcW w:w="709" w:type="dxa"/>
            <w:vAlign w:val="center"/>
          </w:tcPr>
          <w:p w14:paraId="0E3B7561" w14:textId="67411F2C" w:rsidR="00D6671A" w:rsidRPr="006368D9" w:rsidRDefault="00D6671A" w:rsidP="00F1159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2948" w:type="dxa"/>
            <w:vAlign w:val="center"/>
          </w:tcPr>
          <w:p w14:paraId="1A12C8F5" w14:textId="4855D45E" w:rsidR="00D6671A" w:rsidRDefault="00D6671A" w:rsidP="00F11592">
            <w:pPr>
              <w:jc w:val="left"/>
              <w:rPr>
                <w:szCs w:val="20"/>
              </w:rPr>
            </w:pPr>
            <w:r w:rsidRPr="008E79FA">
              <w:rPr>
                <w:szCs w:val="20"/>
              </w:rPr>
              <w:t>Soubor vlastního</w:t>
            </w:r>
            <w:r>
              <w:rPr>
                <w:szCs w:val="20"/>
              </w:rPr>
              <w:t xml:space="preserve"> </w:t>
            </w:r>
            <w:r w:rsidRPr="008E79FA">
              <w:rPr>
                <w:szCs w:val="20"/>
              </w:rPr>
              <w:t>movitého zařízení a vybavení</w:t>
            </w:r>
            <w:r>
              <w:rPr>
                <w:szCs w:val="20"/>
              </w:rPr>
              <w:t xml:space="preserve"> v místě </w:t>
            </w:r>
            <w:proofErr w:type="gramStart"/>
            <w:r>
              <w:rPr>
                <w:szCs w:val="20"/>
              </w:rPr>
              <w:t>pojištění - Brno</w:t>
            </w:r>
            <w:proofErr w:type="gramEnd"/>
            <w:r>
              <w:rPr>
                <w:szCs w:val="20"/>
              </w:rPr>
              <w:t>, Janouškova 577/2</w:t>
            </w:r>
          </w:p>
        </w:tc>
        <w:tc>
          <w:tcPr>
            <w:tcW w:w="992" w:type="dxa"/>
            <w:vMerge/>
          </w:tcPr>
          <w:p w14:paraId="5DB413C0" w14:textId="77777777" w:rsidR="00D6671A" w:rsidRPr="006368D9" w:rsidRDefault="00D6671A" w:rsidP="00F11592">
            <w:pPr>
              <w:rPr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066A828" w14:textId="77777777" w:rsidR="00D6671A" w:rsidRPr="00FA7E24" w:rsidRDefault="00D6671A" w:rsidP="00F1159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D4DE696" w14:textId="77777777" w:rsidR="00D6671A" w:rsidRPr="008F1C82" w:rsidRDefault="00D6671A" w:rsidP="00F11592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0940374" w14:textId="77777777" w:rsidR="00D6671A" w:rsidRDefault="00D6671A" w:rsidP="00F11592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9552F64" w14:textId="77777777" w:rsidR="00D6671A" w:rsidRDefault="00D6671A" w:rsidP="00F11592">
            <w:pPr>
              <w:jc w:val="center"/>
              <w:rPr>
                <w:szCs w:val="20"/>
              </w:rPr>
            </w:pPr>
          </w:p>
        </w:tc>
      </w:tr>
      <w:tr w:rsidR="00D6671A" w:rsidRPr="006368D9" w14:paraId="7B2AE25D" w14:textId="77777777" w:rsidTr="00831A1C">
        <w:tc>
          <w:tcPr>
            <w:tcW w:w="709" w:type="dxa"/>
            <w:vAlign w:val="center"/>
          </w:tcPr>
          <w:p w14:paraId="1BD13EA2" w14:textId="1FC0FDE1" w:rsidR="00D6671A" w:rsidRPr="006368D9" w:rsidRDefault="00D6671A" w:rsidP="00F1159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2948" w:type="dxa"/>
            <w:vAlign w:val="center"/>
          </w:tcPr>
          <w:p w14:paraId="455C8905" w14:textId="49D87183" w:rsidR="00D6671A" w:rsidRDefault="00D6671A" w:rsidP="00F11592">
            <w:pPr>
              <w:jc w:val="left"/>
              <w:rPr>
                <w:szCs w:val="20"/>
              </w:rPr>
            </w:pPr>
            <w:r w:rsidRPr="008E79FA">
              <w:rPr>
                <w:szCs w:val="20"/>
              </w:rPr>
              <w:t>Soubor vlastního</w:t>
            </w:r>
            <w:r>
              <w:rPr>
                <w:szCs w:val="20"/>
              </w:rPr>
              <w:t xml:space="preserve"> </w:t>
            </w:r>
            <w:r w:rsidRPr="008E79FA">
              <w:rPr>
                <w:szCs w:val="20"/>
              </w:rPr>
              <w:t>movitého zařízení a vybavení</w:t>
            </w:r>
            <w:r>
              <w:rPr>
                <w:szCs w:val="20"/>
              </w:rPr>
              <w:t xml:space="preserve"> v místě </w:t>
            </w:r>
            <w:proofErr w:type="gramStart"/>
            <w:r>
              <w:rPr>
                <w:szCs w:val="20"/>
              </w:rPr>
              <w:t xml:space="preserve">pojištění - </w:t>
            </w:r>
            <w:r w:rsidRPr="00522AB6">
              <w:rPr>
                <w:szCs w:val="20"/>
              </w:rPr>
              <w:t>Brno</w:t>
            </w:r>
            <w:proofErr w:type="gramEnd"/>
            <w:r w:rsidRPr="00522AB6">
              <w:rPr>
                <w:szCs w:val="20"/>
              </w:rPr>
              <w:t>, Zemědělská 173/29</w:t>
            </w:r>
            <w:r>
              <w:rPr>
                <w:szCs w:val="20"/>
              </w:rPr>
              <w:t xml:space="preserve"> – sportovní areál</w:t>
            </w:r>
          </w:p>
        </w:tc>
        <w:tc>
          <w:tcPr>
            <w:tcW w:w="992" w:type="dxa"/>
            <w:vMerge/>
          </w:tcPr>
          <w:p w14:paraId="0A015930" w14:textId="77777777" w:rsidR="00D6671A" w:rsidRPr="006368D9" w:rsidRDefault="00D6671A" w:rsidP="00F11592">
            <w:pPr>
              <w:rPr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0C74E24" w14:textId="77777777" w:rsidR="00D6671A" w:rsidRPr="00FA7E24" w:rsidRDefault="00D6671A" w:rsidP="00F1159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0DB4C3" w14:textId="77777777" w:rsidR="00D6671A" w:rsidRPr="008F1C82" w:rsidRDefault="00D6671A" w:rsidP="00F11592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DDC7615" w14:textId="77777777" w:rsidR="00D6671A" w:rsidRDefault="00D6671A" w:rsidP="00F11592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DAAC3EA" w14:textId="77777777" w:rsidR="00D6671A" w:rsidRDefault="00D6671A" w:rsidP="00F11592">
            <w:pPr>
              <w:jc w:val="center"/>
              <w:rPr>
                <w:szCs w:val="20"/>
              </w:rPr>
            </w:pPr>
          </w:p>
        </w:tc>
      </w:tr>
      <w:tr w:rsidR="00F11592" w:rsidRPr="006368D9" w14:paraId="2043EA56" w14:textId="77777777" w:rsidTr="00DE63A7">
        <w:tc>
          <w:tcPr>
            <w:tcW w:w="9752" w:type="dxa"/>
            <w:gridSpan w:val="7"/>
          </w:tcPr>
          <w:p w14:paraId="37CC57C8" w14:textId="77777777" w:rsidR="00F11592" w:rsidRDefault="00F11592" w:rsidP="00F11592">
            <w:pPr>
              <w:rPr>
                <w:szCs w:val="20"/>
              </w:rPr>
            </w:pPr>
            <w:r w:rsidRPr="006368D9">
              <w:rPr>
                <w:szCs w:val="20"/>
              </w:rPr>
              <w:t>Poznámky:</w:t>
            </w:r>
          </w:p>
          <w:p w14:paraId="3EC4D59E" w14:textId="35505B37" w:rsidR="00F11592" w:rsidRPr="0046667D" w:rsidRDefault="00F11592" w:rsidP="00F11592">
            <w:pPr>
              <w:spacing w:before="60"/>
              <w:rPr>
                <w:rFonts w:cs="Arial"/>
                <w:szCs w:val="20"/>
                <w:highlight w:val="yellow"/>
              </w:rPr>
            </w:pPr>
            <w:r w:rsidRPr="00AE3ED7">
              <w:rPr>
                <w:szCs w:val="20"/>
              </w:rPr>
              <w:t>Pojištění</w:t>
            </w:r>
            <w:r>
              <w:rPr>
                <w:szCs w:val="20"/>
              </w:rPr>
              <w:t xml:space="preserve"> předmětu uvedeného pod poř.č.1</w:t>
            </w:r>
            <w:r w:rsidRPr="00AE3ED7">
              <w:rPr>
                <w:szCs w:val="20"/>
              </w:rPr>
              <w:t xml:space="preserve"> se vztahuje i na pamětní desku v parku Stanislava Krátkého (pojistná částka 48</w:t>
            </w:r>
            <w:r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300,-</w:t>
            </w:r>
            <w:r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Kč</w:t>
            </w:r>
            <w:r>
              <w:rPr>
                <w:szCs w:val="20"/>
              </w:rPr>
              <w:t>)</w:t>
            </w:r>
            <w:r w:rsidRPr="00AE3ED7">
              <w:rPr>
                <w:szCs w:val="20"/>
              </w:rPr>
              <w:t>, Brno</w:t>
            </w:r>
            <w:r>
              <w:rPr>
                <w:szCs w:val="20"/>
              </w:rPr>
              <w:t>-</w:t>
            </w:r>
            <w:r w:rsidRPr="00AE3ED7">
              <w:rPr>
                <w:szCs w:val="20"/>
              </w:rPr>
              <w:t xml:space="preserve">Černá Pole a </w:t>
            </w:r>
            <w:r>
              <w:rPr>
                <w:szCs w:val="20"/>
              </w:rPr>
              <w:t xml:space="preserve">na </w:t>
            </w:r>
            <w:r w:rsidRPr="00AE3ED7">
              <w:rPr>
                <w:szCs w:val="20"/>
              </w:rPr>
              <w:t xml:space="preserve">pamětní desku Bojovníkům za svobodu v parku Marie </w:t>
            </w:r>
            <w:proofErr w:type="spellStart"/>
            <w:r w:rsidRPr="00AE3ED7">
              <w:rPr>
                <w:szCs w:val="20"/>
              </w:rPr>
              <w:t>Restituty</w:t>
            </w:r>
            <w:proofErr w:type="spellEnd"/>
            <w:r w:rsidRPr="00AE3ED7">
              <w:rPr>
                <w:szCs w:val="20"/>
              </w:rPr>
              <w:t xml:space="preserve"> (pojistná částka 59</w:t>
            </w:r>
            <w:r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987,-</w:t>
            </w:r>
            <w:r>
              <w:rPr>
                <w:szCs w:val="20"/>
              </w:rPr>
              <w:t xml:space="preserve"> </w:t>
            </w:r>
            <w:r w:rsidRPr="00AE3ED7">
              <w:rPr>
                <w:szCs w:val="20"/>
              </w:rPr>
              <w:t>Kč)</w:t>
            </w:r>
            <w:r>
              <w:rPr>
                <w:szCs w:val="20"/>
              </w:rPr>
              <w:t xml:space="preserve">, </w:t>
            </w:r>
            <w:r w:rsidRPr="00AE3ED7">
              <w:rPr>
                <w:szCs w:val="20"/>
              </w:rPr>
              <w:t>Brno-Husovice</w:t>
            </w:r>
            <w:r>
              <w:rPr>
                <w:szCs w:val="20"/>
              </w:rPr>
              <w:t>.</w:t>
            </w:r>
          </w:p>
        </w:tc>
      </w:tr>
    </w:tbl>
    <w:p w14:paraId="2B9E393C" w14:textId="77777777" w:rsidR="0077245E" w:rsidRDefault="0077245E" w:rsidP="0077245E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14:paraId="2F89109F" w14:textId="77777777" w:rsidR="008A3C83" w:rsidRDefault="008A3C83">
      <w:pPr>
        <w:rPr>
          <w:sz w:val="10"/>
          <w:szCs w:val="10"/>
        </w:rPr>
      </w:pPr>
    </w:p>
    <w:p w14:paraId="570121F0" w14:textId="353F952E" w:rsidR="00292218" w:rsidRDefault="00292218" w:rsidP="00292218">
      <w:pPr>
        <w:ind w:left="567" w:hanging="567"/>
        <w:rPr>
          <w:b/>
          <w:szCs w:val="20"/>
        </w:rPr>
      </w:pPr>
      <w:r w:rsidRPr="006368D9">
        <w:rPr>
          <w:b/>
          <w:szCs w:val="20"/>
        </w:rPr>
        <w:lastRenderedPageBreak/>
        <w:t>2.</w:t>
      </w:r>
      <w:r>
        <w:rPr>
          <w:b/>
          <w:szCs w:val="20"/>
        </w:rPr>
        <w:t>4</w:t>
      </w:r>
      <w:r w:rsidRPr="006368D9">
        <w:rPr>
          <w:b/>
          <w:szCs w:val="20"/>
        </w:rPr>
        <w:t>.1</w:t>
      </w:r>
      <w:r>
        <w:rPr>
          <w:b/>
          <w:szCs w:val="20"/>
        </w:rPr>
        <w:tab/>
      </w:r>
      <w:r w:rsidRPr="006368D9">
        <w:rPr>
          <w:b/>
          <w:szCs w:val="20"/>
        </w:rPr>
        <w:t>Pojištění skla</w:t>
      </w:r>
    </w:p>
    <w:tbl>
      <w:tblPr>
        <w:tblStyle w:val="Mkatabulky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389"/>
        <w:gridCol w:w="1417"/>
        <w:gridCol w:w="1559"/>
        <w:gridCol w:w="1560"/>
        <w:gridCol w:w="1275"/>
      </w:tblGrid>
      <w:tr w:rsidR="00E079C8" w:rsidRPr="009558F1" w14:paraId="20E86205" w14:textId="77777777" w:rsidTr="000F6EB3">
        <w:tc>
          <w:tcPr>
            <w:tcW w:w="9752" w:type="dxa"/>
            <w:gridSpan w:val="7"/>
          </w:tcPr>
          <w:p w14:paraId="62F30A8B" w14:textId="0199B5D4" w:rsidR="00E079C8" w:rsidRPr="009558F1" w:rsidRDefault="00E079C8" w:rsidP="00E079C8">
            <w:pPr>
              <w:rPr>
                <w:b/>
              </w:rPr>
            </w:pPr>
            <w:r w:rsidRPr="006368D9">
              <w:rPr>
                <w:b/>
                <w:szCs w:val="20"/>
              </w:rPr>
              <w:t>Místo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dle příloh 2 a 3 pojistné smlouvy</w:t>
            </w:r>
          </w:p>
        </w:tc>
      </w:tr>
      <w:tr w:rsidR="00E079C8" w:rsidRPr="009558F1" w14:paraId="2998F91E" w14:textId="77777777" w:rsidTr="000F6EB3">
        <w:tc>
          <w:tcPr>
            <w:tcW w:w="9752" w:type="dxa"/>
            <w:gridSpan w:val="7"/>
          </w:tcPr>
          <w:p w14:paraId="79360CE0" w14:textId="00E14795" w:rsidR="00E079C8" w:rsidRPr="009558F1" w:rsidRDefault="00E079C8" w:rsidP="00E079C8">
            <w:pPr>
              <w:rPr>
                <w:b/>
              </w:rPr>
            </w:pPr>
            <w:r w:rsidRPr="006368D9">
              <w:rPr>
                <w:b/>
                <w:szCs w:val="20"/>
              </w:rPr>
              <w:t>Rozsah pojištění:</w:t>
            </w:r>
            <w:r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poj. nebezpečí dle čl. II ZPP P-250/14</w:t>
            </w:r>
          </w:p>
        </w:tc>
      </w:tr>
      <w:tr w:rsidR="00E079C8" w:rsidRPr="009558F1" w14:paraId="769EBC97" w14:textId="77777777" w:rsidTr="000F6EB3">
        <w:tc>
          <w:tcPr>
            <w:tcW w:w="9752" w:type="dxa"/>
            <w:gridSpan w:val="7"/>
          </w:tcPr>
          <w:p w14:paraId="0E052666" w14:textId="24D485C0" w:rsidR="00E079C8" w:rsidRPr="009558F1" w:rsidRDefault="00E079C8" w:rsidP="00E079C8">
            <w:r w:rsidRPr="006368D9">
              <w:rPr>
                <w:b/>
                <w:szCs w:val="20"/>
              </w:rPr>
              <w:t xml:space="preserve">Pojištění se řídí: </w:t>
            </w:r>
            <w:r w:rsidRPr="006368D9">
              <w:rPr>
                <w:szCs w:val="20"/>
              </w:rPr>
              <w:t>VPP P-100/14, ZPP P-250/14 a doložkami DOB101, DOB103</w:t>
            </w:r>
          </w:p>
        </w:tc>
      </w:tr>
      <w:tr w:rsidR="00933BEB" w:rsidRPr="009558F1" w14:paraId="36132866" w14:textId="77777777" w:rsidTr="000F6EB3">
        <w:trPr>
          <w:cantSplit/>
        </w:trPr>
        <w:tc>
          <w:tcPr>
            <w:tcW w:w="709" w:type="dxa"/>
            <w:vAlign w:val="center"/>
          </w:tcPr>
          <w:p w14:paraId="42B5ED22" w14:textId="7BA67957" w:rsidR="00933BEB" w:rsidRPr="009558F1" w:rsidRDefault="00933BEB" w:rsidP="00933BEB">
            <w:pPr>
              <w:jc w:val="center"/>
              <w:rPr>
                <w:b/>
              </w:rPr>
            </w:pPr>
            <w:proofErr w:type="spellStart"/>
            <w:r w:rsidRPr="00AC0C71">
              <w:rPr>
                <w:b/>
              </w:rPr>
              <w:t>Poř</w:t>
            </w:r>
            <w:proofErr w:type="spellEnd"/>
            <w:r w:rsidRPr="00AC0C71">
              <w:rPr>
                <w:b/>
              </w:rPr>
              <w:t>. číslo</w:t>
            </w:r>
          </w:p>
        </w:tc>
        <w:tc>
          <w:tcPr>
            <w:tcW w:w="1843" w:type="dxa"/>
            <w:vAlign w:val="center"/>
          </w:tcPr>
          <w:p w14:paraId="585709FE" w14:textId="149F6159" w:rsidR="00933BEB" w:rsidRPr="009558F1" w:rsidRDefault="00933BEB" w:rsidP="00933BEB">
            <w:pPr>
              <w:jc w:val="center"/>
              <w:rPr>
                <w:b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389" w:type="dxa"/>
            <w:vAlign w:val="center"/>
          </w:tcPr>
          <w:p w14:paraId="1E272A8B" w14:textId="0AB1B0A5" w:rsidR="00933BEB" w:rsidRPr="009558F1" w:rsidRDefault="00933BEB" w:rsidP="00933BEB">
            <w:pPr>
              <w:jc w:val="center"/>
              <w:rPr>
                <w:b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5F97E518" w14:textId="68FAD330" w:rsidR="00933BEB" w:rsidRPr="009558F1" w:rsidRDefault="00933BEB" w:rsidP="00933BEB">
            <w:pPr>
              <w:jc w:val="center"/>
              <w:rPr>
                <w:b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559" w:type="dxa"/>
            <w:vAlign w:val="center"/>
          </w:tcPr>
          <w:p w14:paraId="613CB850" w14:textId="7863BE27" w:rsidR="00933BEB" w:rsidRPr="009558F1" w:rsidRDefault="00933BEB" w:rsidP="00933BEB">
            <w:pPr>
              <w:jc w:val="center"/>
              <w:rPr>
                <w:b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*) 1)</w:t>
            </w:r>
          </w:p>
        </w:tc>
        <w:tc>
          <w:tcPr>
            <w:tcW w:w="1560" w:type="dxa"/>
            <w:vAlign w:val="center"/>
          </w:tcPr>
          <w:p w14:paraId="271E4555" w14:textId="77777777" w:rsidR="00933BEB" w:rsidRPr="00AC0C71" w:rsidRDefault="00933BEB" w:rsidP="00933BEB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18131EDE" w14:textId="4F568EC4" w:rsidR="00933BEB" w:rsidRPr="009558F1" w:rsidRDefault="00933BEB" w:rsidP="00933BEB">
            <w:pPr>
              <w:jc w:val="center"/>
              <w:rPr>
                <w:b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14:paraId="3093EDB6" w14:textId="636156C0" w:rsidR="00933BEB" w:rsidRPr="009558F1" w:rsidRDefault="00933BEB" w:rsidP="00933BEB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E079C8" w:rsidRPr="009558F1" w14:paraId="1EC94D56" w14:textId="77777777" w:rsidTr="0042273C">
        <w:tc>
          <w:tcPr>
            <w:tcW w:w="709" w:type="dxa"/>
            <w:vAlign w:val="center"/>
          </w:tcPr>
          <w:p w14:paraId="18019D42" w14:textId="77777777" w:rsidR="00261068" w:rsidRPr="00261068" w:rsidRDefault="00261068" w:rsidP="00E079C8">
            <w:pPr>
              <w:pStyle w:val="Odstavecseseznamem"/>
              <w:numPr>
                <w:ilvl w:val="6"/>
                <w:numId w:val="10"/>
              </w:numPr>
              <w:ind w:left="493"/>
              <w:jc w:val="center"/>
              <w:rPr>
                <w:rFonts w:ascii="Koop Office" w:hAnsi="Koop Office"/>
              </w:rPr>
            </w:pPr>
          </w:p>
        </w:tc>
        <w:tc>
          <w:tcPr>
            <w:tcW w:w="1843" w:type="dxa"/>
            <w:vAlign w:val="center"/>
          </w:tcPr>
          <w:p w14:paraId="10FABC67" w14:textId="5102896E" w:rsidR="00261068" w:rsidRPr="009558F1" w:rsidRDefault="009F44E5" w:rsidP="00E079C8">
            <w:pPr>
              <w:jc w:val="left"/>
            </w:pPr>
            <w:r>
              <w:t>Soubor vlastních skel</w:t>
            </w:r>
          </w:p>
        </w:tc>
        <w:tc>
          <w:tcPr>
            <w:tcW w:w="1389" w:type="dxa"/>
            <w:vAlign w:val="center"/>
          </w:tcPr>
          <w:p w14:paraId="7E1A8392" w14:textId="28EC5D5A" w:rsidR="00261068" w:rsidRPr="009558F1" w:rsidRDefault="00A43A5B" w:rsidP="0042273C">
            <w:pPr>
              <w:jc w:val="center"/>
            </w:pPr>
            <w:r>
              <w:t>---</w:t>
            </w:r>
          </w:p>
        </w:tc>
        <w:tc>
          <w:tcPr>
            <w:tcW w:w="1417" w:type="dxa"/>
            <w:vAlign w:val="center"/>
          </w:tcPr>
          <w:p w14:paraId="5A36752B" w14:textId="583F13AC" w:rsidR="00261068" w:rsidRPr="00FA7E24" w:rsidRDefault="009675D3" w:rsidP="00E079C8">
            <w:pPr>
              <w:jc w:val="center"/>
            </w:pPr>
            <w:r>
              <w:t>5</w:t>
            </w:r>
            <w:r w:rsidR="00261068" w:rsidRPr="00FA7E24">
              <w:t> 000 Kč</w:t>
            </w:r>
          </w:p>
        </w:tc>
        <w:tc>
          <w:tcPr>
            <w:tcW w:w="1559" w:type="dxa"/>
            <w:vAlign w:val="center"/>
          </w:tcPr>
          <w:p w14:paraId="7639D9A5" w14:textId="77777777" w:rsidR="00261068" w:rsidRPr="009558F1" w:rsidRDefault="00261068" w:rsidP="00E079C8">
            <w:pPr>
              <w:jc w:val="center"/>
            </w:pPr>
            <w:r w:rsidRPr="009558F1">
              <w:t>*)</w:t>
            </w:r>
          </w:p>
        </w:tc>
        <w:tc>
          <w:tcPr>
            <w:tcW w:w="1560" w:type="dxa"/>
            <w:vAlign w:val="center"/>
          </w:tcPr>
          <w:p w14:paraId="245F85C8" w14:textId="2A6F6765" w:rsidR="00261068" w:rsidRPr="009558F1" w:rsidRDefault="00261068" w:rsidP="00E079C8">
            <w:pPr>
              <w:jc w:val="center"/>
            </w:pPr>
            <w:r>
              <w:t>400 000 Kč</w:t>
            </w:r>
          </w:p>
        </w:tc>
        <w:tc>
          <w:tcPr>
            <w:tcW w:w="1275" w:type="dxa"/>
            <w:vAlign w:val="center"/>
          </w:tcPr>
          <w:p w14:paraId="7F9C006D" w14:textId="4AF374C2" w:rsidR="00261068" w:rsidRPr="009558F1" w:rsidRDefault="00E079C8" w:rsidP="00E079C8">
            <w:pPr>
              <w:jc w:val="center"/>
            </w:pPr>
            <w:r>
              <w:rPr>
                <w:szCs w:val="20"/>
              </w:rPr>
              <w:t>Nesjednává se</w:t>
            </w:r>
          </w:p>
        </w:tc>
      </w:tr>
      <w:tr w:rsidR="00261068" w:rsidRPr="009558F1" w14:paraId="53E97C3D" w14:textId="77777777" w:rsidTr="000F6EB3">
        <w:tc>
          <w:tcPr>
            <w:tcW w:w="9752" w:type="dxa"/>
            <w:gridSpan w:val="7"/>
          </w:tcPr>
          <w:p w14:paraId="1BA995EE" w14:textId="77777777" w:rsidR="00261068" w:rsidRPr="009558F1" w:rsidRDefault="00261068" w:rsidP="00DB0387">
            <w:r w:rsidRPr="009558F1">
              <w:t>Poznámky:</w:t>
            </w:r>
          </w:p>
        </w:tc>
      </w:tr>
    </w:tbl>
    <w:p w14:paraId="3F501384" w14:textId="1AD7E817" w:rsidR="00261068" w:rsidRDefault="00261068" w:rsidP="00E079C8">
      <w:pPr>
        <w:rPr>
          <w:sz w:val="16"/>
        </w:rPr>
      </w:pPr>
      <w:r w:rsidRPr="009558F1">
        <w:rPr>
          <w:sz w:val="16"/>
        </w:rPr>
        <w:t xml:space="preserve">*) není-li uvedeno, sjednává se pojištění s pojistnou hodnotou uvedenou v příslušných pojistných podmínkách </w:t>
      </w:r>
    </w:p>
    <w:p w14:paraId="03349DE3" w14:textId="77777777" w:rsidR="009F44E5" w:rsidRPr="009F44E5" w:rsidRDefault="009F44E5" w:rsidP="00E079C8">
      <w:pPr>
        <w:rPr>
          <w:szCs w:val="20"/>
        </w:rPr>
      </w:pPr>
    </w:p>
    <w:p w14:paraId="2D73E2DF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1)</w:t>
      </w:r>
      <w:r w:rsidRPr="009558F1">
        <w:rPr>
          <w:sz w:val="18"/>
          <w:szCs w:val="18"/>
        </w:rPr>
        <w:tab/>
        <w:t>nová cena je vyjádření pojistné hodnoty ve smyslu ustanovení čl. 21 odst. 2) písm. a) VPP P-100/14</w:t>
      </w:r>
    </w:p>
    <w:p w14:paraId="51D33EC8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14:paraId="301C5A38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14:paraId="4ABDEED5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14:paraId="73804F12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2)</w:t>
      </w:r>
      <w:r w:rsidRPr="009558F1">
        <w:rPr>
          <w:sz w:val="18"/>
          <w:szCs w:val="18"/>
        </w:rPr>
        <w:tab/>
        <w:t>první riziko ve smyslu ustanovení čl. 23 odst. 1) písm. a) VPP P-100/14</w:t>
      </w:r>
    </w:p>
    <w:p w14:paraId="1C6662BF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3)</w:t>
      </w:r>
      <w:r w:rsidRPr="009558F1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</w:t>
      </w:r>
      <w:r>
        <w:rPr>
          <w:sz w:val="18"/>
          <w:szCs w:val="18"/>
        </w:rPr>
        <w:t>,</w:t>
      </w:r>
      <w:r w:rsidRPr="009558F1">
        <w:rPr>
          <w:sz w:val="18"/>
          <w:szCs w:val="18"/>
        </w:rPr>
        <w:t xml:space="preserve"> je MRLP horní hranicí pojistného plnění v souhrnu ze všech pojistných událostí vzniklých za dobu trvání pojištění</w:t>
      </w:r>
    </w:p>
    <w:p w14:paraId="1EE700F2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4)</w:t>
      </w:r>
      <w:r w:rsidRPr="009558F1">
        <w:rPr>
          <w:sz w:val="18"/>
          <w:szCs w:val="18"/>
        </w:rPr>
        <w:tab/>
        <w:t>zlomkové pojištění ve smyslu čl. 23 odst. 1) písm. b) VPP P-100/14</w:t>
      </w:r>
    </w:p>
    <w:p w14:paraId="1F1C094D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5)</w:t>
      </w:r>
      <w:r w:rsidRPr="009558F1">
        <w:rPr>
          <w:sz w:val="18"/>
          <w:szCs w:val="18"/>
        </w:rPr>
        <w:tab/>
        <w:t>spoluúčast může být vyjádřena pevnou částkou, procentem, časovým úsekem nebo jejich kombinací ve smyslu čl. 11 odst. 4) VPP P-100/14</w:t>
      </w:r>
    </w:p>
    <w:p w14:paraId="119D8A18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6)</w:t>
      </w:r>
      <w:r w:rsidRPr="009558F1">
        <w:rPr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14:paraId="63C77A42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7)</w:t>
      </w:r>
      <w:r w:rsidRPr="009558F1">
        <w:rPr>
          <w:sz w:val="18"/>
          <w:szCs w:val="18"/>
        </w:rPr>
        <w:tab/>
        <w:t xml:space="preserve">odchylně od čl. 8 odst. 2) věta třetí ZPP P-600/14 poskytne pojistitel na úhradu všech pojistných událostí nastalých během jednoho pojistného roku pojistné plnění v souhrnu maximálně do výše </w:t>
      </w:r>
      <w:proofErr w:type="spellStart"/>
      <w:r w:rsidRPr="009558F1">
        <w:rPr>
          <w:sz w:val="18"/>
          <w:szCs w:val="18"/>
        </w:rPr>
        <w:t>sublimitu</w:t>
      </w:r>
      <w:proofErr w:type="spellEnd"/>
      <w:r w:rsidRPr="009558F1">
        <w:rPr>
          <w:sz w:val="18"/>
          <w:szCs w:val="18"/>
        </w:rPr>
        <w:t xml:space="preserve"> pojistného plnění</w:t>
      </w:r>
    </w:p>
    <w:p w14:paraId="76AA1103" w14:textId="77777777" w:rsidR="00E3711F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8)</w:t>
      </w:r>
      <w:r w:rsidRPr="009558F1">
        <w:rPr>
          <w:sz w:val="18"/>
          <w:szCs w:val="18"/>
        </w:rPr>
        <w:tab/>
        <w:t>dobou ručení se rozumí doba ve smyslu čl. 11 odst. 5) ZPP P-400/14, resp. čl. 14 odst. 2) DPP P-330/16, resp. čl. 20 odst. 4) DPP P-340/16</w:t>
      </w:r>
    </w:p>
    <w:p w14:paraId="755B9487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9)</w:t>
      </w:r>
      <w:r w:rsidRPr="009558F1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 vliv na výši pojistného plnění</w:t>
      </w:r>
    </w:p>
    <w:p w14:paraId="555DE35F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10)</w:t>
      </w:r>
      <w:r w:rsidRPr="009558F1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0DE895BF" w14:textId="77777777" w:rsidR="00E3711F" w:rsidRPr="009558F1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11)</w:t>
      </w:r>
      <w:r w:rsidRPr="009558F1">
        <w:rPr>
          <w:sz w:val="18"/>
          <w:szCs w:val="18"/>
        </w:rPr>
        <w:tab/>
        <w:t>MRLPPR je horní hranicí plnění pojistitele v 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 souhrnu ze všech pojistných událostí, u nichž věcná škoda, která byla důvodem jejich vzniku, nastala během doby trvání pojištění. Není-li sjednán limit plnění pojistitele pro jednu pojistnou událost, považuje se sjednaný MRLPPR i za limit plnění pojistitele pro jednu pojistnou událost</w:t>
      </w:r>
    </w:p>
    <w:p w14:paraId="2EC578E2" w14:textId="77777777" w:rsidR="00E3711F" w:rsidRDefault="00E3711F" w:rsidP="00E3711F">
      <w:pPr>
        <w:tabs>
          <w:tab w:val="left" w:pos="227"/>
        </w:tabs>
        <w:ind w:left="227" w:hanging="227"/>
        <w:rPr>
          <w:sz w:val="18"/>
          <w:szCs w:val="18"/>
        </w:rPr>
      </w:pPr>
      <w:r w:rsidRPr="009558F1">
        <w:rPr>
          <w:b/>
          <w:sz w:val="18"/>
          <w:szCs w:val="18"/>
          <w:vertAlign w:val="superscript"/>
        </w:rPr>
        <w:t>12)</w:t>
      </w:r>
      <w:r w:rsidRPr="009558F1">
        <w:rPr>
          <w:sz w:val="18"/>
          <w:szCs w:val="18"/>
        </w:rPr>
        <w:tab/>
        <w:t>MRLPPR v rámci pojistné částky stanovené ve smyslu ustanovení čl. 23 odst. 1) písm. c) VPP P-100/14 a sjednané pro ušlý zisk a stálé náklady pojištěného v příslušné tabulce pojištění pro případ přerušení nebo omezení provozu</w:t>
      </w:r>
    </w:p>
    <w:p w14:paraId="0B197DB8" w14:textId="77777777" w:rsidR="004F5229" w:rsidRPr="006368D9" w:rsidRDefault="004F5229" w:rsidP="00C94D66">
      <w:pPr>
        <w:keepNext/>
        <w:numPr>
          <w:ilvl w:val="0"/>
          <w:numId w:val="22"/>
        </w:numPr>
        <w:tabs>
          <w:tab w:val="clear" w:pos="390"/>
        </w:tabs>
        <w:spacing w:before="120"/>
        <w:ind w:left="425" w:hanging="425"/>
        <w:jc w:val="left"/>
        <w:rPr>
          <w:rFonts w:cs="Arial"/>
          <w:b/>
          <w:szCs w:val="22"/>
        </w:rPr>
      </w:pPr>
      <w:r w:rsidRPr="006368D9">
        <w:rPr>
          <w:rFonts w:cs="Arial"/>
          <w:b/>
          <w:szCs w:val="22"/>
        </w:rPr>
        <w:t xml:space="preserve">Pojistné plnění </w:t>
      </w:r>
    </w:p>
    <w:p w14:paraId="6BF8AFD7" w14:textId="77777777" w:rsidR="004F5229" w:rsidRPr="00257CE5" w:rsidRDefault="004F5229" w:rsidP="00B56EE3">
      <w:pPr>
        <w:numPr>
          <w:ilvl w:val="0"/>
          <w:numId w:val="15"/>
        </w:numPr>
        <w:spacing w:before="120"/>
        <w:rPr>
          <w:rFonts w:cs="Arial"/>
          <w:b/>
          <w:bCs/>
        </w:rPr>
      </w:pPr>
      <w:r w:rsidRPr="006368D9">
        <w:rPr>
          <w:rFonts w:cs="Arial"/>
        </w:rPr>
        <w:t xml:space="preserve">Pojistné plnění ze všech pojištění sjednaných touto pojistnou smlouvou, </w:t>
      </w:r>
      <w:r w:rsidRPr="000E7A1F">
        <w:rPr>
          <w:rFonts w:cs="Arial"/>
        </w:rPr>
        <w:t>v souhrnu</w:t>
      </w:r>
      <w:r>
        <w:rPr>
          <w:rFonts w:cs="Arial"/>
        </w:rPr>
        <w:t xml:space="preserve"> </w:t>
      </w:r>
      <w:r w:rsidRPr="006368D9">
        <w:rPr>
          <w:rFonts w:cs="Arial"/>
        </w:rPr>
        <w:t xml:space="preserve">za všechny pojistné události způsobené </w:t>
      </w:r>
      <w:r w:rsidRPr="00D50CDB">
        <w:rPr>
          <w:rFonts w:cs="Arial"/>
          <w:b/>
        </w:rPr>
        <w:t>povodní nebo záplavou</w:t>
      </w:r>
      <w:r w:rsidRPr="006368D9">
        <w:rPr>
          <w:rFonts w:cs="Arial"/>
        </w:rPr>
        <w:t xml:space="preserve">, nastalé v průběhu jednoho pojistného roku </w:t>
      </w:r>
      <w:r w:rsidRPr="006368D9">
        <w:rPr>
          <w:szCs w:val="20"/>
        </w:rPr>
        <w:t xml:space="preserve">(resp. je-li pojištění sjednáno na dobu kratší než jeden pojistný rok, v průběhu trvání pojištění), </w:t>
      </w:r>
      <w:r w:rsidRPr="006368D9">
        <w:rPr>
          <w:rFonts w:cs="Arial"/>
        </w:rPr>
        <w:t xml:space="preserve">je omezeno maximálním ročním limitem pojistného plnění ve výši </w:t>
      </w:r>
      <w:r w:rsidRPr="00526BD3">
        <w:rPr>
          <w:rFonts w:cs="Arial"/>
          <w:b/>
          <w:bCs/>
        </w:rPr>
        <w:t>10 000 000 Kč;</w:t>
      </w:r>
      <w:r w:rsidRPr="006368D9">
        <w:rPr>
          <w:rFonts w:cs="Arial"/>
        </w:rPr>
        <w:t xml:space="preserve"> tím nejsou dotčena jiná ujednání, z nichž vyplývá povinnost pojistitele poskytnout pojistné plnění v nižší nebo stejné výši.</w:t>
      </w:r>
    </w:p>
    <w:p w14:paraId="62D2A20E" w14:textId="728612C2" w:rsidR="00257CE5" w:rsidRPr="00207198" w:rsidRDefault="00CA634C" w:rsidP="00B56EE3">
      <w:pPr>
        <w:numPr>
          <w:ilvl w:val="0"/>
          <w:numId w:val="15"/>
        </w:numPr>
        <w:spacing w:before="120"/>
        <w:rPr>
          <w:rFonts w:cs="Arial"/>
          <w:b/>
          <w:bCs/>
        </w:rPr>
      </w:pPr>
      <w:r w:rsidRPr="00E77E81">
        <w:t xml:space="preserve">Pro </w:t>
      </w:r>
      <w:r w:rsidR="00D94E5E">
        <w:rPr>
          <w:rFonts w:cs="Arial"/>
          <w:b/>
          <w:u w:val="dotted"/>
        </w:rPr>
        <w:t>k</w:t>
      </w:r>
      <w:r w:rsidR="007B5782" w:rsidRPr="00BC0E00">
        <w:rPr>
          <w:rFonts w:cs="Arial"/>
          <w:b/>
          <w:u w:val="dotted"/>
        </w:rPr>
        <w:t>atastrální území města Brna</w:t>
      </w:r>
      <w:r w:rsidR="007B5782">
        <w:rPr>
          <w:rFonts w:cs="Arial"/>
          <w:b/>
          <w:u w:val="dotted"/>
        </w:rPr>
        <w:t xml:space="preserve"> s působností</w:t>
      </w:r>
      <w:r w:rsidR="007B5782" w:rsidRPr="00BC0E00">
        <w:rPr>
          <w:rFonts w:cs="Arial"/>
          <w:b/>
          <w:u w:val="dotted"/>
        </w:rPr>
        <w:t xml:space="preserve"> Městské části Brno-sever</w:t>
      </w:r>
      <w:r w:rsidR="0018519D">
        <w:rPr>
          <w:rFonts w:cs="Arial"/>
          <w:b/>
          <w:u w:val="dotted"/>
        </w:rPr>
        <w:t>,</w:t>
      </w:r>
      <w:r w:rsidRPr="00E77E81">
        <w:rPr>
          <w:i/>
          <w:color w:val="1BC404"/>
        </w:rPr>
        <w:t xml:space="preserve"> </w:t>
      </w:r>
      <w:r w:rsidRPr="00E77E81">
        <w:t>s</w:t>
      </w:r>
      <w:r w:rsidRPr="00AC0C71">
        <w:t> výjimkou míst pojištění specifikovaných v této pojistné smlouvě adresou, parcelním číslem nebo obdobně konkretizujícím způsobem</w:t>
      </w:r>
      <w:r w:rsidR="0018519D">
        <w:t>,</w:t>
      </w:r>
      <w:r w:rsidRPr="00AC0C71">
        <w:t xml:space="preserve"> je pojistné plnění ze všech pojištění sjednaných touto pojistnou smlouvou, v souhrnu za všechny pojistné události způsobené povodní nebo záplavou, nastalé v průběhu jednoho pojistného roku (resp. je-li pojištění sjednáno na dobu kratší než jeden pojistný rok, v průběhu trvání pojištění), omezeno maximálním ročním limitem pojistného plnění ve výši </w:t>
      </w:r>
      <w:r w:rsidR="00D94E5E" w:rsidRPr="00D94E5E">
        <w:rPr>
          <w:b/>
          <w:bCs/>
        </w:rPr>
        <w:t>500 000</w:t>
      </w:r>
      <w:r w:rsidRPr="00D94E5E">
        <w:rPr>
          <w:b/>
          <w:bCs/>
        </w:rPr>
        <w:t xml:space="preserve"> Kč.</w:t>
      </w:r>
      <w:r w:rsidRPr="00AC0C71">
        <w:t xml:space="preserve"> Tím nejsou dotčena jiná ujednání, z nichž vyplývá povinnost pojistitele poskytnout pojistné plnění v nižší nebo stejné výši</w:t>
      </w:r>
      <w:r>
        <w:t>.</w:t>
      </w:r>
    </w:p>
    <w:p w14:paraId="3A519C2D" w14:textId="77777777" w:rsidR="00207198" w:rsidRDefault="00207198" w:rsidP="00207198">
      <w:pPr>
        <w:spacing w:before="120"/>
      </w:pPr>
    </w:p>
    <w:p w14:paraId="45F96E84" w14:textId="77777777" w:rsidR="00207198" w:rsidRDefault="00207198" w:rsidP="00207198">
      <w:pPr>
        <w:spacing w:before="120"/>
      </w:pPr>
    </w:p>
    <w:p w14:paraId="79745BD5" w14:textId="77777777" w:rsidR="00207198" w:rsidRDefault="00207198" w:rsidP="00207198">
      <w:pPr>
        <w:spacing w:before="120"/>
      </w:pPr>
    </w:p>
    <w:p w14:paraId="4F4E0787" w14:textId="77777777" w:rsidR="00207198" w:rsidRDefault="00207198" w:rsidP="00207198">
      <w:pPr>
        <w:spacing w:before="120"/>
      </w:pPr>
    </w:p>
    <w:p w14:paraId="75F005E9" w14:textId="77777777" w:rsidR="00207198" w:rsidRDefault="00207198" w:rsidP="00207198">
      <w:pPr>
        <w:spacing w:before="120"/>
      </w:pPr>
    </w:p>
    <w:p w14:paraId="610FB831" w14:textId="147684B7" w:rsidR="00EF0C29" w:rsidRPr="00EF0C29" w:rsidRDefault="00EF0C29" w:rsidP="00EF0C29">
      <w:pPr>
        <w:spacing w:before="120"/>
        <w:ind w:left="426"/>
        <w:rPr>
          <w:b/>
          <w:color w:val="FF00FF"/>
          <w:szCs w:val="20"/>
        </w:rPr>
      </w:pPr>
      <w:r w:rsidRPr="00AC0C71">
        <w:lastRenderedPageBreak/>
        <w:t xml:space="preserve">V rámci maximálního ročního limitu pojistného plnění uvedeného výše v tomto bodu se však pro všechny pojistné události nastalé v průběhu jednoho pojistného roku (resp. je-li pojištění sjednáno na dobu kratší než jeden pojistný rok, v průběhu trvání pojištění), které vzniknou povodní nebo záplavou v záplavovém území (stanovené dle zák. č. 254/2001 Sb., o vodách a o změně některých zákonů (vodní zákon), </w:t>
      </w:r>
      <w:proofErr w:type="spellStart"/>
      <w:r w:rsidRPr="00063EAB">
        <w:t>vyhl</w:t>
      </w:r>
      <w:proofErr w:type="spellEnd"/>
      <w:r w:rsidRPr="00063EAB">
        <w:t xml:space="preserve">. č. 79/2018 Sb., o způsobu a rozsahu zpracování návrhu a stanovování záplavových území a jejich dokumentace, ve znění pozdějších předpisů) vymezeném záplavovou čárou tzv. dvacetileté vody (tj. území </w:t>
      </w:r>
      <w:r w:rsidRPr="00D94E5E">
        <w:t>s periodicitou povodně 20 let)</w:t>
      </w:r>
      <w:r w:rsidRPr="00D94E5E">
        <w:rPr>
          <w:bCs/>
          <w:iCs/>
          <w:color w:val="000000" w:themeColor="text1"/>
          <w:szCs w:val="20"/>
        </w:rPr>
        <w:t>,</w:t>
      </w:r>
      <w:r w:rsidRPr="00D94E5E" w:rsidDel="00601A00">
        <w:t xml:space="preserve"> </w:t>
      </w:r>
      <w:r w:rsidRPr="00D94E5E">
        <w:t xml:space="preserve">sjednává maximální roční limit pojistného plnění ve výši </w:t>
      </w:r>
      <w:r w:rsidRPr="00D94E5E">
        <w:rPr>
          <w:b/>
          <w:bCs/>
        </w:rPr>
        <w:t>500 000 Kč</w:t>
      </w:r>
      <w:r w:rsidR="00D94E5E" w:rsidRPr="00D94E5E">
        <w:rPr>
          <w:b/>
          <w:bCs/>
        </w:rPr>
        <w:t>.</w:t>
      </w:r>
      <w:r w:rsidRPr="00D94E5E">
        <w:t xml:space="preserve"> Tím</w:t>
      </w:r>
      <w:r w:rsidRPr="00AC0C71">
        <w:t xml:space="preserve"> nejsou dotčena jiná ujednání, z nichž vyplývá povinnost pojistitele poskytnout pojistné plnění v nižší nebo stejné výši.</w:t>
      </w:r>
    </w:p>
    <w:p w14:paraId="3E7ECD8E" w14:textId="77777777" w:rsidR="004F5229" w:rsidRPr="006368D9" w:rsidRDefault="004F5229" w:rsidP="00B56EE3">
      <w:pPr>
        <w:numPr>
          <w:ilvl w:val="0"/>
          <w:numId w:val="15"/>
        </w:numPr>
        <w:tabs>
          <w:tab w:val="left" w:pos="-1418"/>
        </w:tabs>
        <w:spacing w:before="120"/>
        <w:rPr>
          <w:rFonts w:cs="Arial"/>
        </w:rPr>
      </w:pPr>
      <w:r w:rsidRPr="006368D9">
        <w:rPr>
          <w:rFonts w:cs="Arial"/>
        </w:rPr>
        <w:t xml:space="preserve">Pojistné plnění ze všech pojištění sjednaných touto pojistnou smlouvou, </w:t>
      </w:r>
      <w:r w:rsidRPr="000E7A1F">
        <w:rPr>
          <w:rFonts w:cs="Arial"/>
        </w:rPr>
        <w:t>v souhrnu za</w:t>
      </w:r>
      <w:r w:rsidRPr="006368D9">
        <w:rPr>
          <w:rFonts w:cs="Arial"/>
        </w:rPr>
        <w:t xml:space="preserve"> všechny pojistné události způsobené </w:t>
      </w:r>
      <w:r w:rsidRPr="00D50CDB">
        <w:rPr>
          <w:rFonts w:cs="Arial"/>
          <w:b/>
        </w:rPr>
        <w:t>vichřicí nebo krupobitím</w:t>
      </w:r>
      <w:r w:rsidRPr="006368D9">
        <w:rPr>
          <w:rFonts w:cs="Arial"/>
        </w:rPr>
        <w:t xml:space="preserve">, nastalé v průběhu jednoho pojistného roku </w:t>
      </w:r>
      <w:r w:rsidRPr="006368D9">
        <w:rPr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</w:rPr>
        <w:t xml:space="preserve">, je omezeno maximálním ročním limitem pojistného plnění ve výši </w:t>
      </w:r>
      <w:r w:rsidRPr="00526BD3">
        <w:rPr>
          <w:rFonts w:cs="Arial"/>
          <w:b/>
          <w:bCs/>
        </w:rPr>
        <w:t>100 000 000 Kč;</w:t>
      </w:r>
      <w:r w:rsidRPr="006368D9">
        <w:rPr>
          <w:rFonts w:cs="Arial"/>
        </w:rPr>
        <w:t xml:space="preserve"> tím nejsou dotčena jiná ujednání, z nichž vyplývá povinnost pojistitele poskytnout pojistné plnění v nižší nebo stejné výši.</w:t>
      </w:r>
    </w:p>
    <w:p w14:paraId="21A0A392" w14:textId="77777777" w:rsidR="004F5229" w:rsidRPr="006368D9" w:rsidRDefault="004F5229" w:rsidP="00B56EE3">
      <w:pPr>
        <w:numPr>
          <w:ilvl w:val="0"/>
          <w:numId w:val="15"/>
        </w:numPr>
        <w:tabs>
          <w:tab w:val="left" w:pos="-720"/>
        </w:tabs>
        <w:spacing w:before="120"/>
        <w:rPr>
          <w:rFonts w:cs="Arial"/>
        </w:rPr>
      </w:pPr>
      <w:r w:rsidRPr="006368D9">
        <w:rPr>
          <w:rFonts w:cs="Arial"/>
        </w:rPr>
        <w:t xml:space="preserve">Pojistné plnění ze všech pojištění sjednaných touto pojistnou smlouvou, </w:t>
      </w:r>
      <w:r w:rsidRPr="000E7A1F">
        <w:rPr>
          <w:rFonts w:cs="Arial"/>
        </w:rPr>
        <w:t>v souhrnu</w:t>
      </w:r>
      <w:r w:rsidRPr="006368D9">
        <w:rPr>
          <w:rFonts w:cs="Arial"/>
        </w:rPr>
        <w:t xml:space="preserve"> za všechny pojistné události způsobené </w:t>
      </w:r>
      <w:r w:rsidRPr="00D50CDB">
        <w:rPr>
          <w:rFonts w:cs="Arial"/>
          <w:b/>
        </w:rPr>
        <w:t>sesouváním půdy, zřícením skal nebo zemin, sesouváním nebo zřícením lavin, zemětřesením, tíhou sněhu nebo námrazy</w:t>
      </w:r>
      <w:r w:rsidRPr="006368D9">
        <w:rPr>
          <w:rFonts w:cs="Arial"/>
        </w:rPr>
        <w:t xml:space="preserve"> nastalé v průběhu jednoho pojistného roku </w:t>
      </w:r>
      <w:r w:rsidRPr="006368D9">
        <w:rPr>
          <w:szCs w:val="20"/>
        </w:rPr>
        <w:t>(resp. je-li pojištění sjednáno na</w:t>
      </w:r>
      <w:r>
        <w:rPr>
          <w:szCs w:val="20"/>
        </w:rPr>
        <w:t> </w:t>
      </w:r>
      <w:r w:rsidRPr="006368D9">
        <w:rPr>
          <w:szCs w:val="20"/>
        </w:rPr>
        <w:t>dobu kratší než jeden pojistný rok, v průběhu trvání pojištění)</w:t>
      </w:r>
      <w:r w:rsidRPr="006368D9">
        <w:rPr>
          <w:rFonts w:cs="Arial"/>
        </w:rPr>
        <w:t xml:space="preserve">, je omezeno maximálním ročním limitem pojistného plnění ve výši </w:t>
      </w:r>
      <w:r w:rsidRPr="00526BD3">
        <w:rPr>
          <w:rFonts w:cs="Arial"/>
          <w:b/>
          <w:bCs/>
        </w:rPr>
        <w:t>100 000 000 Kč;</w:t>
      </w:r>
      <w:r w:rsidRPr="006368D9">
        <w:rPr>
          <w:rFonts w:cs="Arial"/>
        </w:rPr>
        <w:t xml:space="preserve"> tím nejsou dotčena jiná ujednání, z nichž vyplývá povinnost pojistitele poskytnout pojistné plnění v nižší nebo stejné výši.</w:t>
      </w:r>
    </w:p>
    <w:p w14:paraId="2AAFC97E" w14:textId="741ADCDC" w:rsidR="004F5229" w:rsidRDefault="004F5229" w:rsidP="00B56EE3">
      <w:pPr>
        <w:numPr>
          <w:ilvl w:val="0"/>
          <w:numId w:val="15"/>
        </w:numPr>
        <w:tabs>
          <w:tab w:val="left" w:pos="-720"/>
        </w:tabs>
        <w:spacing w:before="120"/>
        <w:rPr>
          <w:rFonts w:cs="Arial"/>
        </w:rPr>
      </w:pPr>
      <w:r w:rsidRPr="006368D9">
        <w:rPr>
          <w:rFonts w:cs="Arial"/>
        </w:rPr>
        <w:t xml:space="preserve">Pojistné plnění ze všech pojištění sjednaných touto pojistnou smlouvou, </w:t>
      </w:r>
      <w:r w:rsidRPr="000E7A1F">
        <w:rPr>
          <w:rFonts w:cs="Arial"/>
        </w:rPr>
        <w:t>v souhrnu</w:t>
      </w:r>
      <w:r w:rsidRPr="006368D9">
        <w:rPr>
          <w:rFonts w:cs="Arial"/>
        </w:rPr>
        <w:t xml:space="preserve"> za všechny pojistné události způsobené </w:t>
      </w:r>
      <w:r>
        <w:rPr>
          <w:rFonts w:cs="Arial"/>
        </w:rPr>
        <w:t xml:space="preserve">z příčiny </w:t>
      </w:r>
      <w:r w:rsidRPr="003448B8">
        <w:rPr>
          <w:rFonts w:cs="Arial"/>
          <w:b/>
        </w:rPr>
        <w:t>vodovod</w:t>
      </w:r>
      <w:r w:rsidRPr="006368D9">
        <w:rPr>
          <w:rFonts w:cs="Arial"/>
        </w:rPr>
        <w:t xml:space="preserve"> nastalé v průběhu jednoho pojistného roku </w:t>
      </w:r>
      <w:r w:rsidRPr="006368D9">
        <w:rPr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</w:rPr>
        <w:t xml:space="preserve">, je omezeno maximálním ročním limitem pojistného plnění ve výši </w:t>
      </w:r>
      <w:r w:rsidRPr="00526BD3">
        <w:rPr>
          <w:rFonts w:cs="Arial"/>
          <w:b/>
          <w:bCs/>
        </w:rPr>
        <w:t>30 000 000 Kč;</w:t>
      </w:r>
      <w:r w:rsidRPr="006368D9">
        <w:rPr>
          <w:rFonts w:cs="Arial"/>
        </w:rPr>
        <w:t xml:space="preserve"> tím nejsou dotčena jiná ujednání, z nichž vyplývá povinnost pojistitele poskytnout pojistné plnění v nižší nebo stejné výši.</w:t>
      </w:r>
    </w:p>
    <w:p w14:paraId="4597D4B0" w14:textId="347C6A2D" w:rsidR="003F4EE7" w:rsidRPr="00A52132" w:rsidRDefault="003F4EE7" w:rsidP="00B56EE3">
      <w:pPr>
        <w:numPr>
          <w:ilvl w:val="0"/>
          <w:numId w:val="15"/>
        </w:numPr>
        <w:tabs>
          <w:tab w:val="left" w:pos="-720"/>
        </w:tabs>
        <w:spacing w:before="120"/>
        <w:rPr>
          <w:rFonts w:cs="Arial"/>
        </w:rPr>
      </w:pPr>
      <w:r w:rsidRPr="00A52132">
        <w:t xml:space="preserve">Pojistné plnění z pojištění sjednaného doložkou </w:t>
      </w:r>
      <w:proofErr w:type="gramStart"/>
      <w:r w:rsidRPr="00A52132">
        <w:rPr>
          <w:b/>
          <w:bCs/>
        </w:rPr>
        <w:t>DODC101</w:t>
      </w:r>
      <w:r w:rsidR="006A1784" w:rsidRPr="00A52132">
        <w:rPr>
          <w:b/>
          <w:bCs/>
        </w:rPr>
        <w:t xml:space="preserve"> </w:t>
      </w:r>
      <w:r w:rsidR="006A1784" w:rsidRPr="00A52132">
        <w:rPr>
          <w:b/>
          <w:bCs/>
          <w:szCs w:val="20"/>
        </w:rPr>
        <w:t>- Poškození</w:t>
      </w:r>
      <w:proofErr w:type="gramEnd"/>
      <w:r w:rsidR="006A1784" w:rsidRPr="00A52132">
        <w:rPr>
          <w:b/>
          <w:bCs/>
          <w:szCs w:val="20"/>
        </w:rPr>
        <w:t xml:space="preserve"> vnějšího kontaktního zateplovacího systému (zateplení fasády) ptactvem, hmyzem a hlodavci</w:t>
      </w:r>
      <w:r w:rsidRPr="00A52132">
        <w:rPr>
          <w:b/>
          <w:bCs/>
        </w:rPr>
        <w:t>,</w:t>
      </w:r>
      <w:r w:rsidRPr="00A52132"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 výši </w:t>
      </w:r>
      <w:r w:rsidR="006A1784" w:rsidRPr="00A52132">
        <w:rPr>
          <w:b/>
          <w:bCs/>
        </w:rPr>
        <w:t>100 000,-</w:t>
      </w:r>
      <w:r w:rsidRPr="00A52132">
        <w:rPr>
          <w:b/>
          <w:bCs/>
        </w:rPr>
        <w:t xml:space="preserve"> Kč.</w:t>
      </w:r>
      <w:r w:rsidRPr="00A52132">
        <w:t xml:space="preserve"> Od celkové výše pojistného plnění za každou pojistnou událost z tohoto</w:t>
      </w:r>
      <w:r w:rsidRPr="00A52132">
        <w:rPr>
          <w:b/>
        </w:rPr>
        <w:t xml:space="preserve"> </w:t>
      </w:r>
      <w:r w:rsidRPr="00A52132">
        <w:t>pojištění se odečítá spoluúčast ve výši</w:t>
      </w:r>
      <w:r w:rsidR="006A1784" w:rsidRPr="00A52132">
        <w:t xml:space="preserve"> </w:t>
      </w:r>
      <w:proofErr w:type="gramStart"/>
      <w:r w:rsidR="006A1784" w:rsidRPr="00A52132">
        <w:t>10%</w:t>
      </w:r>
      <w:proofErr w:type="gramEnd"/>
      <w:r w:rsidR="006A1784" w:rsidRPr="00A52132">
        <w:t xml:space="preserve">, min. </w:t>
      </w:r>
      <w:r w:rsidR="00805069" w:rsidRPr="00A52132">
        <w:t>5</w:t>
      </w:r>
      <w:r w:rsidR="006A1784" w:rsidRPr="00A52132">
        <w:t> 000 Kč.</w:t>
      </w:r>
    </w:p>
    <w:p w14:paraId="2C3325E7" w14:textId="7E2C86B2" w:rsidR="003F4EE7" w:rsidRPr="00A52132" w:rsidRDefault="003F4EE7" w:rsidP="00B56EE3">
      <w:pPr>
        <w:numPr>
          <w:ilvl w:val="0"/>
          <w:numId w:val="15"/>
        </w:numPr>
        <w:tabs>
          <w:tab w:val="left" w:pos="-720"/>
        </w:tabs>
        <w:spacing w:before="120"/>
        <w:rPr>
          <w:rFonts w:cs="Arial"/>
        </w:rPr>
      </w:pPr>
      <w:r w:rsidRPr="00A52132">
        <w:t xml:space="preserve">Pojistné plnění z pojištění sjednaného doložkou </w:t>
      </w:r>
      <w:proofErr w:type="gramStart"/>
      <w:r w:rsidRPr="00A52132">
        <w:rPr>
          <w:b/>
          <w:bCs/>
        </w:rPr>
        <w:t>DODC102</w:t>
      </w:r>
      <w:r w:rsidR="006A1784" w:rsidRPr="00A52132">
        <w:rPr>
          <w:b/>
          <w:bCs/>
        </w:rPr>
        <w:t xml:space="preserve"> </w:t>
      </w:r>
      <w:r w:rsidR="006A1784" w:rsidRPr="00A52132">
        <w:rPr>
          <w:b/>
          <w:bCs/>
          <w:szCs w:val="20"/>
        </w:rPr>
        <w:t>- Malby</w:t>
      </w:r>
      <w:proofErr w:type="gramEnd"/>
      <w:r w:rsidR="006A1784" w:rsidRPr="00A52132">
        <w:rPr>
          <w:b/>
          <w:bCs/>
          <w:szCs w:val="20"/>
        </w:rPr>
        <w:t>, nástřiky nebo polepení</w:t>
      </w:r>
      <w:r w:rsidRPr="00A52132">
        <w:rPr>
          <w:b/>
          <w:bCs/>
        </w:rPr>
        <w:t>,</w:t>
      </w:r>
      <w:r w:rsidRPr="00A52132"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 výši </w:t>
      </w:r>
      <w:r w:rsidR="006A1784" w:rsidRPr="00A52132">
        <w:rPr>
          <w:b/>
          <w:bCs/>
        </w:rPr>
        <w:t>300 000,-</w:t>
      </w:r>
      <w:r w:rsidRPr="00A52132">
        <w:rPr>
          <w:b/>
          <w:bCs/>
        </w:rPr>
        <w:t xml:space="preserve"> Kč.</w:t>
      </w:r>
      <w:r w:rsidRPr="00A52132">
        <w:t xml:space="preserve"> Od celkové výše pojistného plnění za každou pojistnou událost z tohoto pojištění se odečítá spoluúčast ve výši</w:t>
      </w:r>
      <w:r w:rsidR="006A1784" w:rsidRPr="00A52132">
        <w:t xml:space="preserve"> </w:t>
      </w:r>
      <w:proofErr w:type="gramStart"/>
      <w:r w:rsidR="006A1784" w:rsidRPr="00A52132">
        <w:t>10%</w:t>
      </w:r>
      <w:proofErr w:type="gramEnd"/>
      <w:r w:rsidR="006A1784" w:rsidRPr="00A52132">
        <w:t xml:space="preserve">, min. </w:t>
      </w:r>
      <w:r w:rsidR="00805069" w:rsidRPr="00A52132">
        <w:t>5</w:t>
      </w:r>
      <w:r w:rsidR="006A1784" w:rsidRPr="00A52132">
        <w:t> 000 Kč.</w:t>
      </w:r>
    </w:p>
    <w:p w14:paraId="369B9188" w14:textId="43B2A309" w:rsidR="003F4EE7" w:rsidRPr="00437825" w:rsidRDefault="003F4EE7" w:rsidP="00B56EE3">
      <w:pPr>
        <w:numPr>
          <w:ilvl w:val="0"/>
          <w:numId w:val="15"/>
        </w:numPr>
        <w:tabs>
          <w:tab w:val="left" w:pos="-720"/>
        </w:tabs>
        <w:spacing w:before="120"/>
        <w:rPr>
          <w:rFonts w:cs="Arial"/>
        </w:rPr>
      </w:pPr>
      <w:r w:rsidRPr="00A52132">
        <w:t xml:space="preserve">Pojistné plnění z pojištění sjednaného doložkou </w:t>
      </w:r>
      <w:proofErr w:type="gramStart"/>
      <w:r w:rsidRPr="00A52132">
        <w:rPr>
          <w:b/>
          <w:bCs/>
        </w:rPr>
        <w:t>DZ113</w:t>
      </w:r>
      <w:r w:rsidR="006A1784" w:rsidRPr="00A52132">
        <w:rPr>
          <w:b/>
          <w:bCs/>
        </w:rPr>
        <w:t xml:space="preserve"> </w:t>
      </w:r>
      <w:r w:rsidR="006A1784" w:rsidRPr="00A52132">
        <w:rPr>
          <w:rFonts w:cs="Arial"/>
          <w:b/>
          <w:bCs/>
          <w:szCs w:val="20"/>
        </w:rPr>
        <w:t xml:space="preserve">- </w:t>
      </w:r>
      <w:r w:rsidR="006A1784" w:rsidRPr="00A52132">
        <w:rPr>
          <w:b/>
          <w:bCs/>
          <w:szCs w:val="20"/>
        </w:rPr>
        <w:t>Atmosférické</w:t>
      </w:r>
      <w:proofErr w:type="gramEnd"/>
      <w:r w:rsidR="006A1784" w:rsidRPr="00A52132">
        <w:rPr>
          <w:b/>
          <w:bCs/>
          <w:szCs w:val="20"/>
        </w:rPr>
        <w:t xml:space="preserve"> srážky</w:t>
      </w:r>
      <w:r w:rsidRPr="00A52132">
        <w:rPr>
          <w:b/>
          <w:bCs/>
        </w:rPr>
        <w:t>,</w:t>
      </w:r>
      <w:r w:rsidRPr="00A52132"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E85AB4">
        <w:rPr>
          <w:b/>
          <w:bCs/>
        </w:rPr>
        <w:t>5</w:t>
      </w:r>
      <w:r w:rsidR="006A1784" w:rsidRPr="00A52132">
        <w:rPr>
          <w:b/>
          <w:bCs/>
        </w:rPr>
        <w:t>00 000,-</w:t>
      </w:r>
      <w:r w:rsidRPr="00A52132">
        <w:rPr>
          <w:b/>
          <w:bCs/>
        </w:rPr>
        <w:t xml:space="preserve"> Kč.</w:t>
      </w:r>
      <w:r w:rsidRPr="00A52132">
        <w:t xml:space="preserve"> Od celkové výše pojistného plnění za každou pojistnou událost z tohoto pojištění se odečítá spoluúčast ve výši</w:t>
      </w:r>
      <w:r w:rsidR="006A1784" w:rsidRPr="00A52132">
        <w:t xml:space="preserve"> 1</w:t>
      </w:r>
      <w:r w:rsidR="00805069" w:rsidRPr="00A52132">
        <w:t>0</w:t>
      </w:r>
      <w:r w:rsidR="006A1784" w:rsidRPr="00A52132">
        <w:t> 000 Kč.</w:t>
      </w:r>
    </w:p>
    <w:p w14:paraId="483D0C56" w14:textId="2190152C" w:rsidR="00437825" w:rsidRPr="00F66AD0" w:rsidRDefault="00437825" w:rsidP="00B56EE3">
      <w:pPr>
        <w:numPr>
          <w:ilvl w:val="0"/>
          <w:numId w:val="15"/>
        </w:numPr>
        <w:tabs>
          <w:tab w:val="left" w:pos="-720"/>
        </w:tabs>
        <w:spacing w:before="120"/>
        <w:rPr>
          <w:rFonts w:cs="Arial"/>
        </w:rPr>
      </w:pPr>
      <w:r w:rsidRPr="00AC0C71">
        <w:t xml:space="preserve">Pojistné plnění z pojištění sjednaného doložkou </w:t>
      </w:r>
      <w:proofErr w:type="gramStart"/>
      <w:r w:rsidRPr="00E85AB4">
        <w:rPr>
          <w:b/>
          <w:bCs/>
        </w:rPr>
        <w:t xml:space="preserve">DZ114 </w:t>
      </w:r>
      <w:r w:rsidRPr="00E85AB4">
        <w:rPr>
          <w:b/>
          <w:bCs/>
          <w:szCs w:val="20"/>
        </w:rPr>
        <w:t>- Nepřímý</w:t>
      </w:r>
      <w:proofErr w:type="gramEnd"/>
      <w:r w:rsidRPr="00E85AB4">
        <w:rPr>
          <w:b/>
          <w:bCs/>
          <w:szCs w:val="20"/>
        </w:rPr>
        <w:t xml:space="preserve"> úder blesku</w:t>
      </w:r>
      <w:r w:rsidRPr="00E85AB4">
        <w:rPr>
          <w:b/>
          <w:bCs/>
        </w:rPr>
        <w:t>,</w:t>
      </w:r>
      <w:r w:rsidRPr="00AC0C71"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E85AB4" w:rsidRPr="00E85AB4">
        <w:rPr>
          <w:b/>
          <w:bCs/>
        </w:rPr>
        <w:t>500 000</w:t>
      </w:r>
      <w:r w:rsidRPr="00E85AB4">
        <w:rPr>
          <w:b/>
          <w:bCs/>
        </w:rPr>
        <w:t xml:space="preserve"> Kč.</w:t>
      </w:r>
      <w:r w:rsidRPr="00AC0C71">
        <w:t xml:space="preserve"> Od celkové výše pojistného plnění za každou pojistnou událost z tohoto pojištění se odečítá spoluúčast ve výši</w:t>
      </w:r>
      <w:r w:rsidR="00E85AB4">
        <w:t xml:space="preserve"> 10 000 </w:t>
      </w:r>
      <w:r w:rsidR="00CA3B82">
        <w:t>Kč.</w:t>
      </w:r>
    </w:p>
    <w:p w14:paraId="4E8AD270" w14:textId="77777777" w:rsidR="00C94D66" w:rsidRDefault="00C94D66" w:rsidP="00C94D66">
      <w:pPr>
        <w:tabs>
          <w:tab w:val="left" w:pos="-720"/>
        </w:tabs>
        <w:rPr>
          <w:rFonts w:cs="Arial"/>
        </w:rPr>
      </w:pPr>
    </w:p>
    <w:p w14:paraId="39320B98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4D031724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2EA02C4D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068A3F52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48170057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7F930226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6EA9BA06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208BE5C5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4E9F7495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6B2B7673" w14:textId="77777777" w:rsidR="00FC50A4" w:rsidRDefault="00FC50A4" w:rsidP="00C94D66">
      <w:pPr>
        <w:tabs>
          <w:tab w:val="left" w:pos="-720"/>
        </w:tabs>
        <w:rPr>
          <w:rFonts w:cs="Arial"/>
        </w:rPr>
      </w:pPr>
    </w:p>
    <w:p w14:paraId="6D2AA077" w14:textId="77777777" w:rsidR="009B22B4" w:rsidRPr="00A52132" w:rsidRDefault="009B22B4" w:rsidP="00C94D66">
      <w:pPr>
        <w:pStyle w:val="Nadpislnk"/>
        <w:spacing w:before="120" w:after="0"/>
      </w:pPr>
      <w:bookmarkStart w:id="2" w:name="_Toc367839357"/>
      <w:r w:rsidRPr="00A52132">
        <w:lastRenderedPageBreak/>
        <w:t>Článek III.</w:t>
      </w:r>
      <w:r w:rsidR="00C158E8" w:rsidRPr="00A52132">
        <w:t xml:space="preserve"> </w:t>
      </w:r>
      <w:r w:rsidR="00AE4398" w:rsidRPr="00A52132">
        <w:br/>
      </w:r>
      <w:r w:rsidRPr="00A52132">
        <w:t>Výše a způsob placení pojistného</w:t>
      </w:r>
    </w:p>
    <w:p w14:paraId="2492DC82" w14:textId="7CC7776E" w:rsidR="003F4EE7" w:rsidRPr="00A52132" w:rsidRDefault="003F4EE7" w:rsidP="003F4EE7">
      <w:pPr>
        <w:keepNext/>
        <w:numPr>
          <w:ilvl w:val="0"/>
          <w:numId w:val="17"/>
        </w:numPr>
        <w:tabs>
          <w:tab w:val="left" w:pos="-1418"/>
        </w:tabs>
        <w:spacing w:before="120"/>
        <w:rPr>
          <w:rFonts w:cs="Arial"/>
          <w:b/>
        </w:rPr>
      </w:pPr>
      <w:r w:rsidRPr="00A52132">
        <w:rPr>
          <w:b/>
        </w:rPr>
        <w:t>Pojistné za jeden pojistný rok činí:</w:t>
      </w:r>
    </w:p>
    <w:p w14:paraId="1444DA94" w14:textId="77777777" w:rsidR="00FA0DD6" w:rsidRPr="00A52132" w:rsidRDefault="00FA0DD6" w:rsidP="003469C7">
      <w:pPr>
        <w:keepNext/>
        <w:numPr>
          <w:ilvl w:val="0"/>
          <w:numId w:val="16"/>
        </w:numPr>
        <w:tabs>
          <w:tab w:val="clear" w:pos="425"/>
          <w:tab w:val="left" w:pos="-720"/>
        </w:tabs>
        <w:spacing w:before="120"/>
        <w:ind w:left="567" w:hanging="567"/>
        <w:rPr>
          <w:rFonts w:cs="Arial"/>
          <w:b/>
        </w:rPr>
      </w:pPr>
      <w:r w:rsidRPr="00A52132">
        <w:rPr>
          <w:rFonts w:cs="Arial"/>
          <w:b/>
        </w:rPr>
        <w:t>Živelní pojištění</w:t>
      </w:r>
    </w:p>
    <w:p w14:paraId="22FB2B41" w14:textId="73CF9389" w:rsidR="00FC2094" w:rsidRPr="00375A2D" w:rsidRDefault="00A04EC1" w:rsidP="00BC3200">
      <w:pPr>
        <w:tabs>
          <w:tab w:val="right" w:leader="dot" w:pos="9639"/>
        </w:tabs>
        <w:ind w:left="567"/>
        <w:rPr>
          <w:rFonts w:cs="Arial"/>
        </w:rPr>
      </w:pPr>
      <w:r>
        <w:t>P</w:t>
      </w:r>
      <w:r w:rsidR="00FC2094" w:rsidRPr="00375A2D">
        <w:t xml:space="preserve">ojistné </w:t>
      </w:r>
      <w:r w:rsidR="00FC2094" w:rsidRPr="00375A2D">
        <w:rPr>
          <w:rFonts w:cs="Arial"/>
        </w:rPr>
        <w:tab/>
        <w:t xml:space="preserve"> </w:t>
      </w:r>
      <w:r w:rsidR="00A75690">
        <w:rPr>
          <w:rFonts w:cs="Arial"/>
        </w:rPr>
        <w:t>5</w:t>
      </w:r>
      <w:r w:rsidR="00B4421F">
        <w:rPr>
          <w:rFonts w:cs="Arial"/>
        </w:rPr>
        <w:t>17</w:t>
      </w:r>
      <w:r w:rsidR="00A75690">
        <w:rPr>
          <w:rFonts w:cs="Arial"/>
        </w:rPr>
        <w:t xml:space="preserve"> </w:t>
      </w:r>
      <w:r w:rsidR="00B4421F">
        <w:rPr>
          <w:rFonts w:cs="Arial"/>
        </w:rPr>
        <w:t>7</w:t>
      </w:r>
      <w:r w:rsidR="006654E1">
        <w:rPr>
          <w:rFonts w:cs="Arial"/>
        </w:rPr>
        <w:t>84</w:t>
      </w:r>
      <w:r w:rsidR="00FC2094" w:rsidRPr="00375A2D">
        <w:rPr>
          <w:rFonts w:cs="Arial"/>
        </w:rPr>
        <w:t>,- Kč</w:t>
      </w:r>
    </w:p>
    <w:p w14:paraId="0B034DDC" w14:textId="77777777" w:rsidR="00FA0DD6" w:rsidRPr="00A52132" w:rsidRDefault="00FA0DD6" w:rsidP="00B56EE3">
      <w:pPr>
        <w:keepNext/>
        <w:numPr>
          <w:ilvl w:val="0"/>
          <w:numId w:val="16"/>
        </w:numPr>
        <w:tabs>
          <w:tab w:val="clear" w:pos="425"/>
          <w:tab w:val="left" w:pos="-1560"/>
        </w:tabs>
        <w:ind w:left="567" w:hanging="567"/>
        <w:rPr>
          <w:rFonts w:cs="Arial"/>
          <w:b/>
        </w:rPr>
      </w:pPr>
      <w:r w:rsidRPr="00A52132">
        <w:rPr>
          <w:rFonts w:cs="Arial"/>
          <w:b/>
        </w:rPr>
        <w:t xml:space="preserve">Pojištění pro případ odcizení </w:t>
      </w:r>
    </w:p>
    <w:p w14:paraId="18CEAE84" w14:textId="05477683" w:rsidR="00FA0DD6" w:rsidRDefault="00FA0DD6" w:rsidP="00FA0DD6">
      <w:pPr>
        <w:numPr>
          <w:ilvl w:val="12"/>
          <w:numId w:val="0"/>
        </w:numPr>
        <w:tabs>
          <w:tab w:val="right" w:leader="dot" w:pos="9638"/>
        </w:tabs>
        <w:ind w:left="567"/>
        <w:rPr>
          <w:rFonts w:cs="Arial"/>
        </w:rPr>
      </w:pPr>
      <w:r w:rsidRPr="00A52132">
        <w:rPr>
          <w:rFonts w:cs="Arial"/>
        </w:rPr>
        <w:t xml:space="preserve">Pojistné </w:t>
      </w:r>
      <w:r w:rsidRPr="00A52132">
        <w:rPr>
          <w:rFonts w:cs="Arial"/>
        </w:rPr>
        <w:tab/>
      </w:r>
      <w:r w:rsidR="002C68D2" w:rsidRPr="00A52132">
        <w:rPr>
          <w:rFonts w:cs="Arial"/>
        </w:rPr>
        <w:t xml:space="preserve"> </w:t>
      </w:r>
      <w:r w:rsidRPr="00A52132">
        <w:rPr>
          <w:rFonts w:cs="Arial"/>
        </w:rPr>
        <w:t>15 000,- Kč</w:t>
      </w:r>
    </w:p>
    <w:p w14:paraId="4C09BD44" w14:textId="77777777" w:rsidR="00FA0DD6" w:rsidRPr="00A52132" w:rsidRDefault="00FA0DD6" w:rsidP="00B56EE3">
      <w:pPr>
        <w:keepNext/>
        <w:numPr>
          <w:ilvl w:val="0"/>
          <w:numId w:val="16"/>
        </w:numPr>
        <w:tabs>
          <w:tab w:val="clear" w:pos="425"/>
          <w:tab w:val="left" w:pos="-1560"/>
        </w:tabs>
        <w:ind w:left="567" w:hanging="567"/>
        <w:rPr>
          <w:rFonts w:cs="Arial"/>
          <w:b/>
        </w:rPr>
      </w:pPr>
      <w:r w:rsidRPr="00A52132">
        <w:rPr>
          <w:rFonts w:cs="Arial"/>
          <w:b/>
        </w:rPr>
        <w:t>Pojištění pro případ vandalismu</w:t>
      </w:r>
    </w:p>
    <w:p w14:paraId="2CAEC633" w14:textId="29F0B6B1" w:rsidR="00FA0DD6" w:rsidRPr="00A52132" w:rsidRDefault="00FA0DD6" w:rsidP="00FA0DD6">
      <w:pPr>
        <w:numPr>
          <w:ilvl w:val="12"/>
          <w:numId w:val="0"/>
        </w:numPr>
        <w:tabs>
          <w:tab w:val="right" w:leader="dot" w:pos="9638"/>
        </w:tabs>
        <w:ind w:left="567"/>
        <w:rPr>
          <w:rFonts w:cs="Arial"/>
        </w:rPr>
      </w:pPr>
      <w:r w:rsidRPr="00A52132">
        <w:rPr>
          <w:rFonts w:cs="Arial"/>
        </w:rPr>
        <w:t xml:space="preserve">Pojistné </w:t>
      </w:r>
      <w:r w:rsidRPr="00A52132">
        <w:rPr>
          <w:rFonts w:cs="Arial"/>
        </w:rPr>
        <w:tab/>
      </w:r>
      <w:r w:rsidR="002C68D2" w:rsidRPr="00A52132">
        <w:rPr>
          <w:rFonts w:cs="Arial"/>
        </w:rPr>
        <w:t xml:space="preserve"> </w:t>
      </w:r>
      <w:r w:rsidRPr="00A52132">
        <w:rPr>
          <w:rFonts w:cs="Arial"/>
        </w:rPr>
        <w:t>4</w:t>
      </w:r>
      <w:r w:rsidR="00B4421F">
        <w:rPr>
          <w:rFonts w:cs="Arial"/>
        </w:rPr>
        <w:t>6</w:t>
      </w:r>
      <w:r w:rsidRPr="00A52132">
        <w:rPr>
          <w:rFonts w:cs="Arial"/>
        </w:rPr>
        <w:t xml:space="preserve"> </w:t>
      </w:r>
      <w:r w:rsidR="00B4421F">
        <w:rPr>
          <w:rFonts w:cs="Arial"/>
        </w:rPr>
        <w:t>0</w:t>
      </w:r>
      <w:r w:rsidRPr="00A52132">
        <w:rPr>
          <w:rFonts w:cs="Arial"/>
        </w:rPr>
        <w:t>00,- Kč</w:t>
      </w:r>
    </w:p>
    <w:p w14:paraId="47F66CF7" w14:textId="77777777" w:rsidR="00FA0DD6" w:rsidRPr="00A52132" w:rsidRDefault="00FA0DD6" w:rsidP="00B56EE3">
      <w:pPr>
        <w:keepNext/>
        <w:numPr>
          <w:ilvl w:val="0"/>
          <w:numId w:val="16"/>
        </w:numPr>
        <w:tabs>
          <w:tab w:val="clear" w:pos="425"/>
          <w:tab w:val="left" w:pos="-1560"/>
        </w:tabs>
        <w:ind w:left="567" w:hanging="567"/>
        <w:rPr>
          <w:rFonts w:cs="Arial"/>
          <w:b/>
        </w:rPr>
      </w:pPr>
      <w:r w:rsidRPr="00A52132">
        <w:rPr>
          <w:rFonts w:cs="Arial"/>
          <w:b/>
        </w:rPr>
        <w:t>Pojištění skla</w:t>
      </w:r>
    </w:p>
    <w:p w14:paraId="53BF22C9" w14:textId="77777777" w:rsidR="00FA0DD6" w:rsidRPr="00A52132" w:rsidRDefault="00FA0DD6" w:rsidP="00FA0DD6">
      <w:pPr>
        <w:numPr>
          <w:ilvl w:val="12"/>
          <w:numId w:val="0"/>
        </w:numPr>
        <w:tabs>
          <w:tab w:val="right" w:leader="dot" w:pos="9638"/>
        </w:tabs>
        <w:ind w:left="425" w:firstLine="142"/>
        <w:rPr>
          <w:rFonts w:cs="Arial"/>
        </w:rPr>
      </w:pPr>
      <w:r w:rsidRPr="00A52132">
        <w:rPr>
          <w:rFonts w:cs="Arial"/>
        </w:rPr>
        <w:t xml:space="preserve">Pojistné </w:t>
      </w:r>
      <w:r w:rsidRPr="00A52132">
        <w:rPr>
          <w:rFonts w:cs="Arial"/>
        </w:rPr>
        <w:tab/>
        <w:t xml:space="preserve"> 18 000,- Kč</w:t>
      </w:r>
    </w:p>
    <w:p w14:paraId="66A657CD" w14:textId="58813F01" w:rsidR="00FA0DD6" w:rsidRPr="00A52132" w:rsidRDefault="00FA0DD6" w:rsidP="00FA0DD6">
      <w:pPr>
        <w:keepNext/>
        <w:tabs>
          <w:tab w:val="right" w:leader="dot" w:pos="9639"/>
        </w:tabs>
        <w:spacing w:before="120"/>
        <w:ind w:left="284" w:right="-709" w:hanging="284"/>
        <w:rPr>
          <w:rFonts w:cs="Arial"/>
        </w:rPr>
      </w:pPr>
      <w:r w:rsidRPr="00A52132">
        <w:rPr>
          <w:rFonts w:cs="Arial"/>
          <w:b/>
        </w:rPr>
        <w:t>Souhrn</w:t>
      </w:r>
      <w:r w:rsidRPr="00A52132">
        <w:rPr>
          <w:rFonts w:cs="Arial"/>
        </w:rPr>
        <w:t xml:space="preserve"> </w:t>
      </w:r>
      <w:r w:rsidRPr="00A52132">
        <w:rPr>
          <w:rFonts w:cs="Arial"/>
          <w:b/>
        </w:rPr>
        <w:t xml:space="preserve">pojistného za sjednaná pojištění za jeden pojistný rok činí </w:t>
      </w:r>
      <w:r w:rsidRPr="00A52132">
        <w:rPr>
          <w:rFonts w:cs="Arial"/>
          <w:b/>
        </w:rPr>
        <w:tab/>
        <w:t xml:space="preserve"> </w:t>
      </w:r>
      <w:r w:rsidR="00772B67">
        <w:rPr>
          <w:rFonts w:cs="Arial"/>
          <w:b/>
        </w:rPr>
        <w:t>5</w:t>
      </w:r>
      <w:r w:rsidR="00BA1DBC">
        <w:rPr>
          <w:rFonts w:cs="Arial"/>
          <w:b/>
        </w:rPr>
        <w:t>9</w:t>
      </w:r>
      <w:r w:rsidR="00B4421F">
        <w:rPr>
          <w:rFonts w:cs="Arial"/>
          <w:b/>
        </w:rPr>
        <w:t>6</w:t>
      </w:r>
      <w:r w:rsidRPr="00A52132">
        <w:rPr>
          <w:rFonts w:cs="Arial"/>
          <w:b/>
        </w:rPr>
        <w:t xml:space="preserve"> </w:t>
      </w:r>
      <w:r w:rsidR="00B4421F">
        <w:rPr>
          <w:rFonts w:cs="Arial"/>
          <w:b/>
        </w:rPr>
        <w:t>7</w:t>
      </w:r>
      <w:r w:rsidR="00E35CD9">
        <w:rPr>
          <w:rFonts w:cs="Arial"/>
          <w:b/>
        </w:rPr>
        <w:t>84</w:t>
      </w:r>
      <w:r w:rsidRPr="00A52132">
        <w:rPr>
          <w:rFonts w:cs="Arial"/>
          <w:b/>
        </w:rPr>
        <w:t>,- Kč</w:t>
      </w:r>
    </w:p>
    <w:p w14:paraId="16834B10" w14:textId="5C157533" w:rsidR="00FA0DD6" w:rsidRDefault="00FA0DD6" w:rsidP="00FA0DD6">
      <w:pPr>
        <w:tabs>
          <w:tab w:val="right" w:leader="dot" w:pos="9639"/>
        </w:tabs>
        <w:spacing w:before="120"/>
        <w:rPr>
          <w:rFonts w:cs="Arial"/>
          <w:b/>
        </w:rPr>
      </w:pPr>
      <w:r w:rsidRPr="00A52132">
        <w:rPr>
          <w:rFonts w:cs="Arial"/>
          <w:b/>
        </w:rPr>
        <w:t>Celkové pojistné za jeden pojistný rok činí</w:t>
      </w:r>
      <w:r w:rsidR="00486095">
        <w:rPr>
          <w:rFonts w:cs="Arial"/>
          <w:b/>
        </w:rPr>
        <w:t xml:space="preserve"> </w:t>
      </w:r>
      <w:r w:rsidRPr="00A52132">
        <w:rPr>
          <w:rFonts w:cs="Arial"/>
          <w:b/>
        </w:rPr>
        <w:tab/>
      </w:r>
      <w:r w:rsidR="002C68D2" w:rsidRPr="00A52132">
        <w:rPr>
          <w:rFonts w:cs="Arial"/>
          <w:b/>
        </w:rPr>
        <w:t xml:space="preserve"> </w:t>
      </w:r>
      <w:r w:rsidR="00772B67">
        <w:rPr>
          <w:rFonts w:cs="Arial"/>
          <w:b/>
        </w:rPr>
        <w:t>5</w:t>
      </w:r>
      <w:r w:rsidR="00AE636C">
        <w:rPr>
          <w:rFonts w:cs="Arial"/>
          <w:b/>
        </w:rPr>
        <w:t>9</w:t>
      </w:r>
      <w:r w:rsidR="00486095">
        <w:rPr>
          <w:rFonts w:cs="Arial"/>
          <w:b/>
        </w:rPr>
        <w:t>6</w:t>
      </w:r>
      <w:r w:rsidR="00DC1993" w:rsidRPr="00A52132">
        <w:rPr>
          <w:rFonts w:cs="Arial"/>
          <w:b/>
        </w:rPr>
        <w:t xml:space="preserve"> </w:t>
      </w:r>
      <w:r w:rsidR="00486095">
        <w:rPr>
          <w:rFonts w:cs="Arial"/>
          <w:b/>
        </w:rPr>
        <w:t>7</w:t>
      </w:r>
      <w:r w:rsidR="00E35CD9">
        <w:rPr>
          <w:rFonts w:cs="Arial"/>
          <w:b/>
        </w:rPr>
        <w:t>84</w:t>
      </w:r>
      <w:r w:rsidRPr="00A52132">
        <w:rPr>
          <w:rFonts w:cs="Arial"/>
          <w:b/>
        </w:rPr>
        <w:t>,- Kč</w:t>
      </w:r>
    </w:p>
    <w:p w14:paraId="07EEE935" w14:textId="77777777" w:rsidR="00602EA4" w:rsidRPr="00D057A6" w:rsidRDefault="00602EA4" w:rsidP="00602EA4">
      <w:pPr>
        <w:keepNext/>
        <w:numPr>
          <w:ilvl w:val="0"/>
          <w:numId w:val="17"/>
        </w:numPr>
        <w:tabs>
          <w:tab w:val="left" w:pos="-1418"/>
        </w:tabs>
        <w:spacing w:before="120"/>
        <w:rPr>
          <w:rFonts w:cs="Arial"/>
          <w:szCs w:val="20"/>
        </w:rPr>
      </w:pPr>
      <w:r w:rsidRPr="00D057A6">
        <w:rPr>
          <w:szCs w:val="20"/>
        </w:rPr>
        <w:t>Pojistné je sjednáno jako běžné</w:t>
      </w:r>
      <w:r w:rsidRPr="00D057A6">
        <w:rPr>
          <w:rFonts w:cs="Arial"/>
          <w:szCs w:val="20"/>
        </w:rPr>
        <w:t xml:space="preserve">. </w:t>
      </w:r>
    </w:p>
    <w:p w14:paraId="73755890" w14:textId="247F6AC6" w:rsidR="00602EA4" w:rsidRPr="00D057A6" w:rsidRDefault="00525B6B" w:rsidP="00602EA4">
      <w:pPr>
        <w:spacing w:after="120"/>
        <w:ind w:left="426"/>
        <w:rPr>
          <w:szCs w:val="20"/>
        </w:rPr>
      </w:pPr>
      <w:r w:rsidRPr="00FF7F5F">
        <w:t xml:space="preserve">Pojistné období je </w:t>
      </w:r>
      <w:r>
        <w:t>dvanácti</w:t>
      </w:r>
      <w:r w:rsidRPr="00FF7F5F">
        <w:t xml:space="preserve">měsíční. </w:t>
      </w:r>
      <w:r w:rsidR="00807FF2" w:rsidRPr="00AC0C71">
        <w:t>Pojistné je v každém pojistném roce splatné k datům a v částkách takto</w:t>
      </w:r>
      <w:r w:rsidR="00602EA4" w:rsidRPr="00D057A6">
        <w:rPr>
          <w:szCs w:val="20"/>
        </w:rPr>
        <w:t xml:space="preserve">: </w:t>
      </w:r>
    </w:p>
    <w:p w14:paraId="77D382FF" w14:textId="304603D5" w:rsidR="00602EA4" w:rsidRPr="00D057A6" w:rsidRDefault="00602EA4" w:rsidP="00602EA4">
      <w:pPr>
        <w:tabs>
          <w:tab w:val="left" w:pos="-1560"/>
          <w:tab w:val="left" w:pos="-1418"/>
          <w:tab w:val="left" w:pos="3969"/>
        </w:tabs>
        <w:spacing w:before="120"/>
        <w:ind w:left="426"/>
        <w:rPr>
          <w:rFonts w:cs="Arial"/>
          <w:b/>
        </w:rPr>
      </w:pPr>
      <w:r w:rsidRPr="00D057A6">
        <w:rPr>
          <w:rFonts w:cs="Arial"/>
        </w:rPr>
        <w:t xml:space="preserve">datum: </w:t>
      </w:r>
      <w:r w:rsidR="00390618">
        <w:rPr>
          <w:rFonts w:cs="Arial"/>
          <w:b/>
        </w:rPr>
        <w:t>1</w:t>
      </w:r>
      <w:r w:rsidR="00D81D5D">
        <w:rPr>
          <w:rFonts w:cs="Arial"/>
          <w:b/>
        </w:rPr>
        <w:t>4</w:t>
      </w:r>
      <w:r w:rsidR="00123431">
        <w:rPr>
          <w:rFonts w:cs="Arial"/>
          <w:b/>
        </w:rPr>
        <w:t>.</w:t>
      </w:r>
      <w:r w:rsidR="003E21B8">
        <w:rPr>
          <w:rFonts w:cs="Arial"/>
          <w:b/>
        </w:rPr>
        <w:t>03</w:t>
      </w:r>
      <w:r w:rsidRPr="00D057A6">
        <w:rPr>
          <w:rFonts w:cs="Arial"/>
        </w:rPr>
        <w:tab/>
        <w:t xml:space="preserve">částka: </w:t>
      </w:r>
      <w:r w:rsidR="00DF36B7">
        <w:rPr>
          <w:rFonts w:cs="Arial"/>
          <w:b/>
        </w:rPr>
        <w:t>5</w:t>
      </w:r>
      <w:r w:rsidR="00807FF2">
        <w:rPr>
          <w:rFonts w:cs="Arial"/>
          <w:b/>
        </w:rPr>
        <w:t>96</w:t>
      </w:r>
      <w:r w:rsidR="00ED5020">
        <w:rPr>
          <w:rFonts w:cs="Arial"/>
          <w:b/>
        </w:rPr>
        <w:t xml:space="preserve"> </w:t>
      </w:r>
      <w:r w:rsidR="00807FF2">
        <w:rPr>
          <w:rFonts w:cs="Arial"/>
          <w:b/>
        </w:rPr>
        <w:t>7</w:t>
      </w:r>
      <w:r w:rsidR="00E35CD9">
        <w:rPr>
          <w:rFonts w:cs="Arial"/>
          <w:b/>
        </w:rPr>
        <w:t>84</w:t>
      </w:r>
      <w:r w:rsidRPr="00D057A6">
        <w:rPr>
          <w:rFonts w:cs="Arial"/>
          <w:b/>
        </w:rPr>
        <w:t>,- Kč</w:t>
      </w:r>
    </w:p>
    <w:p w14:paraId="786BFEA8" w14:textId="7F721476" w:rsidR="00FA0DD6" w:rsidRDefault="003F4EE7" w:rsidP="00B56EE3">
      <w:pPr>
        <w:keepNext/>
        <w:numPr>
          <w:ilvl w:val="0"/>
          <w:numId w:val="17"/>
        </w:numPr>
        <w:tabs>
          <w:tab w:val="left" w:pos="-1560"/>
        </w:tabs>
        <w:spacing w:before="120"/>
        <w:rPr>
          <w:rFonts w:cs="Arial"/>
        </w:rPr>
      </w:pPr>
      <w:r w:rsidRPr="006368D9">
        <w:rPr>
          <w:rFonts w:cs="Arial"/>
        </w:rPr>
        <w:t xml:space="preserve">Pojistník je povinen uhradit pojistné v uvedené výši na účet pojistitele </w:t>
      </w:r>
      <w:r w:rsidRPr="00B11FCF">
        <w:rPr>
          <w:rFonts w:cs="Arial"/>
          <w:b/>
        </w:rPr>
        <w:t>č. </w:t>
      </w:r>
      <w:proofErr w:type="spellStart"/>
      <w:r w:rsidRPr="00B11FCF">
        <w:rPr>
          <w:rFonts w:cs="Arial"/>
          <w:b/>
        </w:rPr>
        <w:t>ú.</w:t>
      </w:r>
      <w:proofErr w:type="spellEnd"/>
      <w:r w:rsidRPr="00B11FCF">
        <w:rPr>
          <w:rFonts w:cs="Arial"/>
          <w:b/>
        </w:rPr>
        <w:t xml:space="preserve"> </w:t>
      </w:r>
      <w:r w:rsidR="002F5A90">
        <w:rPr>
          <w:rFonts w:cs="Arial"/>
          <w:b/>
        </w:rPr>
        <w:t>XXXXXXXXXX</w:t>
      </w:r>
      <w:r w:rsidRPr="00B11FCF">
        <w:rPr>
          <w:rFonts w:cs="Arial"/>
          <w:b/>
        </w:rPr>
        <w:t>,</w:t>
      </w:r>
      <w:r>
        <w:rPr>
          <w:rFonts w:cs="Arial"/>
        </w:rPr>
        <w:t xml:space="preserve"> </w:t>
      </w:r>
      <w:r w:rsidRPr="006368D9">
        <w:rPr>
          <w:rFonts w:cs="Arial"/>
        </w:rPr>
        <w:t xml:space="preserve">variabilní symbol: </w:t>
      </w:r>
      <w:r w:rsidRPr="00B11FCF">
        <w:rPr>
          <w:rFonts w:cs="Arial"/>
          <w:b/>
        </w:rPr>
        <w:t>772</w:t>
      </w:r>
      <w:r w:rsidR="00807FF2">
        <w:rPr>
          <w:rFonts w:cs="Arial"/>
          <w:b/>
        </w:rPr>
        <w:t>11</w:t>
      </w:r>
      <w:r w:rsidR="00CE6510">
        <w:rPr>
          <w:rFonts w:cs="Arial"/>
          <w:b/>
        </w:rPr>
        <w:t>82560</w:t>
      </w:r>
      <w:r>
        <w:rPr>
          <w:rFonts w:cs="Arial"/>
          <w:b/>
        </w:rPr>
        <w:t>.</w:t>
      </w:r>
    </w:p>
    <w:p w14:paraId="77F3CA4B" w14:textId="6E778900" w:rsidR="006E3285" w:rsidRDefault="00933185" w:rsidP="00B56EE3">
      <w:pPr>
        <w:keepNext/>
        <w:numPr>
          <w:ilvl w:val="0"/>
          <w:numId w:val="17"/>
        </w:numPr>
        <w:tabs>
          <w:tab w:val="left" w:pos="-1560"/>
        </w:tabs>
        <w:spacing w:before="120"/>
        <w:rPr>
          <w:rFonts w:cs="Arial"/>
        </w:rPr>
      </w:pPr>
      <w:r w:rsidRPr="00AC0C71">
        <w:t>Smluvní strany se dohodly, že pokud bude v členském státě Evropské unie nebo Evropského hospodářského prostoru zavedena jiná pojistná daň či jí obdobný poplatek z pojištění sjednaného touto pojistnou smlouvou, než jaké jsou uvedeny v bodu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</w:t>
      </w:r>
      <w:r w:rsidR="006E3285">
        <w:t>.</w:t>
      </w:r>
    </w:p>
    <w:p w14:paraId="5F2C83E9" w14:textId="77777777" w:rsidR="00542989" w:rsidRPr="00EE3EF4" w:rsidRDefault="00542989" w:rsidP="00784C22">
      <w:pPr>
        <w:pStyle w:val="slovn-rove1-netun"/>
        <w:numPr>
          <w:ilvl w:val="0"/>
          <w:numId w:val="0"/>
        </w:numPr>
        <w:spacing w:before="0"/>
        <w:ind w:left="425"/>
        <w:rPr>
          <w:sz w:val="18"/>
          <w:szCs w:val="18"/>
        </w:rPr>
      </w:pPr>
    </w:p>
    <w:p w14:paraId="24CF9908" w14:textId="77777777" w:rsidR="00784137" w:rsidRPr="009558F1" w:rsidRDefault="00784137" w:rsidP="00784C22">
      <w:pPr>
        <w:pStyle w:val="Nadpislnk"/>
        <w:spacing w:before="120"/>
      </w:pPr>
      <w:r w:rsidRPr="009558F1">
        <w:t>Článek IV.</w:t>
      </w:r>
      <w:r w:rsidRPr="009558F1">
        <w:br/>
        <w:t>Hlášení škodných událostí</w:t>
      </w:r>
    </w:p>
    <w:p w14:paraId="4B2E93F5" w14:textId="77777777" w:rsidR="00784137" w:rsidRPr="009558F1" w:rsidRDefault="00784137" w:rsidP="00784C22">
      <w:pPr>
        <w:pStyle w:val="slovn-rove1-netunb"/>
        <w:spacing w:after="0"/>
      </w:pPr>
      <w:r w:rsidRPr="009558F1">
        <w:t>Vznik škodné události je pojistník (pojištěný) povinen oznámit přímo nebo prostřednictvím zplnomocněného samostatného zprostředkovatele v postavení pojišťovacího makléře bez zbytečného odkladu na jeden z níže uvedených kontaktních údajů:</w:t>
      </w:r>
    </w:p>
    <w:p w14:paraId="54EF05DB" w14:textId="77777777" w:rsidR="00784137" w:rsidRPr="009558F1" w:rsidRDefault="00784137" w:rsidP="00784C22">
      <w:pPr>
        <w:spacing w:before="120"/>
        <w:ind w:left="425"/>
      </w:pPr>
      <w:r w:rsidRPr="009558F1">
        <w:t xml:space="preserve">Kooperativa pojišťovna, a.s., </w:t>
      </w:r>
      <w:proofErr w:type="spellStart"/>
      <w:r w:rsidRPr="009558F1">
        <w:t>Vienna</w:t>
      </w:r>
      <w:proofErr w:type="spellEnd"/>
      <w:r w:rsidRPr="009558F1">
        <w:t xml:space="preserve"> </w:t>
      </w:r>
      <w:proofErr w:type="spellStart"/>
      <w:r w:rsidRPr="009558F1">
        <w:t>Insurance</w:t>
      </w:r>
      <w:proofErr w:type="spellEnd"/>
      <w:r w:rsidRPr="009558F1">
        <w:t xml:space="preserve"> Group</w:t>
      </w:r>
    </w:p>
    <w:p w14:paraId="70C072F4" w14:textId="77777777" w:rsidR="00784137" w:rsidRPr="009558F1" w:rsidRDefault="00784137" w:rsidP="00784C22">
      <w:pPr>
        <w:ind w:left="425"/>
      </w:pPr>
      <w:r w:rsidRPr="009558F1">
        <w:t>CENTRUM ZÁKAZNICKÉ PODPORY</w:t>
      </w:r>
    </w:p>
    <w:p w14:paraId="2206F706" w14:textId="77777777" w:rsidR="00784137" w:rsidRPr="009558F1" w:rsidRDefault="00784137" w:rsidP="00784C22">
      <w:pPr>
        <w:ind w:left="425"/>
      </w:pPr>
      <w:r w:rsidRPr="009558F1">
        <w:t>Centrální podatelna</w:t>
      </w:r>
    </w:p>
    <w:p w14:paraId="003F68BE" w14:textId="77777777" w:rsidR="00784137" w:rsidRPr="009558F1" w:rsidRDefault="00784137" w:rsidP="00784C22">
      <w:pPr>
        <w:ind w:left="425"/>
      </w:pPr>
      <w:r w:rsidRPr="009558F1">
        <w:t>Brněnská 634</w:t>
      </w:r>
    </w:p>
    <w:p w14:paraId="1BA1E00C" w14:textId="77777777" w:rsidR="00784137" w:rsidRPr="009558F1" w:rsidRDefault="00784137" w:rsidP="00784C22">
      <w:pPr>
        <w:ind w:left="425"/>
      </w:pPr>
      <w:r w:rsidRPr="009558F1">
        <w:t>664 42 Modřice</w:t>
      </w:r>
    </w:p>
    <w:p w14:paraId="2C1CE77B" w14:textId="72FA9E6C" w:rsidR="00784137" w:rsidRPr="009558F1" w:rsidRDefault="00784137" w:rsidP="00784C22">
      <w:pPr>
        <w:ind w:left="425"/>
      </w:pPr>
      <w:r w:rsidRPr="009558F1">
        <w:t xml:space="preserve">tel.: </w:t>
      </w:r>
      <w:r w:rsidR="002F5A90">
        <w:t>XXXXXXXX</w:t>
      </w:r>
    </w:p>
    <w:p w14:paraId="6AA161E9" w14:textId="77777777" w:rsidR="00784137" w:rsidRPr="009558F1" w:rsidRDefault="00784137" w:rsidP="00784C22">
      <w:pPr>
        <w:ind w:left="425"/>
        <w:rPr>
          <w:rStyle w:val="Odkaznakoment"/>
        </w:rPr>
      </w:pPr>
      <w:r w:rsidRPr="009558F1">
        <w:t>datová schránka: n6tetn3</w:t>
      </w:r>
    </w:p>
    <w:p w14:paraId="4C362A8B" w14:textId="77777777" w:rsidR="00784137" w:rsidRPr="009558F1" w:rsidRDefault="00784137" w:rsidP="00784C22">
      <w:pPr>
        <w:ind w:left="425"/>
      </w:pPr>
      <w:r w:rsidRPr="009558F1">
        <w:t>www.koop.cz</w:t>
      </w:r>
    </w:p>
    <w:p w14:paraId="550AFCD9" w14:textId="77777777" w:rsidR="00784137" w:rsidRDefault="00784137" w:rsidP="00673713">
      <w:pPr>
        <w:pStyle w:val="slovn-rove1-netunb"/>
        <w:spacing w:after="0"/>
      </w:pPr>
      <w:r w:rsidRPr="009558F1">
        <w:t xml:space="preserve">Na výzvu pojistitele je pojistník (pojištěný nebo jakákoliv jiná osoba) povinen oznámit vznik škodné události písemnou formou. </w:t>
      </w:r>
    </w:p>
    <w:p w14:paraId="41DF5062" w14:textId="77777777" w:rsidR="00673713" w:rsidRPr="00EE3EF4" w:rsidRDefault="00673713" w:rsidP="00673713">
      <w:pPr>
        <w:pStyle w:val="slovn-rove1-netunb"/>
        <w:numPr>
          <w:ilvl w:val="0"/>
          <w:numId w:val="0"/>
        </w:numPr>
        <w:spacing w:before="0" w:after="0"/>
        <w:rPr>
          <w:sz w:val="18"/>
          <w:szCs w:val="18"/>
        </w:rPr>
      </w:pPr>
    </w:p>
    <w:p w14:paraId="2192EF52" w14:textId="77777777" w:rsidR="00784137" w:rsidRPr="009558F1" w:rsidRDefault="00784137" w:rsidP="00673713">
      <w:pPr>
        <w:pStyle w:val="Nadpislnk"/>
        <w:spacing w:before="120"/>
      </w:pPr>
      <w:r w:rsidRPr="009558F1">
        <w:t>Článek V.</w:t>
      </w:r>
      <w:r w:rsidRPr="009558F1">
        <w:br/>
        <w:t>Zvláštní ujednání</w:t>
      </w:r>
    </w:p>
    <w:p w14:paraId="0C254200" w14:textId="57F0F3A1" w:rsidR="00784137" w:rsidRPr="009558F1" w:rsidRDefault="00914AAF" w:rsidP="00DB29F1">
      <w:pPr>
        <w:pStyle w:val="slovn-rove1-netunb"/>
        <w:numPr>
          <w:ilvl w:val="0"/>
          <w:numId w:val="28"/>
        </w:numPr>
      </w:pPr>
      <w:r w:rsidRPr="009558F1">
        <w:t>Ujednává se, že se ruší ustanovení čl. 3 odst. 5) 9 ZPP P-150/14</w:t>
      </w:r>
      <w:r w:rsidR="00784137" w:rsidRPr="009558F1">
        <w:t xml:space="preserve">. </w:t>
      </w:r>
    </w:p>
    <w:p w14:paraId="6B293361" w14:textId="16191634" w:rsidR="00784137" w:rsidRPr="002C68D2" w:rsidRDefault="00EC13D2" w:rsidP="00784137">
      <w:pPr>
        <w:pStyle w:val="slovn-rove1-netunb"/>
        <w:spacing w:after="0"/>
      </w:pPr>
      <w:r w:rsidRPr="00990E4E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 předchozí větě</w:t>
      </w:r>
      <w:r w:rsidR="00784137" w:rsidRPr="002C68D2">
        <w:t>.</w:t>
      </w:r>
    </w:p>
    <w:bookmarkEnd w:id="2"/>
    <w:p w14:paraId="14D97FC9" w14:textId="3B1DC3AE" w:rsidR="00784C22" w:rsidRDefault="00784C22" w:rsidP="00784C22">
      <w:pPr>
        <w:pStyle w:val="Nadpislnk"/>
        <w:spacing w:before="120"/>
      </w:pPr>
      <w:r w:rsidRPr="00293FA7">
        <w:lastRenderedPageBreak/>
        <w:t xml:space="preserve">Článek VI. </w:t>
      </w:r>
      <w:r w:rsidRPr="00293FA7">
        <w:br/>
      </w:r>
      <w:r w:rsidRPr="003A2109">
        <w:t>Prohlášení pojistníka</w:t>
      </w:r>
      <w:r w:rsidRPr="00293FA7">
        <w:t>, registr smluv, zpracování osobních údajů</w:t>
      </w:r>
    </w:p>
    <w:p w14:paraId="041B064B" w14:textId="77777777" w:rsidR="00A74A52" w:rsidRPr="00820872" w:rsidRDefault="00A74A52" w:rsidP="00A74A52">
      <w:pPr>
        <w:pStyle w:val="slovn-rove1-netunb"/>
        <w:numPr>
          <w:ilvl w:val="0"/>
          <w:numId w:val="30"/>
        </w:numPr>
      </w:pPr>
      <w:bookmarkStart w:id="3" w:name="_Hlk127873184"/>
      <w:r w:rsidRPr="00FC5DE7">
        <w:rPr>
          <w:b/>
        </w:rPr>
        <w:t>Prohlášení pojistníka</w:t>
      </w:r>
    </w:p>
    <w:p w14:paraId="1BCD1848" w14:textId="77777777" w:rsidR="00A74A52" w:rsidRPr="00820872" w:rsidRDefault="00A74A52" w:rsidP="00A74A52">
      <w:pPr>
        <w:pStyle w:val="slovn-rove1-netunb"/>
        <w:numPr>
          <w:ilvl w:val="1"/>
          <w:numId w:val="9"/>
        </w:numPr>
      </w:pPr>
      <w:r w:rsidRPr="00820872">
        <w:t>Pojistník potvrzuje, že v dostatečném předstihu před uzavřením tohoto dodatku převzal v listinné nebo, s jeho souhlasem, v jiné textové podobě (např. na trvalém nosiči dat, prostřednictvím e-mailu nebo elektronického úložiště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26293C01" w14:textId="3CEB1CB0" w:rsidR="00A74A52" w:rsidRPr="00FC5DE7" w:rsidRDefault="00A74A52" w:rsidP="00A74A52">
      <w:pPr>
        <w:pStyle w:val="slovn-rove1-netunb"/>
        <w:numPr>
          <w:ilvl w:val="1"/>
          <w:numId w:val="9"/>
        </w:numPr>
      </w:pPr>
      <w:r w:rsidRPr="00FC5DE7">
        <w:t>Pojistník potvrzuje, že v dostatečném předstihu před uzavřením tohoto dodatku převzal v listinné nebo jiné textové podobě (např. na trvalém nosiči dat, prostřednictvím e-mailu nebo elektronického úložiště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</w:t>
      </w:r>
      <w:r w:rsidR="006B2B60">
        <w:t>.</w:t>
      </w:r>
    </w:p>
    <w:p w14:paraId="16EFAE89" w14:textId="79EBA25C" w:rsidR="00A74A52" w:rsidRPr="00820872" w:rsidRDefault="00A74A52" w:rsidP="00A74A52">
      <w:pPr>
        <w:pStyle w:val="slovn-rove1-netunb"/>
        <w:numPr>
          <w:ilvl w:val="1"/>
          <w:numId w:val="9"/>
        </w:numPr>
      </w:pPr>
      <w:r w:rsidRPr="00820872">
        <w:t>Pojistník potvrzuje, že adresa jeho sídla/bydliště/trvalého pobytu a kontakty elektronické komunikace uvedené v 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04076BC8" w14:textId="77777777" w:rsidR="00A74A52" w:rsidRPr="00820872" w:rsidRDefault="00A74A52" w:rsidP="00A74A52">
      <w:pPr>
        <w:pStyle w:val="slovn-rove1-netunb"/>
        <w:numPr>
          <w:ilvl w:val="1"/>
          <w:numId w:val="9"/>
        </w:numPr>
        <w:ind w:left="426"/>
      </w:pPr>
      <w:r w:rsidRPr="00820872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14:paraId="2BBE7900" w14:textId="77777777" w:rsidR="00A74A52" w:rsidRPr="00820872" w:rsidRDefault="00A74A52" w:rsidP="00A74A52">
      <w:pPr>
        <w:pStyle w:val="slovn-rove1-netunb"/>
        <w:numPr>
          <w:ilvl w:val="1"/>
          <w:numId w:val="9"/>
        </w:numPr>
      </w:pPr>
      <w:r w:rsidRPr="00820872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14:paraId="4534C852" w14:textId="77777777" w:rsidR="00A74A52" w:rsidRPr="00820872" w:rsidRDefault="00A74A52" w:rsidP="00A74A52">
      <w:pPr>
        <w:pStyle w:val="slovn-rove1-netunb"/>
      </w:pPr>
      <w:r w:rsidRPr="00820872">
        <w:rPr>
          <w:b/>
        </w:rPr>
        <w:t>Registr smluv</w:t>
      </w:r>
    </w:p>
    <w:p w14:paraId="14F5CB08" w14:textId="77777777" w:rsidR="00A74A52" w:rsidRPr="00820872" w:rsidRDefault="00A74A52" w:rsidP="00A74A52">
      <w:pPr>
        <w:pStyle w:val="slovn-rove1-netunb"/>
        <w:numPr>
          <w:ilvl w:val="1"/>
          <w:numId w:val="9"/>
        </w:numPr>
      </w:pPr>
      <w:r w:rsidRPr="00820872">
        <w:t>Pokud výše uvedená pojistná smlouva, resp. dodatek k pojistné smlouvě (dále jen „</w:t>
      </w:r>
      <w:r w:rsidRPr="00820872">
        <w:rPr>
          <w:b/>
        </w:rPr>
        <w:t>smlouva</w:t>
      </w:r>
      <w:r w:rsidRPr="00820872">
        <w:t>“) podléhá povinnosti uveřejnění v registru smluv (dále jen „</w:t>
      </w:r>
      <w:r w:rsidRPr="00820872">
        <w:rPr>
          <w:b/>
        </w:rPr>
        <w:t>registr</w:t>
      </w:r>
      <w:r w:rsidRPr="00820872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347AB232" w14:textId="77777777" w:rsidR="00A74A52" w:rsidRPr="00820872" w:rsidRDefault="00A74A52" w:rsidP="00A74A52">
      <w:pPr>
        <w:pStyle w:val="slovn-rove1-netunb"/>
        <w:numPr>
          <w:ilvl w:val="0"/>
          <w:numId w:val="0"/>
        </w:numPr>
        <w:ind w:left="425"/>
      </w:pPr>
      <w:r w:rsidRPr="00820872">
        <w:t>Při vyplnění formuláře pro uveřejnění smlouvy v registru je pojistník povinen vyplnit údaje o pojistiteli (jako smluvní straně), do pole „</w:t>
      </w:r>
      <w:r w:rsidRPr="00820872">
        <w:rPr>
          <w:b/>
        </w:rPr>
        <w:t>Datová schránka</w:t>
      </w:r>
      <w:r w:rsidRPr="00820872">
        <w:t xml:space="preserve">“ uvést: </w:t>
      </w:r>
      <w:r w:rsidRPr="00820872">
        <w:rPr>
          <w:b/>
        </w:rPr>
        <w:t>n6tetn3</w:t>
      </w:r>
      <w:r w:rsidRPr="00820872">
        <w:t xml:space="preserve"> a do pole „</w:t>
      </w:r>
      <w:r w:rsidRPr="00820872">
        <w:rPr>
          <w:b/>
        </w:rPr>
        <w:t>Číslo smlouvy</w:t>
      </w:r>
      <w:r w:rsidRPr="00820872">
        <w:t xml:space="preserve">“ </w:t>
      </w:r>
      <w:r w:rsidRPr="00820872">
        <w:rPr>
          <w:color w:val="000000"/>
        </w:rPr>
        <w:t>uvést číslo této pojistné smlouvy.</w:t>
      </w:r>
    </w:p>
    <w:p w14:paraId="6212FC28" w14:textId="77777777" w:rsidR="00A74A52" w:rsidRPr="00820872" w:rsidRDefault="00A74A52" w:rsidP="00A74A52">
      <w:pPr>
        <w:pStyle w:val="slovn-rove1-netunb"/>
        <w:numPr>
          <w:ilvl w:val="0"/>
          <w:numId w:val="0"/>
        </w:numPr>
        <w:ind w:left="425"/>
      </w:pPr>
      <w:r w:rsidRPr="00820872">
        <w:t>Pojistník se dále zavazuje, že před zasláním smlouvy k uveřejnění zajistí znečitelnění neuveřejnitelných informací (např. osobních údajů o fyzických osobách).</w:t>
      </w:r>
    </w:p>
    <w:p w14:paraId="0D607C20" w14:textId="77777777" w:rsidR="00A74A52" w:rsidRPr="00820872" w:rsidRDefault="00A74A52" w:rsidP="00A74A52">
      <w:pPr>
        <w:pStyle w:val="slovn-rove1-netunb"/>
        <w:numPr>
          <w:ilvl w:val="0"/>
          <w:numId w:val="0"/>
        </w:numPr>
        <w:ind w:left="425"/>
      </w:pPr>
      <w:r w:rsidRPr="00820872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49869930" w14:textId="77777777" w:rsidR="00A74A52" w:rsidRPr="00820872" w:rsidRDefault="00A74A52" w:rsidP="00A74A52">
      <w:pPr>
        <w:pStyle w:val="slovn-rove1-netunb"/>
        <w:keepNext/>
        <w:rPr>
          <w:b/>
          <w:caps/>
        </w:rPr>
      </w:pPr>
      <w:r w:rsidRPr="00820872">
        <w:rPr>
          <w:b/>
          <w:caps/>
        </w:rPr>
        <w:t xml:space="preserve">Zpracování </w:t>
      </w:r>
      <w:r w:rsidRPr="00820872">
        <w:rPr>
          <w:b/>
          <w:caps/>
          <w:color w:val="000000"/>
        </w:rPr>
        <w:t>osobních</w:t>
      </w:r>
      <w:r w:rsidRPr="00820872">
        <w:rPr>
          <w:b/>
          <w:caps/>
        </w:rPr>
        <w:t xml:space="preserve"> údajů</w:t>
      </w:r>
    </w:p>
    <w:p w14:paraId="4BAF9DCE" w14:textId="77777777" w:rsidR="00A74A52" w:rsidRDefault="00A74A52" w:rsidP="00A74A52">
      <w:pPr>
        <w:pStyle w:val="slovn-rove1-netunb"/>
        <w:numPr>
          <w:ilvl w:val="0"/>
          <w:numId w:val="0"/>
        </w:numPr>
        <w:ind w:left="425"/>
        <w:rPr>
          <w:color w:val="000000"/>
          <w:szCs w:val="20"/>
        </w:rPr>
      </w:pPr>
      <w:r w:rsidRPr="00820872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820872">
        <w:rPr>
          <w:rFonts w:cs="Calibri"/>
        </w:rPr>
        <w:t xml:space="preserve">, a </w:t>
      </w:r>
      <w:r w:rsidRPr="00820872">
        <w:t>to s výjimkou bodu 3.2., který se na Vás uplatní i pokud jste právnickou osobou</w:t>
      </w:r>
      <w:r w:rsidRPr="00820872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hyperlink r:id="rId10" w:history="1">
          <w:r w:rsidRPr="00820872">
            <w:rPr>
              <w:rStyle w:val="Hypertextovodkaz"/>
              <w:rFonts w:cs="Calibri"/>
            </w:rPr>
            <w:t>www.koop.cz</w:t>
          </w:r>
        </w:hyperlink>
      </w:hyperlink>
      <w:r w:rsidRPr="00820872">
        <w:rPr>
          <w:color w:val="000000"/>
          <w:szCs w:val="20"/>
        </w:rPr>
        <w:t xml:space="preserve"> v sekci „O pojišťovně Kooperativa“.</w:t>
      </w:r>
    </w:p>
    <w:p w14:paraId="168509FE" w14:textId="77777777" w:rsidR="00E234EB" w:rsidRDefault="00E234EB" w:rsidP="00A74A52">
      <w:pPr>
        <w:pStyle w:val="slovn-rove1-netunb"/>
        <w:numPr>
          <w:ilvl w:val="0"/>
          <w:numId w:val="0"/>
        </w:numPr>
        <w:ind w:left="425"/>
        <w:rPr>
          <w:color w:val="000000"/>
          <w:szCs w:val="20"/>
        </w:rPr>
      </w:pPr>
    </w:p>
    <w:p w14:paraId="596432A3" w14:textId="77777777" w:rsidR="00E234EB" w:rsidRDefault="00E234EB" w:rsidP="00A74A52">
      <w:pPr>
        <w:pStyle w:val="slovn-rove1-netunb"/>
        <w:numPr>
          <w:ilvl w:val="0"/>
          <w:numId w:val="0"/>
        </w:numPr>
        <w:ind w:left="425"/>
        <w:rPr>
          <w:color w:val="000000"/>
          <w:szCs w:val="20"/>
        </w:rPr>
      </w:pPr>
    </w:p>
    <w:p w14:paraId="2B45B9BC" w14:textId="77777777" w:rsidR="00A74A52" w:rsidRPr="00820872" w:rsidRDefault="00A74A52" w:rsidP="00A74A52">
      <w:pPr>
        <w:pStyle w:val="slovn-rove1-netunb"/>
        <w:numPr>
          <w:ilvl w:val="1"/>
          <w:numId w:val="9"/>
        </w:numPr>
        <w:rPr>
          <w:b/>
          <w:szCs w:val="20"/>
        </w:rPr>
      </w:pPr>
      <w:r w:rsidRPr="00820872">
        <w:rPr>
          <w:b/>
          <w:szCs w:val="20"/>
        </w:rPr>
        <w:lastRenderedPageBreak/>
        <w:t xml:space="preserve">INFORMACE O ZPRACOVÁNÍ OSOBNÍCH ÚDAJŮ </w:t>
      </w:r>
      <w:r w:rsidRPr="00820872">
        <w:rPr>
          <w:b/>
          <w:szCs w:val="20"/>
          <w:u w:val="single"/>
        </w:rPr>
        <w:t>BEZ VAŠEHO SOUHLASU</w:t>
      </w:r>
    </w:p>
    <w:p w14:paraId="2CF3293B" w14:textId="77777777" w:rsidR="00A74A52" w:rsidRPr="00820872" w:rsidRDefault="00A74A52" w:rsidP="00A74A52">
      <w:pPr>
        <w:ind w:firstLine="425"/>
        <w:rPr>
          <w:szCs w:val="20"/>
        </w:rPr>
      </w:pPr>
      <w:r w:rsidRPr="00820872">
        <w:rPr>
          <w:b/>
          <w:szCs w:val="20"/>
        </w:rPr>
        <w:t>Zpracování na základě plnění smlouvy a oprávněných zájmů pojistitele</w:t>
      </w:r>
    </w:p>
    <w:p w14:paraId="07817E4D" w14:textId="77777777" w:rsidR="00A74A52" w:rsidRPr="00820872" w:rsidRDefault="00A74A52" w:rsidP="00A74A5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20872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820872" w:rsidDel="00141904">
        <w:rPr>
          <w:rFonts w:ascii="Koop Office" w:hAnsi="Koop Office"/>
          <w:sz w:val="20"/>
        </w:rPr>
        <w:t xml:space="preserve"> </w:t>
      </w:r>
      <w:r w:rsidRPr="00820872">
        <w:rPr>
          <w:rFonts w:ascii="Koop Office" w:hAnsi="Koop Office"/>
          <w:sz w:val="20"/>
        </w:rPr>
        <w:t>zpracovává pojistitel:</w:t>
      </w:r>
    </w:p>
    <w:p w14:paraId="0DD6F67D" w14:textId="77777777" w:rsidR="00A74A52" w:rsidRPr="00820872" w:rsidRDefault="00A74A52" w:rsidP="00A74A52">
      <w:pPr>
        <w:pStyle w:val="odrkadruh"/>
        <w:numPr>
          <w:ilvl w:val="0"/>
          <w:numId w:val="25"/>
        </w:numPr>
        <w:ind w:left="709" w:hanging="283"/>
        <w:rPr>
          <w:rFonts w:ascii="Koop Office" w:hAnsi="Koop Office"/>
          <w:sz w:val="20"/>
          <w:szCs w:val="20"/>
        </w:rPr>
      </w:pPr>
      <w:r w:rsidRPr="00820872">
        <w:rPr>
          <w:rFonts w:ascii="Koop Office" w:hAnsi="Koop Office"/>
          <w:sz w:val="20"/>
          <w:szCs w:val="20"/>
        </w:rPr>
        <w:t xml:space="preserve">pro účely </w:t>
      </w:r>
      <w:r w:rsidRPr="00820872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820872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820872">
        <w:rPr>
          <w:rFonts w:ascii="Koop Office" w:hAnsi="Koop Office"/>
          <w:b/>
          <w:sz w:val="20"/>
          <w:szCs w:val="20"/>
        </w:rPr>
        <w:t>plnění smlouvy</w:t>
      </w:r>
      <w:r w:rsidRPr="00820872">
        <w:rPr>
          <w:rFonts w:ascii="Koop Office" w:hAnsi="Koop Office"/>
          <w:sz w:val="20"/>
          <w:szCs w:val="20"/>
        </w:rPr>
        <w:t>, a</w:t>
      </w:r>
    </w:p>
    <w:p w14:paraId="0ABADAD3" w14:textId="77777777" w:rsidR="00A74A52" w:rsidRPr="00820872" w:rsidRDefault="00A74A52" w:rsidP="00A74A52">
      <w:pPr>
        <w:pStyle w:val="odrkadruh"/>
        <w:numPr>
          <w:ilvl w:val="0"/>
          <w:numId w:val="25"/>
        </w:numPr>
        <w:ind w:left="709" w:hanging="283"/>
        <w:rPr>
          <w:rFonts w:ascii="Koop Office" w:hAnsi="Koop Office"/>
          <w:sz w:val="20"/>
          <w:szCs w:val="20"/>
        </w:rPr>
      </w:pPr>
      <w:r w:rsidRPr="00820872">
        <w:rPr>
          <w:rFonts w:ascii="Koop Office" w:hAnsi="Koop Office"/>
          <w:sz w:val="20"/>
          <w:szCs w:val="20"/>
        </w:rPr>
        <w:t xml:space="preserve">pro účely </w:t>
      </w:r>
      <w:r w:rsidRPr="00820872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820872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820872">
        <w:rPr>
          <w:rFonts w:ascii="Koop Office" w:hAnsi="Koop Office"/>
          <w:b/>
          <w:sz w:val="20"/>
          <w:szCs w:val="20"/>
        </w:rPr>
        <w:t>oprávněných zájmů</w:t>
      </w:r>
      <w:r w:rsidRPr="00820872">
        <w:rPr>
          <w:rFonts w:ascii="Koop Office" w:hAnsi="Koop Office"/>
          <w:sz w:val="20"/>
          <w:szCs w:val="20"/>
        </w:rPr>
        <w:t xml:space="preserve"> pojistitele. </w:t>
      </w:r>
      <w:r w:rsidRPr="00820872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820872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820872">
        <w:rPr>
          <w:rFonts w:ascii="Koop Office" w:hAnsi="Koop Office" w:cs="Calibri"/>
          <w:sz w:val="20"/>
          <w:szCs w:val="20"/>
        </w:rPr>
        <w:t>.</w:t>
      </w:r>
    </w:p>
    <w:p w14:paraId="3D699A15" w14:textId="77777777" w:rsidR="00A74A52" w:rsidRPr="00820872" w:rsidRDefault="00A74A52" w:rsidP="00A74A52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820872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14:paraId="1748F1C5" w14:textId="77777777" w:rsidR="00A74A52" w:rsidRPr="00820872" w:rsidRDefault="00A74A52" w:rsidP="00A74A52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820872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820872">
        <w:rPr>
          <w:rFonts w:ascii="Koop Office" w:hAnsi="Koop Office"/>
          <w:b/>
          <w:sz w:val="20"/>
        </w:rPr>
        <w:t>splnění své zákonné povinnosti</w:t>
      </w:r>
      <w:r w:rsidRPr="00820872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646FD9BF" w14:textId="77777777" w:rsidR="00A74A52" w:rsidRPr="00820872" w:rsidRDefault="00A74A52" w:rsidP="00A74A52">
      <w:pPr>
        <w:pStyle w:val="slovn-rove1-netunb"/>
        <w:numPr>
          <w:ilvl w:val="1"/>
          <w:numId w:val="9"/>
        </w:numPr>
        <w:rPr>
          <w:b/>
          <w:szCs w:val="20"/>
        </w:rPr>
      </w:pPr>
      <w:r w:rsidRPr="00820872">
        <w:rPr>
          <w:b/>
          <w:szCs w:val="20"/>
        </w:rPr>
        <w:t>POVINNOST POJISTNÍKA INFORMOVAT TŘETÍ OSOBY</w:t>
      </w:r>
    </w:p>
    <w:p w14:paraId="320163A8" w14:textId="77777777" w:rsidR="00A74A52" w:rsidRPr="00820872" w:rsidRDefault="00A74A52" w:rsidP="00A74A5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20872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14:paraId="7A58F3C0" w14:textId="77777777" w:rsidR="00A74A52" w:rsidRPr="00820872" w:rsidRDefault="00A74A52" w:rsidP="00A74A52">
      <w:pPr>
        <w:pStyle w:val="slovn-rove1-netunb"/>
        <w:numPr>
          <w:ilvl w:val="1"/>
          <w:numId w:val="9"/>
        </w:numPr>
        <w:rPr>
          <w:b/>
          <w:szCs w:val="20"/>
        </w:rPr>
      </w:pPr>
      <w:r w:rsidRPr="00820872">
        <w:rPr>
          <w:b/>
          <w:szCs w:val="20"/>
        </w:rPr>
        <w:t xml:space="preserve">INFORMACE O ZPRACOVÁNÍ OSOBNÍCH ÚDAJŮ ZÁSTUPCE POJISTNÍKA </w:t>
      </w:r>
    </w:p>
    <w:p w14:paraId="418C1725" w14:textId="77777777" w:rsidR="00A74A52" w:rsidRPr="00820872" w:rsidRDefault="00A74A52" w:rsidP="00A74A52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820872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820872">
        <w:rPr>
          <w:rFonts w:ascii="Koop Office" w:hAnsi="Koop Office"/>
          <w:b/>
          <w:bCs/>
          <w:sz w:val="20"/>
        </w:rPr>
        <w:t>oprávněného zájmu</w:t>
      </w:r>
      <w:r w:rsidRPr="00820872">
        <w:rPr>
          <w:rFonts w:ascii="Koop Office" w:hAnsi="Koop Office"/>
          <w:sz w:val="20"/>
        </w:rPr>
        <w:t xml:space="preserve"> pro účely</w:t>
      </w:r>
      <w:r w:rsidRPr="00820872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820872">
        <w:rPr>
          <w:rFonts w:ascii="Koop Office" w:hAnsi="Koop Office"/>
          <w:sz w:val="20"/>
        </w:rPr>
        <w:t xml:space="preserve">. </w:t>
      </w:r>
      <w:r w:rsidRPr="00820872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820872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820872">
        <w:rPr>
          <w:rFonts w:ascii="Koop Office" w:hAnsi="Koop Office" w:cs="Calibri"/>
          <w:sz w:val="20"/>
        </w:rPr>
        <w:t>.</w:t>
      </w:r>
    </w:p>
    <w:p w14:paraId="3660ACCD" w14:textId="77777777" w:rsidR="00A74A52" w:rsidRPr="00820872" w:rsidRDefault="00A74A52" w:rsidP="00A74A52">
      <w:pPr>
        <w:pStyle w:val="slovn"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820872">
        <w:rPr>
          <w:rFonts w:ascii="Koop Office" w:hAnsi="Koop Office"/>
          <w:b/>
          <w:sz w:val="20"/>
        </w:rPr>
        <w:t>Zpracování pro účely plnění zákonné povinnosti</w:t>
      </w:r>
    </w:p>
    <w:p w14:paraId="35D1FD74" w14:textId="77777777" w:rsidR="00A74A52" w:rsidRPr="00820872" w:rsidRDefault="00A74A52" w:rsidP="00A74A5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820872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820872">
        <w:rPr>
          <w:rFonts w:ascii="Koop Office" w:hAnsi="Koop Office"/>
          <w:b/>
          <w:sz w:val="20"/>
        </w:rPr>
        <w:t>splnění své zákonné povinnosti</w:t>
      </w:r>
      <w:r w:rsidRPr="00820872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53F521D5" w14:textId="77777777" w:rsidR="00A74A52" w:rsidRDefault="00A74A52" w:rsidP="00A74A52">
      <w:pPr>
        <w:pStyle w:val="slovn-rove1-netunb"/>
        <w:numPr>
          <w:ilvl w:val="0"/>
          <w:numId w:val="0"/>
        </w:numPr>
        <w:spacing w:before="240" w:after="0"/>
        <w:ind w:left="425"/>
        <w:rPr>
          <w:rFonts w:cs="Calibri"/>
          <w:b/>
          <w:szCs w:val="20"/>
        </w:rPr>
      </w:pPr>
      <w:r w:rsidRPr="00820872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5F88BF6A" w14:textId="77777777" w:rsidR="00D16AB4" w:rsidRDefault="00D16AB4" w:rsidP="00A74A52">
      <w:pPr>
        <w:pStyle w:val="slovn-rove1-netunb"/>
        <w:numPr>
          <w:ilvl w:val="0"/>
          <w:numId w:val="0"/>
        </w:numPr>
        <w:spacing w:before="240" w:after="0"/>
        <w:ind w:left="425"/>
        <w:rPr>
          <w:rFonts w:cs="Calibri"/>
          <w:b/>
          <w:szCs w:val="20"/>
        </w:rPr>
      </w:pPr>
    </w:p>
    <w:p w14:paraId="38587E01" w14:textId="77777777" w:rsidR="00D16AB4" w:rsidRDefault="00D16AB4" w:rsidP="00A74A52">
      <w:pPr>
        <w:pStyle w:val="slovn-rove1-netunb"/>
        <w:numPr>
          <w:ilvl w:val="0"/>
          <w:numId w:val="0"/>
        </w:numPr>
        <w:spacing w:before="240" w:after="0"/>
        <w:ind w:left="425"/>
        <w:rPr>
          <w:rFonts w:cs="Calibri"/>
          <w:b/>
          <w:szCs w:val="20"/>
        </w:rPr>
      </w:pPr>
    </w:p>
    <w:p w14:paraId="71D5A47B" w14:textId="77777777" w:rsidR="00D16AB4" w:rsidRDefault="00D16AB4" w:rsidP="00A74A52">
      <w:pPr>
        <w:pStyle w:val="slovn-rove1-netunb"/>
        <w:numPr>
          <w:ilvl w:val="0"/>
          <w:numId w:val="0"/>
        </w:numPr>
        <w:spacing w:before="240" w:after="0"/>
        <w:ind w:left="425"/>
        <w:rPr>
          <w:rFonts w:cs="Calibri"/>
          <w:b/>
          <w:szCs w:val="20"/>
        </w:rPr>
      </w:pPr>
    </w:p>
    <w:p w14:paraId="16667426" w14:textId="77777777" w:rsidR="00D16AB4" w:rsidRDefault="00D16AB4" w:rsidP="00A74A52">
      <w:pPr>
        <w:pStyle w:val="slovn-rove1-netunb"/>
        <w:numPr>
          <w:ilvl w:val="0"/>
          <w:numId w:val="0"/>
        </w:numPr>
        <w:spacing w:before="240" w:after="0"/>
        <w:ind w:left="425"/>
        <w:rPr>
          <w:rFonts w:cs="Calibri"/>
          <w:b/>
          <w:szCs w:val="20"/>
        </w:rPr>
      </w:pPr>
    </w:p>
    <w:p w14:paraId="73ADEBBF" w14:textId="77777777" w:rsidR="00D16AB4" w:rsidRDefault="00D16AB4" w:rsidP="00A74A52">
      <w:pPr>
        <w:pStyle w:val="slovn-rove1-netunb"/>
        <w:numPr>
          <w:ilvl w:val="0"/>
          <w:numId w:val="0"/>
        </w:numPr>
        <w:spacing w:before="240" w:after="0"/>
        <w:ind w:left="425"/>
        <w:rPr>
          <w:rFonts w:cs="Calibri"/>
          <w:b/>
          <w:szCs w:val="20"/>
        </w:rPr>
      </w:pPr>
    </w:p>
    <w:p w14:paraId="32EC1B01" w14:textId="77777777" w:rsidR="00D16AB4" w:rsidRDefault="00D16AB4" w:rsidP="00A74A52">
      <w:pPr>
        <w:pStyle w:val="slovn-rove1-netunb"/>
        <w:numPr>
          <w:ilvl w:val="0"/>
          <w:numId w:val="0"/>
        </w:numPr>
        <w:spacing w:before="240" w:after="0"/>
        <w:ind w:left="425"/>
        <w:rPr>
          <w:rFonts w:cs="Calibri"/>
          <w:b/>
          <w:szCs w:val="20"/>
        </w:rPr>
      </w:pPr>
    </w:p>
    <w:p w14:paraId="4BA82060" w14:textId="77777777" w:rsidR="00D16AB4" w:rsidRDefault="00D16AB4" w:rsidP="00A74A52">
      <w:pPr>
        <w:pStyle w:val="slovn-rove1-netunb"/>
        <w:numPr>
          <w:ilvl w:val="0"/>
          <w:numId w:val="0"/>
        </w:numPr>
        <w:spacing w:before="240" w:after="0"/>
        <w:ind w:left="425"/>
        <w:rPr>
          <w:rFonts w:cs="Calibri"/>
          <w:b/>
          <w:szCs w:val="20"/>
        </w:rPr>
      </w:pPr>
    </w:p>
    <w:bookmarkEnd w:id="3"/>
    <w:p w14:paraId="360B6BEF" w14:textId="77777777" w:rsidR="009B22B4" w:rsidRPr="00707D40" w:rsidRDefault="009B22B4" w:rsidP="00784C22">
      <w:pPr>
        <w:pStyle w:val="Nadpislnk"/>
        <w:spacing w:before="120"/>
      </w:pPr>
      <w:r w:rsidRPr="00707D40">
        <w:lastRenderedPageBreak/>
        <w:t>Článek VII.</w:t>
      </w:r>
      <w:r w:rsidR="00C62E3B" w:rsidRPr="00707D40">
        <w:t xml:space="preserve"> </w:t>
      </w:r>
      <w:r w:rsidR="00AE4398" w:rsidRPr="00707D40">
        <w:br/>
      </w:r>
      <w:r w:rsidRPr="00707D40">
        <w:t>Závěrečná ustanovení</w:t>
      </w:r>
    </w:p>
    <w:p w14:paraId="6F386E76" w14:textId="4975AA81" w:rsidR="0002396D" w:rsidRDefault="009B22B4" w:rsidP="00FC5DE7">
      <w:pPr>
        <w:pStyle w:val="slovn-rove1-netunb"/>
        <w:numPr>
          <w:ilvl w:val="0"/>
          <w:numId w:val="29"/>
        </w:numPr>
        <w:spacing w:after="0"/>
      </w:pPr>
      <w:r w:rsidRPr="00707D40">
        <w:t xml:space="preserve">Není-li ujednáno jinak, je pojistnou dobou doba </w:t>
      </w:r>
      <w:r w:rsidRPr="00FC5DE7">
        <w:rPr>
          <w:b/>
          <w:bCs/>
        </w:rPr>
        <w:t xml:space="preserve">od </w:t>
      </w:r>
      <w:r w:rsidR="00FA0DD6" w:rsidRPr="00FC5DE7">
        <w:rPr>
          <w:b/>
          <w:bCs/>
        </w:rPr>
        <w:t>1</w:t>
      </w:r>
      <w:r w:rsidR="00242077">
        <w:rPr>
          <w:b/>
          <w:bCs/>
        </w:rPr>
        <w:t>4</w:t>
      </w:r>
      <w:r w:rsidR="00FA0DD6" w:rsidRPr="00FC5DE7">
        <w:rPr>
          <w:b/>
          <w:bCs/>
        </w:rPr>
        <w:t>.</w:t>
      </w:r>
      <w:r w:rsidR="00B42412">
        <w:rPr>
          <w:b/>
          <w:bCs/>
        </w:rPr>
        <w:t>03</w:t>
      </w:r>
      <w:r w:rsidR="00FA0DD6" w:rsidRPr="00FC5DE7">
        <w:rPr>
          <w:b/>
          <w:bCs/>
        </w:rPr>
        <w:t>.20</w:t>
      </w:r>
      <w:r w:rsidR="00B42412">
        <w:rPr>
          <w:b/>
          <w:bCs/>
        </w:rPr>
        <w:t>15</w:t>
      </w:r>
      <w:r w:rsidR="004764A8" w:rsidRPr="00FC5DE7">
        <w:rPr>
          <w:i/>
          <w:iCs/>
          <w:color w:val="00B050"/>
        </w:rPr>
        <w:t xml:space="preserve"> </w:t>
      </w:r>
      <w:r w:rsidRPr="00707D40">
        <w:t xml:space="preserve">(počátek pojištění) </w:t>
      </w:r>
      <w:r w:rsidR="00B42412">
        <w:rPr>
          <w:b/>
          <w:bCs/>
        </w:rPr>
        <w:t>na dobu neurčitou</w:t>
      </w:r>
      <w:r w:rsidR="008C76D7">
        <w:rPr>
          <w:b/>
          <w:bCs/>
        </w:rPr>
        <w:t>.</w:t>
      </w:r>
    </w:p>
    <w:p w14:paraId="1B74FE95" w14:textId="3E3F78C8" w:rsidR="00E87154" w:rsidRPr="00293FA7" w:rsidRDefault="00E87154" w:rsidP="00E87154">
      <w:pPr>
        <w:spacing w:before="60"/>
        <w:ind w:left="425"/>
      </w:pPr>
      <w:bookmarkStart w:id="4" w:name="_Hlk35260018"/>
      <w:r w:rsidRPr="00293FA7">
        <w:t>Počátek změn provedených tímto dodatkem:</w:t>
      </w:r>
      <w:r>
        <w:t xml:space="preserve"> </w:t>
      </w:r>
      <w:r w:rsidRPr="00784C22">
        <w:rPr>
          <w:b/>
          <w:bCs/>
        </w:rPr>
        <w:t>14.03.202</w:t>
      </w:r>
      <w:r w:rsidR="00EF64CB">
        <w:rPr>
          <w:b/>
          <w:bCs/>
        </w:rPr>
        <w:t>5</w:t>
      </w:r>
      <w:r w:rsidRPr="00784C22">
        <w:rPr>
          <w:b/>
          <w:bCs/>
        </w:rPr>
        <w:t>.</w:t>
      </w:r>
      <w:r w:rsidRPr="00293FA7">
        <w:t xml:space="preserve"> </w:t>
      </w:r>
    </w:p>
    <w:p w14:paraId="72575385" w14:textId="77777777" w:rsidR="00E87154" w:rsidRPr="00891EE8" w:rsidRDefault="00E87154" w:rsidP="00E87154">
      <w:pPr>
        <w:spacing w:before="60"/>
        <w:ind w:left="425"/>
      </w:pPr>
      <w:r w:rsidRPr="00820872"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</w:t>
      </w:r>
      <w:r w:rsidRPr="00891EE8">
        <w:t>.</w:t>
      </w:r>
    </w:p>
    <w:p w14:paraId="215D5449" w14:textId="77777777" w:rsidR="00B52D95" w:rsidRPr="00820872" w:rsidRDefault="00B52D95" w:rsidP="00B52D95">
      <w:pPr>
        <w:pStyle w:val="slovn-rove1-netunb"/>
      </w:pPr>
      <w:bookmarkStart w:id="5" w:name="_Ref489759092"/>
      <w:bookmarkEnd w:id="4"/>
      <w:r w:rsidRPr="00820872">
        <w:t>Odpověď pojistníka na návrh pojistitele na uzavření tohoto dodatku (dále jen „</w:t>
      </w:r>
      <w:r w:rsidRPr="00820872">
        <w:rPr>
          <w:b/>
        </w:rPr>
        <w:t>nabídka</w:t>
      </w:r>
      <w:r w:rsidRPr="00820872">
        <w:t>“) s dodatkem nebo odchylkou od nabídky se nepovažuje za její přijetí, a to ani v případě, že se takovou odchylkou podstatně nemění podmínky nabídky.</w:t>
      </w:r>
    </w:p>
    <w:p w14:paraId="1477436C" w14:textId="77777777" w:rsidR="00B52D95" w:rsidRPr="00820872" w:rsidRDefault="00B52D95" w:rsidP="00B52D95">
      <w:pPr>
        <w:pStyle w:val="slovn-rove1-netunb"/>
      </w:pPr>
      <w:r w:rsidRPr="00820872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3E6243FA" w14:textId="77777777" w:rsidR="00B52D95" w:rsidRPr="00FC5DE7" w:rsidRDefault="00B52D95" w:rsidP="00B52D95">
      <w:pPr>
        <w:pStyle w:val="slovn-rove1-netunb"/>
        <w:rPr>
          <w:b/>
          <w:bCs/>
        </w:rPr>
      </w:pPr>
      <w:bookmarkStart w:id="6" w:name="_Hlk127873275"/>
      <w:bookmarkStart w:id="7" w:name="_Hlk35256917"/>
      <w:r w:rsidRPr="00FC5DE7">
        <w:rPr>
          <w:b/>
          <w:bCs/>
        </w:rPr>
        <w:t xml:space="preserve">Ujednává se, že je-li tento dodatek uzavírán elektronickými prostředky, musí být podepsán elektronickým podpisem ve smyslu příslušných právních předpisů. Podepíše-li pojistník tento dodatek jiným elektronickým podpisem než uznávaným elektronickým podpisem </w:t>
      </w:r>
      <w:r w:rsidRPr="00FC5DE7">
        <w:t>ve smyslu zákona č. 297/2016 Sb., o službách vytvářejících důvěru pro elektronické transakce,</w:t>
      </w:r>
      <w:r w:rsidRPr="00FC5DE7">
        <w:rPr>
          <w:b/>
          <w:bCs/>
        </w:rPr>
        <w:t xml:space="preserve"> a nezaplatí-li tímto dodatkem předepsané jednorázové pojistné nebo běžné pojistné za tímto dodatkem sjednané první pojistné období řádně a včas, tento dodatek se od počátku ruší</w:t>
      </w:r>
      <w:bookmarkEnd w:id="6"/>
      <w:r w:rsidRPr="00FC5DE7">
        <w:rPr>
          <w:b/>
          <w:bCs/>
        </w:rPr>
        <w:t>.</w:t>
      </w:r>
    </w:p>
    <w:bookmarkEnd w:id="7"/>
    <w:p w14:paraId="5AD69B12" w14:textId="77777777" w:rsidR="00B52D95" w:rsidRPr="00820872" w:rsidRDefault="00B52D95" w:rsidP="00B52D95">
      <w:pPr>
        <w:pStyle w:val="slovn-rove1-netunb"/>
      </w:pPr>
      <w:r w:rsidRPr="00820872">
        <w:t xml:space="preserve">Subjektem věcně příslušným k mimosoudnímu řešení spotřebitelských sporů z tohoto pojištění je Česká obchodní inspekce, Štěpánská 567/15, 120 00 Praha 2, www.coi.cz, a Kancelář ombudsmana České asociace pojišťoven </w:t>
      </w:r>
      <w:proofErr w:type="spellStart"/>
      <w:r w:rsidRPr="00820872">
        <w:t>z.ú</w:t>
      </w:r>
      <w:proofErr w:type="spellEnd"/>
      <w:r w:rsidRPr="00820872">
        <w:t>., Elišky Krásnohorské 135/7, 110 00 Praha 1, www.ombudsmancap.cz.</w:t>
      </w:r>
    </w:p>
    <w:p w14:paraId="4547A3F3" w14:textId="473BDCB5" w:rsidR="00E03E08" w:rsidRPr="00544D81" w:rsidRDefault="009412F4" w:rsidP="00E03E08">
      <w:pPr>
        <w:pStyle w:val="slovn-rove1-netunb"/>
      </w:pPr>
      <w:r w:rsidRPr="00293FA7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293FA7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</w:t>
      </w:r>
      <w:r w:rsidR="00E03E08" w:rsidRPr="00544D81">
        <w:t>.</w:t>
      </w:r>
    </w:p>
    <w:p w14:paraId="79820028" w14:textId="5579E79D" w:rsidR="009B22B4" w:rsidRDefault="005B16A3" w:rsidP="00B56EE3">
      <w:pPr>
        <w:pStyle w:val="slovn-rove1-netunb"/>
        <w:spacing w:after="0"/>
      </w:pPr>
      <w:r w:rsidRPr="00707D40">
        <w:t xml:space="preserve">Tento dodatek k pojistné smlouvě byl vypracován </w:t>
      </w:r>
      <w:r w:rsidR="009B22B4" w:rsidRPr="00544D81">
        <w:t xml:space="preserve">ve </w:t>
      </w:r>
      <w:r w:rsidR="00F45D82" w:rsidRPr="00544D81">
        <w:t>3</w:t>
      </w:r>
      <w:r w:rsidR="009B22B4" w:rsidRPr="00544D81">
        <w:t xml:space="preserve"> stejnopisech, pojistník</w:t>
      </w:r>
      <w:r w:rsidR="00942639" w:rsidRPr="00544D81">
        <w:t xml:space="preserve">, </w:t>
      </w:r>
      <w:r w:rsidR="00A32127" w:rsidRPr="00544D81">
        <w:t xml:space="preserve">pojistitel </w:t>
      </w:r>
      <w:r w:rsidR="009B22B4" w:rsidRPr="00544D81">
        <w:t>a pojišťovací makléř obdrží</w:t>
      </w:r>
      <w:r w:rsidR="009B22B4" w:rsidRPr="00707D40">
        <w:t xml:space="preserve"> </w:t>
      </w:r>
      <w:r w:rsidR="00FA0DD6">
        <w:t>1</w:t>
      </w:r>
      <w:r w:rsidR="009B22B4" w:rsidRPr="00707D40">
        <w:t xml:space="preserve"> stejnopis.</w:t>
      </w:r>
    </w:p>
    <w:p w14:paraId="07C3AEF1" w14:textId="77777777" w:rsidR="00784929" w:rsidRDefault="00784929" w:rsidP="00784929">
      <w:pPr>
        <w:pStyle w:val="slovn-rove1-netunb"/>
        <w:numPr>
          <w:ilvl w:val="0"/>
          <w:numId w:val="0"/>
        </w:numPr>
        <w:spacing w:after="0"/>
        <w:ind w:left="425" w:hanging="425"/>
      </w:pPr>
    </w:p>
    <w:p w14:paraId="54F69387" w14:textId="77777777" w:rsidR="00784929" w:rsidRDefault="00784929" w:rsidP="00784929">
      <w:pPr>
        <w:pStyle w:val="slovn-rove1-netunb"/>
        <w:numPr>
          <w:ilvl w:val="0"/>
          <w:numId w:val="0"/>
        </w:numPr>
        <w:spacing w:after="0"/>
        <w:ind w:left="425" w:hanging="425"/>
      </w:pPr>
    </w:p>
    <w:p w14:paraId="3C148A51" w14:textId="77777777" w:rsidR="00784929" w:rsidRDefault="00784929" w:rsidP="00784929">
      <w:pPr>
        <w:pStyle w:val="slovn-rove1-netunb"/>
        <w:numPr>
          <w:ilvl w:val="0"/>
          <w:numId w:val="0"/>
        </w:numPr>
        <w:spacing w:after="0"/>
        <w:ind w:left="425" w:hanging="425"/>
      </w:pPr>
    </w:p>
    <w:p w14:paraId="4CCCD4E9" w14:textId="77777777" w:rsidR="00784929" w:rsidRDefault="00784929" w:rsidP="00784929">
      <w:pPr>
        <w:pStyle w:val="slovn-rove1-netunb"/>
        <w:numPr>
          <w:ilvl w:val="0"/>
          <w:numId w:val="0"/>
        </w:numPr>
        <w:spacing w:after="0"/>
        <w:ind w:left="425" w:hanging="425"/>
      </w:pPr>
    </w:p>
    <w:p w14:paraId="027DC704" w14:textId="77777777" w:rsidR="00784929" w:rsidRDefault="00784929" w:rsidP="00784929">
      <w:pPr>
        <w:pStyle w:val="slovn-rove1-netunb"/>
        <w:numPr>
          <w:ilvl w:val="0"/>
          <w:numId w:val="0"/>
        </w:numPr>
        <w:spacing w:after="0"/>
        <w:ind w:left="425" w:hanging="425"/>
      </w:pPr>
    </w:p>
    <w:p w14:paraId="72A29C0C" w14:textId="77777777" w:rsidR="00784929" w:rsidRDefault="00784929" w:rsidP="00784929">
      <w:pPr>
        <w:pStyle w:val="slovn-rove1-netunb"/>
        <w:numPr>
          <w:ilvl w:val="0"/>
          <w:numId w:val="0"/>
        </w:numPr>
        <w:spacing w:after="0"/>
        <w:ind w:left="425" w:hanging="425"/>
      </w:pPr>
    </w:p>
    <w:p w14:paraId="29499536" w14:textId="77777777" w:rsidR="00784929" w:rsidRDefault="00784929" w:rsidP="00784929">
      <w:pPr>
        <w:pStyle w:val="slovn-rove1-netunb"/>
        <w:numPr>
          <w:ilvl w:val="0"/>
          <w:numId w:val="0"/>
        </w:numPr>
        <w:spacing w:after="0"/>
        <w:ind w:left="425" w:hanging="425"/>
      </w:pPr>
    </w:p>
    <w:p w14:paraId="352329B8" w14:textId="77777777" w:rsidR="00784929" w:rsidRDefault="00784929" w:rsidP="00784929">
      <w:pPr>
        <w:pStyle w:val="slovn-rove1-netunb"/>
        <w:numPr>
          <w:ilvl w:val="0"/>
          <w:numId w:val="0"/>
        </w:numPr>
        <w:spacing w:after="0"/>
        <w:ind w:left="425" w:hanging="425"/>
      </w:pPr>
    </w:p>
    <w:bookmarkEnd w:id="5"/>
    <w:p w14:paraId="0B4CF047" w14:textId="2888C129" w:rsidR="009B22B4" w:rsidRDefault="00EC6C76" w:rsidP="00B56EE3">
      <w:pPr>
        <w:pStyle w:val="slovn-rove1-netunb"/>
        <w:spacing w:after="0"/>
      </w:pPr>
      <w:r w:rsidRPr="008F5A99">
        <w:lastRenderedPageBreak/>
        <w:t xml:space="preserve">Tento dodatek obsahuje </w:t>
      </w:r>
      <w:r>
        <w:t>1</w:t>
      </w:r>
      <w:r w:rsidR="00E734BF">
        <w:t>1</w:t>
      </w:r>
      <w:r w:rsidRPr="008F5A99">
        <w:t xml:space="preserve"> stran, k pojistné smlouvě ve znění tohoto dodatku náleží </w:t>
      </w:r>
      <w:r>
        <w:t>4</w:t>
      </w:r>
      <w:r w:rsidRPr="008F5A99">
        <w:t xml:space="preserve"> příloh</w:t>
      </w:r>
      <w:r>
        <w:t>y</w:t>
      </w:r>
      <w:r w:rsidRPr="008F5A99">
        <w:t xml:space="preserve">, z nichž </w:t>
      </w:r>
      <w:r>
        <w:t xml:space="preserve">2 jsou </w:t>
      </w:r>
      <w:r w:rsidRPr="008F5A99">
        <w:t>fyzicky přiložen</w:t>
      </w:r>
      <w:r>
        <w:t>y</w:t>
      </w:r>
      <w:r w:rsidRPr="008F5A99">
        <w:t xml:space="preserve"> k tomuto dodatku. Součástí pojistné smlouvy ve znění tohoto dodatku jsou pojistné podmínky pojistitele uvedené v čl. I. této pojistné smlouvy ve znění tohoto dodatku</w:t>
      </w:r>
      <w:r w:rsidR="009B22B4" w:rsidRPr="00707D40">
        <w:t>.</w:t>
      </w:r>
    </w:p>
    <w:p w14:paraId="6EF826B3" w14:textId="565D14F2" w:rsidR="003A53B3" w:rsidRPr="00B1159D" w:rsidRDefault="00372F20" w:rsidP="00B56EE3">
      <w:pPr>
        <w:pStyle w:val="slovn-rove1-netunb"/>
        <w:spacing w:after="0"/>
        <w:rPr>
          <w:b/>
          <w:bCs/>
        </w:rPr>
      </w:pPr>
      <w:r w:rsidRPr="00B1159D">
        <w:rPr>
          <w:b/>
          <w:bCs/>
        </w:rPr>
        <w:t xml:space="preserve">Podpisem tohoto dodatku </w:t>
      </w:r>
      <w:r w:rsidR="00C05D95" w:rsidRPr="00B1159D">
        <w:rPr>
          <w:b/>
          <w:bCs/>
        </w:rPr>
        <w:t>se ruší výpověď</w:t>
      </w:r>
      <w:r w:rsidR="00034F4A" w:rsidRPr="00B1159D">
        <w:rPr>
          <w:b/>
          <w:bCs/>
        </w:rPr>
        <w:t xml:space="preserve"> </w:t>
      </w:r>
      <w:r w:rsidR="00B1159D" w:rsidRPr="00B1159D">
        <w:rPr>
          <w:b/>
          <w:bCs/>
        </w:rPr>
        <w:t>této pojistné smlouvy</w:t>
      </w:r>
      <w:r w:rsidR="00C45ACC">
        <w:rPr>
          <w:b/>
          <w:bCs/>
        </w:rPr>
        <w:t xml:space="preserve"> podaná pojistitelem</w:t>
      </w:r>
      <w:r w:rsidR="001C5FA7">
        <w:rPr>
          <w:b/>
          <w:bCs/>
        </w:rPr>
        <w:t xml:space="preserve"> </w:t>
      </w:r>
      <w:r w:rsidR="00034F4A" w:rsidRPr="00B1159D">
        <w:rPr>
          <w:b/>
          <w:bCs/>
        </w:rPr>
        <w:t xml:space="preserve">dne </w:t>
      </w:r>
      <w:r w:rsidR="00933DF1" w:rsidRPr="00B1159D">
        <w:rPr>
          <w:b/>
          <w:bCs/>
        </w:rPr>
        <w:t>17.02.2025 a př</w:t>
      </w:r>
      <w:r w:rsidR="00A16DEA">
        <w:rPr>
          <w:b/>
          <w:bCs/>
        </w:rPr>
        <w:t>ijatá</w:t>
      </w:r>
      <w:r w:rsidR="00933DF1" w:rsidRPr="00B1159D">
        <w:rPr>
          <w:b/>
          <w:bCs/>
        </w:rPr>
        <w:t xml:space="preserve"> pojistníkem dne</w:t>
      </w:r>
      <w:r w:rsidR="00B1159D" w:rsidRPr="00B1159D">
        <w:rPr>
          <w:b/>
          <w:bCs/>
        </w:rPr>
        <w:t xml:space="preserve"> 19.02.2025.</w:t>
      </w:r>
    </w:p>
    <w:p w14:paraId="7F161D25" w14:textId="77777777" w:rsidR="00E44460" w:rsidRPr="00213CA9" w:rsidRDefault="00E44460" w:rsidP="00E44460">
      <w:pPr>
        <w:tabs>
          <w:tab w:val="left" w:pos="2977"/>
        </w:tabs>
        <w:spacing w:before="120"/>
        <w:ind w:left="425"/>
        <w:rPr>
          <w:szCs w:val="20"/>
        </w:rPr>
      </w:pPr>
      <w:r w:rsidRPr="00213CA9">
        <w:rPr>
          <w:szCs w:val="20"/>
        </w:rPr>
        <w:t>Výčet příloh:</w:t>
      </w:r>
      <w:r w:rsidRPr="00213CA9">
        <w:rPr>
          <w:szCs w:val="20"/>
        </w:rPr>
        <w:tab/>
        <w:t xml:space="preserve">příloha č. 1 </w:t>
      </w:r>
      <w:r>
        <w:rPr>
          <w:szCs w:val="20"/>
        </w:rPr>
        <w:t>-</w:t>
      </w:r>
      <w:r w:rsidRPr="00077097">
        <w:rPr>
          <w:szCs w:val="20"/>
        </w:rPr>
        <w:t xml:space="preserve"> </w:t>
      </w:r>
      <w:r>
        <w:rPr>
          <w:rFonts w:cs="Arial"/>
        </w:rPr>
        <w:t>V</w:t>
      </w:r>
      <w:r w:rsidRPr="001B554E">
        <w:rPr>
          <w:rFonts w:cs="Arial"/>
        </w:rPr>
        <w:t>ýpis z registru ekonomických subjektů</w:t>
      </w:r>
    </w:p>
    <w:p w14:paraId="0E690A62" w14:textId="77777777" w:rsidR="00E44460" w:rsidRPr="003465BD" w:rsidRDefault="00E44460" w:rsidP="00E44460">
      <w:pPr>
        <w:tabs>
          <w:tab w:val="left" w:pos="2977"/>
        </w:tabs>
        <w:ind w:left="425"/>
        <w:rPr>
          <w:szCs w:val="20"/>
        </w:rPr>
      </w:pPr>
      <w:r w:rsidRPr="003465BD">
        <w:rPr>
          <w:szCs w:val="20"/>
        </w:rPr>
        <w:tab/>
        <w:t xml:space="preserve">příloha č. </w:t>
      </w:r>
      <w:r>
        <w:rPr>
          <w:szCs w:val="20"/>
        </w:rPr>
        <w:t>2</w:t>
      </w:r>
      <w:r w:rsidRPr="003465BD">
        <w:rPr>
          <w:szCs w:val="20"/>
        </w:rPr>
        <w:t xml:space="preserve"> </w:t>
      </w:r>
      <w:r>
        <w:rPr>
          <w:szCs w:val="20"/>
        </w:rPr>
        <w:t>-</w:t>
      </w:r>
      <w:r w:rsidRPr="003465BD">
        <w:rPr>
          <w:szCs w:val="20"/>
        </w:rPr>
        <w:t xml:space="preserve"> </w:t>
      </w:r>
      <w:r>
        <w:rPr>
          <w:szCs w:val="20"/>
        </w:rPr>
        <w:t>S</w:t>
      </w:r>
      <w:r w:rsidRPr="001B554E">
        <w:rPr>
          <w:rFonts w:cs="Arial"/>
        </w:rPr>
        <w:t>eznam pojištěných nemovitostí</w:t>
      </w:r>
    </w:p>
    <w:p w14:paraId="6EC0017A" w14:textId="77777777" w:rsidR="00E44460" w:rsidRPr="003465BD" w:rsidRDefault="00E44460" w:rsidP="00E44460">
      <w:pPr>
        <w:tabs>
          <w:tab w:val="left" w:pos="2977"/>
        </w:tabs>
        <w:ind w:left="425"/>
        <w:rPr>
          <w:szCs w:val="20"/>
        </w:rPr>
      </w:pPr>
      <w:r w:rsidRPr="003465BD">
        <w:rPr>
          <w:szCs w:val="20"/>
        </w:rPr>
        <w:tab/>
        <w:t xml:space="preserve">příloha č. </w:t>
      </w:r>
      <w:r>
        <w:rPr>
          <w:szCs w:val="20"/>
        </w:rPr>
        <w:t>3</w:t>
      </w:r>
      <w:r w:rsidRPr="003465BD">
        <w:rPr>
          <w:szCs w:val="20"/>
        </w:rPr>
        <w:t xml:space="preserve"> </w:t>
      </w:r>
      <w:r>
        <w:rPr>
          <w:szCs w:val="20"/>
        </w:rPr>
        <w:t>-</w:t>
      </w:r>
      <w:r w:rsidRPr="003465BD">
        <w:rPr>
          <w:szCs w:val="20"/>
        </w:rPr>
        <w:t xml:space="preserve"> </w:t>
      </w:r>
      <w:r>
        <w:rPr>
          <w:szCs w:val="20"/>
        </w:rPr>
        <w:t>S</w:t>
      </w:r>
      <w:r w:rsidRPr="001B554E">
        <w:rPr>
          <w:rFonts w:cs="Arial"/>
        </w:rPr>
        <w:t>eznam pojištěných nemovitostí</w:t>
      </w:r>
    </w:p>
    <w:p w14:paraId="5705A825" w14:textId="63DF6D6A" w:rsidR="00E44460" w:rsidRDefault="00E44460" w:rsidP="00E44460">
      <w:pPr>
        <w:tabs>
          <w:tab w:val="left" w:pos="2977"/>
        </w:tabs>
        <w:ind w:left="425"/>
        <w:rPr>
          <w:szCs w:val="20"/>
        </w:rPr>
      </w:pPr>
      <w:r w:rsidRPr="003465BD">
        <w:rPr>
          <w:szCs w:val="20"/>
        </w:rPr>
        <w:tab/>
        <w:t xml:space="preserve">příloha č. </w:t>
      </w:r>
      <w:r>
        <w:rPr>
          <w:szCs w:val="20"/>
        </w:rPr>
        <w:t>4</w:t>
      </w:r>
      <w:r w:rsidRPr="003465BD">
        <w:rPr>
          <w:szCs w:val="20"/>
        </w:rPr>
        <w:t xml:space="preserve"> </w:t>
      </w:r>
      <w:r>
        <w:rPr>
          <w:szCs w:val="20"/>
        </w:rPr>
        <w:t>-</w:t>
      </w:r>
      <w:r w:rsidRPr="003465BD">
        <w:rPr>
          <w:szCs w:val="20"/>
        </w:rPr>
        <w:t xml:space="preserve"> </w:t>
      </w:r>
      <w:r>
        <w:rPr>
          <w:szCs w:val="20"/>
        </w:rPr>
        <w:t>Plná moc</w:t>
      </w:r>
    </w:p>
    <w:p w14:paraId="637A719F" w14:textId="77777777" w:rsidR="004E5F14" w:rsidRPr="00891EE8" w:rsidRDefault="004E5F14" w:rsidP="004E5F14">
      <w:pPr>
        <w:spacing w:before="120"/>
        <w:ind w:left="426"/>
        <w:rPr>
          <w:b/>
          <w:color w:val="FF00FF"/>
          <w:szCs w:val="20"/>
        </w:rPr>
      </w:pPr>
      <w:r w:rsidRPr="00891EE8">
        <w:t>Přílohy přiložené k tomuto dodatku nahrazují odpovídající přílohy k pojistné smlouvě.</w:t>
      </w:r>
    </w:p>
    <w:p w14:paraId="31842C5F" w14:textId="494BB2BD" w:rsidR="00FA0DD6" w:rsidRPr="00891EE8" w:rsidRDefault="00FA0DD6" w:rsidP="00E4446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7814C783" w14:textId="5036D809" w:rsidR="00E44460" w:rsidRPr="00891EE8" w:rsidRDefault="00E44460" w:rsidP="00E4446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630ABD64" w14:textId="253540DA" w:rsidR="00E44460" w:rsidRPr="00891EE8" w:rsidRDefault="00E44460" w:rsidP="00E4446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0705BB5F" w14:textId="01F1ECA1" w:rsidR="00D92F11" w:rsidRPr="00891EE8" w:rsidRDefault="00D92F11" w:rsidP="00E4446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390F8A0C" w14:textId="77777777" w:rsidR="00D92F11" w:rsidRPr="00891EE8" w:rsidRDefault="00D92F11" w:rsidP="00E4446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4A897F2E" w14:textId="77777777" w:rsidR="00E44460" w:rsidRDefault="00E44460" w:rsidP="00E4446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0359829F" w14:textId="77777777" w:rsidR="00C6174E" w:rsidRPr="00891EE8" w:rsidRDefault="00C6174E" w:rsidP="00E44460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</w:p>
    <w:p w14:paraId="3A32C826" w14:textId="77777777" w:rsidR="00E44460" w:rsidRPr="00891EE8" w:rsidRDefault="00E44460" w:rsidP="00E44460">
      <w:pPr>
        <w:keepNext/>
        <w:keepLines/>
        <w:tabs>
          <w:tab w:val="left" w:pos="3402"/>
          <w:tab w:val="left" w:pos="6521"/>
        </w:tabs>
      </w:pPr>
      <w:r w:rsidRPr="00891EE8">
        <w:tab/>
        <w:t>.</w:t>
      </w:r>
      <w:r w:rsidRPr="00891EE8">
        <w:tab/>
        <w:t>.</w:t>
      </w:r>
    </w:p>
    <w:p w14:paraId="49351CDE" w14:textId="4F4351D0" w:rsidR="00E44460" w:rsidRPr="00891EE8" w:rsidRDefault="00E44460" w:rsidP="00E44460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</w:pPr>
      <w:r w:rsidRPr="00891EE8">
        <w:t>Podepsáno dne</w:t>
      </w:r>
      <w:r w:rsidRPr="00891EE8">
        <w:rPr>
          <w:vertAlign w:val="superscript"/>
        </w:rPr>
        <w:t>+</w:t>
      </w:r>
      <w:r w:rsidRPr="00891EE8">
        <w:t xml:space="preserve"> </w:t>
      </w:r>
      <w:r w:rsidR="008A0424">
        <w:t>13</w:t>
      </w:r>
      <w:r w:rsidR="00891EE8">
        <w:t>.</w:t>
      </w:r>
      <w:r w:rsidR="0024045C">
        <w:t>03</w:t>
      </w:r>
      <w:r w:rsidR="00891EE8">
        <w:t>.202</w:t>
      </w:r>
      <w:r w:rsidR="0082496F">
        <w:t>5</w:t>
      </w:r>
      <w:r w:rsidRPr="00891EE8">
        <w:tab/>
      </w:r>
      <w:r w:rsidRPr="00891EE8">
        <w:tab/>
      </w:r>
      <w:r w:rsidRPr="00891EE8">
        <w:tab/>
      </w:r>
      <w:r w:rsidRPr="00891EE8">
        <w:tab/>
      </w:r>
    </w:p>
    <w:p w14:paraId="15A139EE" w14:textId="77777777" w:rsidR="00E44460" w:rsidRPr="00891EE8" w:rsidRDefault="00E44460" w:rsidP="00E44460">
      <w:pPr>
        <w:keepNext/>
        <w:keepLines/>
        <w:tabs>
          <w:tab w:val="center" w:pos="4820"/>
          <w:tab w:val="center" w:pos="7938"/>
        </w:tabs>
      </w:pPr>
      <w:r w:rsidRPr="00891EE8">
        <w:tab/>
        <w:t>za pojistitele</w:t>
      </w:r>
      <w:r w:rsidRPr="00891EE8">
        <w:tab/>
        <w:t>za pojistitele</w:t>
      </w:r>
    </w:p>
    <w:p w14:paraId="29AF8A98" w14:textId="77777777" w:rsidR="00E44460" w:rsidRPr="00891EE8" w:rsidRDefault="00E44460" w:rsidP="00E4446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</w:pPr>
    </w:p>
    <w:p w14:paraId="0837A3AC" w14:textId="77777777" w:rsidR="00E44460" w:rsidRPr="00891EE8" w:rsidRDefault="00E44460" w:rsidP="00E4446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</w:pPr>
    </w:p>
    <w:p w14:paraId="516707B4" w14:textId="77777777" w:rsidR="00E44460" w:rsidRPr="00891EE8" w:rsidRDefault="00E44460" w:rsidP="00E4446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</w:pPr>
    </w:p>
    <w:p w14:paraId="15FFE2D3" w14:textId="77777777" w:rsidR="00E44460" w:rsidRPr="00891EE8" w:rsidRDefault="00E44460" w:rsidP="00E4446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</w:pPr>
    </w:p>
    <w:p w14:paraId="5ADDCDE2" w14:textId="242FB2A0" w:rsidR="00E44460" w:rsidRPr="00891EE8" w:rsidRDefault="00E44460" w:rsidP="00E4446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</w:pPr>
    </w:p>
    <w:p w14:paraId="54E45A72" w14:textId="576EBBB4" w:rsidR="00D92F11" w:rsidRPr="00891EE8" w:rsidRDefault="00D92F11" w:rsidP="00E4446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</w:pPr>
    </w:p>
    <w:p w14:paraId="4E23BEA2" w14:textId="77777777" w:rsidR="00D92F11" w:rsidRPr="00891EE8" w:rsidRDefault="00D92F11" w:rsidP="00E4446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</w:pPr>
    </w:p>
    <w:p w14:paraId="65382BA9" w14:textId="14AD63E4" w:rsidR="00E44460" w:rsidRPr="00891EE8" w:rsidRDefault="00E44460" w:rsidP="00E44460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</w:pPr>
      <w:r w:rsidRPr="00891EE8">
        <w:t>Podepsáno dne</w:t>
      </w:r>
      <w:r w:rsidRPr="00891EE8">
        <w:rPr>
          <w:vertAlign w:val="superscript"/>
        </w:rPr>
        <w:t>+</w:t>
      </w:r>
      <w:r w:rsidRPr="00891EE8">
        <w:t xml:space="preserve"> ............................</w:t>
      </w:r>
      <w:r w:rsidRPr="00891EE8">
        <w:tab/>
      </w:r>
      <w:r w:rsidRPr="00891EE8">
        <w:tab/>
      </w:r>
    </w:p>
    <w:p w14:paraId="36EFE82F" w14:textId="0A304FD1" w:rsidR="00E44460" w:rsidRPr="00891EE8" w:rsidRDefault="00E44460" w:rsidP="00E44460">
      <w:pPr>
        <w:keepNext/>
        <w:keepLines/>
        <w:tabs>
          <w:tab w:val="center" w:pos="4820"/>
          <w:tab w:val="center" w:pos="7938"/>
        </w:tabs>
        <w:rPr>
          <w:vertAlign w:val="superscript"/>
        </w:rPr>
      </w:pPr>
      <w:r w:rsidRPr="00891EE8">
        <w:tab/>
        <w:t>za pojistníka</w:t>
      </w:r>
      <w:r w:rsidRPr="00891EE8">
        <w:rPr>
          <w:vertAlign w:val="superscript"/>
        </w:rPr>
        <w:t>++</w:t>
      </w:r>
    </w:p>
    <w:p w14:paraId="7A72A9F0" w14:textId="1BEE520D" w:rsidR="00E44460" w:rsidRPr="00891EE8" w:rsidRDefault="00E44460" w:rsidP="00E44460">
      <w:pPr>
        <w:keepNext/>
        <w:keepLines/>
        <w:tabs>
          <w:tab w:val="center" w:pos="4820"/>
          <w:tab w:val="center" w:pos="7938"/>
        </w:tabs>
      </w:pPr>
    </w:p>
    <w:p w14:paraId="20CE8BED" w14:textId="64322F9E" w:rsidR="00E44460" w:rsidRPr="00891EE8" w:rsidRDefault="00E44460" w:rsidP="00E44460">
      <w:pPr>
        <w:keepNext/>
        <w:keepLines/>
        <w:tabs>
          <w:tab w:val="center" w:pos="4820"/>
          <w:tab w:val="center" w:pos="7938"/>
        </w:tabs>
      </w:pPr>
    </w:p>
    <w:p w14:paraId="2D861847" w14:textId="77777777" w:rsidR="00D92F11" w:rsidRDefault="00D92F11" w:rsidP="00E44460">
      <w:pPr>
        <w:keepNext/>
        <w:keepLines/>
        <w:tabs>
          <w:tab w:val="center" w:pos="4820"/>
          <w:tab w:val="center" w:pos="7938"/>
        </w:tabs>
      </w:pPr>
    </w:p>
    <w:p w14:paraId="0704C2D0" w14:textId="77777777" w:rsidR="00E44460" w:rsidRDefault="00E44460" w:rsidP="00E44460">
      <w:pPr>
        <w:keepNext/>
        <w:keepLines/>
        <w:tabs>
          <w:tab w:val="center" w:pos="4820"/>
          <w:tab w:val="center" w:pos="7938"/>
        </w:tabs>
      </w:pPr>
    </w:p>
    <w:p w14:paraId="59A50C6D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795DC248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381FD6CC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27A54326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5C1327DF" w14:textId="77777777" w:rsidR="00C3616C" w:rsidRDefault="00C3616C" w:rsidP="00E44460">
      <w:pPr>
        <w:keepNext/>
        <w:keepLines/>
        <w:tabs>
          <w:tab w:val="center" w:pos="4820"/>
          <w:tab w:val="center" w:pos="7938"/>
        </w:tabs>
      </w:pPr>
    </w:p>
    <w:p w14:paraId="29DF0FBE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56BE4D0E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385FCBA5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7BBB9FB5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35DB87BD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2A06E249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2C6415F3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23A2517E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67D4A16D" w14:textId="77777777" w:rsidR="001743E5" w:rsidRDefault="001743E5" w:rsidP="00E44460">
      <w:pPr>
        <w:keepNext/>
        <w:keepLines/>
        <w:tabs>
          <w:tab w:val="center" w:pos="4820"/>
          <w:tab w:val="center" w:pos="7938"/>
        </w:tabs>
      </w:pPr>
    </w:p>
    <w:p w14:paraId="734F016C" w14:textId="77777777" w:rsidR="00997F9B" w:rsidRDefault="00997F9B" w:rsidP="00E44460">
      <w:pPr>
        <w:keepNext/>
        <w:keepLines/>
        <w:tabs>
          <w:tab w:val="center" w:pos="4820"/>
          <w:tab w:val="center" w:pos="7938"/>
        </w:tabs>
      </w:pPr>
    </w:p>
    <w:p w14:paraId="5FE59C83" w14:textId="77777777" w:rsidR="005B75EB" w:rsidRPr="00820872" w:rsidRDefault="005B75EB" w:rsidP="005B75EB">
      <w:pPr>
        <w:rPr>
          <w:sz w:val="16"/>
          <w:szCs w:val="16"/>
        </w:rPr>
      </w:pPr>
      <w:bookmarkStart w:id="8" w:name="_Hlk25570604"/>
      <w:r w:rsidRPr="00820872">
        <w:rPr>
          <w:sz w:val="16"/>
          <w:szCs w:val="16"/>
          <w:vertAlign w:val="superscript"/>
        </w:rPr>
        <w:t xml:space="preserve">+ </w:t>
      </w:r>
      <w:r w:rsidRPr="00820872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06B234EB" w14:textId="77777777" w:rsidR="005B75EB" w:rsidRPr="00820872" w:rsidRDefault="005B75EB" w:rsidP="005B75EB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820872">
        <w:rPr>
          <w:sz w:val="16"/>
          <w:szCs w:val="16"/>
          <w:vertAlign w:val="superscript"/>
        </w:rPr>
        <w:t>++</w:t>
      </w:r>
      <w:r w:rsidRPr="00820872">
        <w:rPr>
          <w:sz w:val="16"/>
          <w:szCs w:val="16"/>
        </w:rPr>
        <w:tab/>
        <w:t xml:space="preserve">a) </w:t>
      </w:r>
      <w:r w:rsidRPr="00820872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7DA4E15A" w14:textId="77777777" w:rsidR="005B75EB" w:rsidRPr="00820872" w:rsidRDefault="005B75EB" w:rsidP="005B75EB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820872">
        <w:rPr>
          <w:sz w:val="16"/>
          <w:szCs w:val="16"/>
        </w:rPr>
        <w:tab/>
        <w:t xml:space="preserve">b) </w:t>
      </w:r>
      <w:r w:rsidRPr="00820872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</w:t>
      </w:r>
      <w:r>
        <w:rPr>
          <w:sz w:val="16"/>
          <w:szCs w:val="16"/>
        </w:rPr>
        <w:t>,</w:t>
      </w:r>
      <w:r w:rsidRPr="00820872">
        <w:rPr>
          <w:sz w:val="16"/>
          <w:szCs w:val="16"/>
        </w:rPr>
        <w:t xml:space="preserve">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bookmarkEnd w:id="8"/>
    <w:p w14:paraId="39662C90" w14:textId="77777777" w:rsidR="005B75EB" w:rsidRDefault="005B75EB" w:rsidP="005B75EB"/>
    <w:p w14:paraId="1FC85553" w14:textId="77777777" w:rsidR="005B75EB" w:rsidRDefault="005B75EB" w:rsidP="005B75EB"/>
    <w:p w14:paraId="637E0FCA" w14:textId="77777777" w:rsidR="005B75EB" w:rsidRDefault="005B75EB" w:rsidP="005B75EB"/>
    <w:p w14:paraId="685F4860" w14:textId="2DE6B5BE" w:rsidR="00B56EE3" w:rsidRPr="00FA4C01" w:rsidRDefault="005B75EB" w:rsidP="00A52E5E">
      <w:r>
        <w:t>Dodatek</w:t>
      </w:r>
      <w:r w:rsidRPr="00A526D0">
        <w:t xml:space="preserve"> vypracoval: </w:t>
      </w:r>
      <w:r w:rsidR="002F5A90">
        <w:t>XXXXXXXXXXXXXX</w:t>
      </w:r>
      <w:r>
        <w:t>.</w:t>
      </w:r>
    </w:p>
    <w:sectPr w:rsidR="00B56EE3" w:rsidRPr="00FA4C01" w:rsidSect="00EE4480">
      <w:footerReference w:type="default" r:id="rId11"/>
      <w:pgSz w:w="11906" w:h="16838" w:code="9"/>
      <w:pgMar w:top="851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2795" w14:textId="77777777" w:rsidR="00823BED" w:rsidRDefault="00823BED" w:rsidP="00FF471C">
      <w:r>
        <w:separator/>
      </w:r>
    </w:p>
  </w:endnote>
  <w:endnote w:type="continuationSeparator" w:id="0">
    <w:p w14:paraId="6D2E5D59" w14:textId="77777777" w:rsidR="00823BED" w:rsidRDefault="00823BED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1006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7C814C0" w14:textId="77777777" w:rsidR="00187DBF" w:rsidRPr="00877EFF" w:rsidRDefault="00187DBF">
        <w:pPr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877EF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677B" w14:textId="77777777" w:rsidR="00823BED" w:rsidRDefault="00823BED" w:rsidP="00FF471C">
      <w:r>
        <w:separator/>
      </w:r>
    </w:p>
  </w:footnote>
  <w:footnote w:type="continuationSeparator" w:id="0">
    <w:p w14:paraId="75A54567" w14:textId="77777777" w:rsidR="00823BED" w:rsidRDefault="00823BED" w:rsidP="00FF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44930"/>
    <w:multiLevelType w:val="multilevel"/>
    <w:tmpl w:val="72A6B1A4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3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CA91876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6FA5B12"/>
    <w:multiLevelType w:val="multilevel"/>
    <w:tmpl w:val="19AE8378"/>
    <w:lvl w:ilvl="0">
      <w:start w:val="2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67B54ED4"/>
    <w:multiLevelType w:val="multilevel"/>
    <w:tmpl w:val="CFE2CCC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30644871">
    <w:abstractNumId w:val="6"/>
  </w:num>
  <w:num w:numId="2" w16cid:durableId="246817175">
    <w:abstractNumId w:val="22"/>
  </w:num>
  <w:num w:numId="3" w16cid:durableId="609317687">
    <w:abstractNumId w:val="8"/>
  </w:num>
  <w:num w:numId="4" w16cid:durableId="634218389">
    <w:abstractNumId w:val="10"/>
  </w:num>
  <w:num w:numId="5" w16cid:durableId="1776363802">
    <w:abstractNumId w:val="7"/>
  </w:num>
  <w:num w:numId="6" w16cid:durableId="924648880">
    <w:abstractNumId w:val="20"/>
  </w:num>
  <w:num w:numId="7" w16cid:durableId="1891458420">
    <w:abstractNumId w:val="3"/>
  </w:num>
  <w:num w:numId="8" w16cid:durableId="1939097918">
    <w:abstractNumId w:val="3"/>
  </w:num>
  <w:num w:numId="9" w16cid:durableId="2073497803">
    <w:abstractNumId w:val="3"/>
  </w:num>
  <w:num w:numId="10" w16cid:durableId="820654933">
    <w:abstractNumId w:val="0"/>
  </w:num>
  <w:num w:numId="11" w16cid:durableId="295067741">
    <w:abstractNumId w:val="11"/>
  </w:num>
  <w:num w:numId="12" w16cid:durableId="628585289">
    <w:abstractNumId w:val="24"/>
  </w:num>
  <w:num w:numId="13" w16cid:durableId="1825123765">
    <w:abstractNumId w:val="9"/>
  </w:num>
  <w:num w:numId="14" w16cid:durableId="1885216975">
    <w:abstractNumId w:val="23"/>
  </w:num>
  <w:num w:numId="15" w16cid:durableId="1672487157">
    <w:abstractNumId w:val="1"/>
  </w:num>
  <w:num w:numId="16" w16cid:durableId="2003388722">
    <w:abstractNumId w:val="16"/>
  </w:num>
  <w:num w:numId="17" w16cid:durableId="474033666">
    <w:abstractNumId w:val="14"/>
  </w:num>
  <w:num w:numId="18" w16cid:durableId="1871915862">
    <w:abstractNumId w:val="19"/>
  </w:num>
  <w:num w:numId="19" w16cid:durableId="936517767">
    <w:abstractNumId w:val="12"/>
  </w:num>
  <w:num w:numId="20" w16cid:durableId="643463401">
    <w:abstractNumId w:val="13"/>
  </w:num>
  <w:num w:numId="21" w16cid:durableId="22101442">
    <w:abstractNumId w:val="4"/>
  </w:num>
  <w:num w:numId="22" w16cid:durableId="1051273457">
    <w:abstractNumId w:val="21"/>
  </w:num>
  <w:num w:numId="23" w16cid:durableId="279147400">
    <w:abstractNumId w:val="20"/>
  </w:num>
  <w:num w:numId="24" w16cid:durableId="35006235">
    <w:abstractNumId w:val="18"/>
  </w:num>
  <w:num w:numId="25" w16cid:durableId="65687378">
    <w:abstractNumId w:val="2"/>
  </w:num>
  <w:num w:numId="26" w16cid:durableId="1889797534">
    <w:abstractNumId w:val="15"/>
  </w:num>
  <w:num w:numId="27" w16cid:durableId="315688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6756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1155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1677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2091587">
    <w:abstractNumId w:val="17"/>
  </w:num>
  <w:num w:numId="32" w16cid:durableId="16561094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AA8"/>
    <w:rsid w:val="00007CE7"/>
    <w:rsid w:val="000102A1"/>
    <w:rsid w:val="00012E40"/>
    <w:rsid w:val="0001462A"/>
    <w:rsid w:val="00021065"/>
    <w:rsid w:val="0002396D"/>
    <w:rsid w:val="00024476"/>
    <w:rsid w:val="00027165"/>
    <w:rsid w:val="00034F4A"/>
    <w:rsid w:val="000400E7"/>
    <w:rsid w:val="00044839"/>
    <w:rsid w:val="000449B4"/>
    <w:rsid w:val="000476E6"/>
    <w:rsid w:val="000505F9"/>
    <w:rsid w:val="00050F2F"/>
    <w:rsid w:val="000512D2"/>
    <w:rsid w:val="00053062"/>
    <w:rsid w:val="00056819"/>
    <w:rsid w:val="000621BC"/>
    <w:rsid w:val="00066D92"/>
    <w:rsid w:val="00070CE3"/>
    <w:rsid w:val="000723D1"/>
    <w:rsid w:val="0007248A"/>
    <w:rsid w:val="00073CF2"/>
    <w:rsid w:val="00080CF5"/>
    <w:rsid w:val="00080F9C"/>
    <w:rsid w:val="00081196"/>
    <w:rsid w:val="000824F1"/>
    <w:rsid w:val="00087A45"/>
    <w:rsid w:val="00090CCF"/>
    <w:rsid w:val="00093452"/>
    <w:rsid w:val="00096C8B"/>
    <w:rsid w:val="00097838"/>
    <w:rsid w:val="000A0408"/>
    <w:rsid w:val="000A1571"/>
    <w:rsid w:val="000A331D"/>
    <w:rsid w:val="000A356B"/>
    <w:rsid w:val="000A4067"/>
    <w:rsid w:val="000A73AE"/>
    <w:rsid w:val="000B2358"/>
    <w:rsid w:val="000C7550"/>
    <w:rsid w:val="000D0067"/>
    <w:rsid w:val="000D0856"/>
    <w:rsid w:val="000D2A28"/>
    <w:rsid w:val="000D356B"/>
    <w:rsid w:val="000E275C"/>
    <w:rsid w:val="000E76A7"/>
    <w:rsid w:val="000F3A50"/>
    <w:rsid w:val="000F650D"/>
    <w:rsid w:val="000F6EB3"/>
    <w:rsid w:val="00107106"/>
    <w:rsid w:val="0011033A"/>
    <w:rsid w:val="001160C6"/>
    <w:rsid w:val="00117B8C"/>
    <w:rsid w:val="00122398"/>
    <w:rsid w:val="00123431"/>
    <w:rsid w:val="00133663"/>
    <w:rsid w:val="00135CAC"/>
    <w:rsid w:val="00137E22"/>
    <w:rsid w:val="00142897"/>
    <w:rsid w:val="00142CDD"/>
    <w:rsid w:val="00150363"/>
    <w:rsid w:val="00150396"/>
    <w:rsid w:val="001525CA"/>
    <w:rsid w:val="00156F32"/>
    <w:rsid w:val="001600C3"/>
    <w:rsid w:val="00162CA8"/>
    <w:rsid w:val="001743E5"/>
    <w:rsid w:val="00176752"/>
    <w:rsid w:val="0018046F"/>
    <w:rsid w:val="001829F0"/>
    <w:rsid w:val="00183C97"/>
    <w:rsid w:val="00184E09"/>
    <w:rsid w:val="0018519D"/>
    <w:rsid w:val="00186B3D"/>
    <w:rsid w:val="00187DBF"/>
    <w:rsid w:val="001922CC"/>
    <w:rsid w:val="00193697"/>
    <w:rsid w:val="00197ACC"/>
    <w:rsid w:val="001A4D06"/>
    <w:rsid w:val="001B0445"/>
    <w:rsid w:val="001B170A"/>
    <w:rsid w:val="001B5BA6"/>
    <w:rsid w:val="001B6506"/>
    <w:rsid w:val="001C2AD6"/>
    <w:rsid w:val="001C517F"/>
    <w:rsid w:val="001C5FA7"/>
    <w:rsid w:val="001D5138"/>
    <w:rsid w:val="001D5B57"/>
    <w:rsid w:val="001D77E1"/>
    <w:rsid w:val="001E49AE"/>
    <w:rsid w:val="001E677C"/>
    <w:rsid w:val="001F1439"/>
    <w:rsid w:val="001F203B"/>
    <w:rsid w:val="001F2AA2"/>
    <w:rsid w:val="001F64D0"/>
    <w:rsid w:val="001F7BD6"/>
    <w:rsid w:val="00204E38"/>
    <w:rsid w:val="00207198"/>
    <w:rsid w:val="002155DD"/>
    <w:rsid w:val="00220894"/>
    <w:rsid w:val="002247BA"/>
    <w:rsid w:val="002267E8"/>
    <w:rsid w:val="0023314D"/>
    <w:rsid w:val="0023465B"/>
    <w:rsid w:val="002361D4"/>
    <w:rsid w:val="0024045C"/>
    <w:rsid w:val="00240BAE"/>
    <w:rsid w:val="00241E46"/>
    <w:rsid w:val="00242077"/>
    <w:rsid w:val="0024467F"/>
    <w:rsid w:val="002465EE"/>
    <w:rsid w:val="002509ED"/>
    <w:rsid w:val="00252018"/>
    <w:rsid w:val="00254175"/>
    <w:rsid w:val="00255904"/>
    <w:rsid w:val="00257CE5"/>
    <w:rsid w:val="00261068"/>
    <w:rsid w:val="00266CD5"/>
    <w:rsid w:val="002670F5"/>
    <w:rsid w:val="0027036F"/>
    <w:rsid w:val="00277386"/>
    <w:rsid w:val="00280823"/>
    <w:rsid w:val="00286CD2"/>
    <w:rsid w:val="00286FD4"/>
    <w:rsid w:val="00287F7C"/>
    <w:rsid w:val="00292218"/>
    <w:rsid w:val="002928E0"/>
    <w:rsid w:val="00292C60"/>
    <w:rsid w:val="00294807"/>
    <w:rsid w:val="00294BD2"/>
    <w:rsid w:val="002A12A2"/>
    <w:rsid w:val="002A47C0"/>
    <w:rsid w:val="002A5EDC"/>
    <w:rsid w:val="002B4055"/>
    <w:rsid w:val="002B4072"/>
    <w:rsid w:val="002B4C78"/>
    <w:rsid w:val="002B5044"/>
    <w:rsid w:val="002C68D2"/>
    <w:rsid w:val="002C7D2F"/>
    <w:rsid w:val="002D2C34"/>
    <w:rsid w:val="002D6EF7"/>
    <w:rsid w:val="002E08AC"/>
    <w:rsid w:val="002E6859"/>
    <w:rsid w:val="002E6A02"/>
    <w:rsid w:val="002E752C"/>
    <w:rsid w:val="002F2C04"/>
    <w:rsid w:val="002F39FA"/>
    <w:rsid w:val="002F5A90"/>
    <w:rsid w:val="002F668C"/>
    <w:rsid w:val="0030285D"/>
    <w:rsid w:val="00304A0D"/>
    <w:rsid w:val="003054D6"/>
    <w:rsid w:val="0030644A"/>
    <w:rsid w:val="003070A4"/>
    <w:rsid w:val="00313AA3"/>
    <w:rsid w:val="00314AC7"/>
    <w:rsid w:val="00317486"/>
    <w:rsid w:val="003206F6"/>
    <w:rsid w:val="00321238"/>
    <w:rsid w:val="003213ED"/>
    <w:rsid w:val="0032643A"/>
    <w:rsid w:val="003269E6"/>
    <w:rsid w:val="003302A4"/>
    <w:rsid w:val="00330BA5"/>
    <w:rsid w:val="0033271D"/>
    <w:rsid w:val="00336F1D"/>
    <w:rsid w:val="003379DB"/>
    <w:rsid w:val="00340CD6"/>
    <w:rsid w:val="00341375"/>
    <w:rsid w:val="003422EA"/>
    <w:rsid w:val="00342C5D"/>
    <w:rsid w:val="003469C7"/>
    <w:rsid w:val="00346AB2"/>
    <w:rsid w:val="00354B2A"/>
    <w:rsid w:val="00356523"/>
    <w:rsid w:val="0035773C"/>
    <w:rsid w:val="00363BDC"/>
    <w:rsid w:val="00371F82"/>
    <w:rsid w:val="00372F20"/>
    <w:rsid w:val="00373160"/>
    <w:rsid w:val="00373B1B"/>
    <w:rsid w:val="00375986"/>
    <w:rsid w:val="003808EA"/>
    <w:rsid w:val="00384844"/>
    <w:rsid w:val="00390618"/>
    <w:rsid w:val="003925B1"/>
    <w:rsid w:val="003933D3"/>
    <w:rsid w:val="00393FE0"/>
    <w:rsid w:val="003946BC"/>
    <w:rsid w:val="00394D0C"/>
    <w:rsid w:val="00395194"/>
    <w:rsid w:val="00397257"/>
    <w:rsid w:val="0039750A"/>
    <w:rsid w:val="00397F8A"/>
    <w:rsid w:val="003A53B3"/>
    <w:rsid w:val="003A680A"/>
    <w:rsid w:val="003B0339"/>
    <w:rsid w:val="003B0B1C"/>
    <w:rsid w:val="003B7E71"/>
    <w:rsid w:val="003C0442"/>
    <w:rsid w:val="003C4C9E"/>
    <w:rsid w:val="003D1AF4"/>
    <w:rsid w:val="003E0CF5"/>
    <w:rsid w:val="003E21B8"/>
    <w:rsid w:val="003E5536"/>
    <w:rsid w:val="003E690F"/>
    <w:rsid w:val="003E7EB8"/>
    <w:rsid w:val="003F4AF7"/>
    <w:rsid w:val="003F4EE7"/>
    <w:rsid w:val="003F4F55"/>
    <w:rsid w:val="004070ED"/>
    <w:rsid w:val="00412BD5"/>
    <w:rsid w:val="00413E27"/>
    <w:rsid w:val="0041475F"/>
    <w:rsid w:val="00414B37"/>
    <w:rsid w:val="0042273C"/>
    <w:rsid w:val="00423DEC"/>
    <w:rsid w:val="00425151"/>
    <w:rsid w:val="00425AA6"/>
    <w:rsid w:val="00425C61"/>
    <w:rsid w:val="00426193"/>
    <w:rsid w:val="004277BA"/>
    <w:rsid w:val="00432258"/>
    <w:rsid w:val="0043372E"/>
    <w:rsid w:val="00437825"/>
    <w:rsid w:val="00445D99"/>
    <w:rsid w:val="00452245"/>
    <w:rsid w:val="00455EEE"/>
    <w:rsid w:val="00456A83"/>
    <w:rsid w:val="0045746A"/>
    <w:rsid w:val="004618B2"/>
    <w:rsid w:val="00464D1B"/>
    <w:rsid w:val="004658D7"/>
    <w:rsid w:val="00473347"/>
    <w:rsid w:val="00473878"/>
    <w:rsid w:val="004764A8"/>
    <w:rsid w:val="004768DA"/>
    <w:rsid w:val="00476C08"/>
    <w:rsid w:val="00480093"/>
    <w:rsid w:val="0048024C"/>
    <w:rsid w:val="004822F6"/>
    <w:rsid w:val="0048272F"/>
    <w:rsid w:val="0048398D"/>
    <w:rsid w:val="00486022"/>
    <w:rsid w:val="00486095"/>
    <w:rsid w:val="00487214"/>
    <w:rsid w:val="004903F5"/>
    <w:rsid w:val="00491ABD"/>
    <w:rsid w:val="004944B7"/>
    <w:rsid w:val="00496C95"/>
    <w:rsid w:val="004A10B2"/>
    <w:rsid w:val="004A223A"/>
    <w:rsid w:val="004A2932"/>
    <w:rsid w:val="004B2794"/>
    <w:rsid w:val="004B34C1"/>
    <w:rsid w:val="004B4DC7"/>
    <w:rsid w:val="004B647F"/>
    <w:rsid w:val="004B6F18"/>
    <w:rsid w:val="004C2F9D"/>
    <w:rsid w:val="004D2453"/>
    <w:rsid w:val="004D42D7"/>
    <w:rsid w:val="004D7CDC"/>
    <w:rsid w:val="004E1E96"/>
    <w:rsid w:val="004E3494"/>
    <w:rsid w:val="004E5F14"/>
    <w:rsid w:val="004F0F51"/>
    <w:rsid w:val="004F17EE"/>
    <w:rsid w:val="004F1E5C"/>
    <w:rsid w:val="004F5229"/>
    <w:rsid w:val="004F65D7"/>
    <w:rsid w:val="00511C6E"/>
    <w:rsid w:val="005141DD"/>
    <w:rsid w:val="00516565"/>
    <w:rsid w:val="00516CBC"/>
    <w:rsid w:val="00521E2A"/>
    <w:rsid w:val="00521E53"/>
    <w:rsid w:val="005224DE"/>
    <w:rsid w:val="00524C3B"/>
    <w:rsid w:val="00525B6B"/>
    <w:rsid w:val="00526B2A"/>
    <w:rsid w:val="00526BD3"/>
    <w:rsid w:val="00541E4F"/>
    <w:rsid w:val="00542989"/>
    <w:rsid w:val="00542FE9"/>
    <w:rsid w:val="00544D81"/>
    <w:rsid w:val="00553287"/>
    <w:rsid w:val="005547AD"/>
    <w:rsid w:val="0055766F"/>
    <w:rsid w:val="00561D4F"/>
    <w:rsid w:val="00562759"/>
    <w:rsid w:val="00564B1C"/>
    <w:rsid w:val="00566FAD"/>
    <w:rsid w:val="005721C6"/>
    <w:rsid w:val="005766B3"/>
    <w:rsid w:val="0057758A"/>
    <w:rsid w:val="00577730"/>
    <w:rsid w:val="0058331E"/>
    <w:rsid w:val="0058502E"/>
    <w:rsid w:val="0058517B"/>
    <w:rsid w:val="0058612C"/>
    <w:rsid w:val="0059142D"/>
    <w:rsid w:val="00593105"/>
    <w:rsid w:val="005A6FD4"/>
    <w:rsid w:val="005B15BF"/>
    <w:rsid w:val="005B16A3"/>
    <w:rsid w:val="005B4B6A"/>
    <w:rsid w:val="005B61DF"/>
    <w:rsid w:val="005B75EB"/>
    <w:rsid w:val="005C000C"/>
    <w:rsid w:val="005C42B5"/>
    <w:rsid w:val="005C6173"/>
    <w:rsid w:val="005C705E"/>
    <w:rsid w:val="005D05B5"/>
    <w:rsid w:val="005E0C81"/>
    <w:rsid w:val="005E6D93"/>
    <w:rsid w:val="005E7E9D"/>
    <w:rsid w:val="005F05A3"/>
    <w:rsid w:val="005F3154"/>
    <w:rsid w:val="006019F9"/>
    <w:rsid w:val="00602109"/>
    <w:rsid w:val="00602EA4"/>
    <w:rsid w:val="0061251D"/>
    <w:rsid w:val="00616482"/>
    <w:rsid w:val="00623450"/>
    <w:rsid w:val="00623E58"/>
    <w:rsid w:val="00625BB9"/>
    <w:rsid w:val="00631371"/>
    <w:rsid w:val="0063247E"/>
    <w:rsid w:val="006352F6"/>
    <w:rsid w:val="006367EA"/>
    <w:rsid w:val="00640A89"/>
    <w:rsid w:val="00640B01"/>
    <w:rsid w:val="00640E6B"/>
    <w:rsid w:val="00642331"/>
    <w:rsid w:val="00644033"/>
    <w:rsid w:val="00644240"/>
    <w:rsid w:val="006443B3"/>
    <w:rsid w:val="00645FBD"/>
    <w:rsid w:val="00647D3A"/>
    <w:rsid w:val="00653A02"/>
    <w:rsid w:val="006543D2"/>
    <w:rsid w:val="006600BE"/>
    <w:rsid w:val="006654E1"/>
    <w:rsid w:val="006718E4"/>
    <w:rsid w:val="00672E74"/>
    <w:rsid w:val="00673713"/>
    <w:rsid w:val="00674013"/>
    <w:rsid w:val="006750F4"/>
    <w:rsid w:val="00681118"/>
    <w:rsid w:val="006817A0"/>
    <w:rsid w:val="0068566E"/>
    <w:rsid w:val="0069207B"/>
    <w:rsid w:val="00694E7B"/>
    <w:rsid w:val="006957C3"/>
    <w:rsid w:val="00695BCE"/>
    <w:rsid w:val="00697228"/>
    <w:rsid w:val="006A027D"/>
    <w:rsid w:val="006A0307"/>
    <w:rsid w:val="006A0EE7"/>
    <w:rsid w:val="006A1784"/>
    <w:rsid w:val="006A3D39"/>
    <w:rsid w:val="006A531B"/>
    <w:rsid w:val="006A6A31"/>
    <w:rsid w:val="006B2B60"/>
    <w:rsid w:val="006B453D"/>
    <w:rsid w:val="006B487D"/>
    <w:rsid w:val="006B5B39"/>
    <w:rsid w:val="006B76AC"/>
    <w:rsid w:val="006C3A0A"/>
    <w:rsid w:val="006D184E"/>
    <w:rsid w:val="006D38BA"/>
    <w:rsid w:val="006D3D06"/>
    <w:rsid w:val="006D70FC"/>
    <w:rsid w:val="006E12DD"/>
    <w:rsid w:val="006E3285"/>
    <w:rsid w:val="006E5684"/>
    <w:rsid w:val="006F4DE0"/>
    <w:rsid w:val="007075E3"/>
    <w:rsid w:val="00707D40"/>
    <w:rsid w:val="00711945"/>
    <w:rsid w:val="00716133"/>
    <w:rsid w:val="007222D4"/>
    <w:rsid w:val="0072347C"/>
    <w:rsid w:val="0072670D"/>
    <w:rsid w:val="007270A8"/>
    <w:rsid w:val="007275AB"/>
    <w:rsid w:val="00730F70"/>
    <w:rsid w:val="0073198C"/>
    <w:rsid w:val="007322C2"/>
    <w:rsid w:val="0073684F"/>
    <w:rsid w:val="007406C4"/>
    <w:rsid w:val="00741785"/>
    <w:rsid w:val="00741B81"/>
    <w:rsid w:val="00743294"/>
    <w:rsid w:val="00746BC8"/>
    <w:rsid w:val="007519F9"/>
    <w:rsid w:val="00757668"/>
    <w:rsid w:val="00760ECF"/>
    <w:rsid w:val="00765000"/>
    <w:rsid w:val="00770DEA"/>
    <w:rsid w:val="0077245E"/>
    <w:rsid w:val="00772B67"/>
    <w:rsid w:val="00773E80"/>
    <w:rsid w:val="00775B6B"/>
    <w:rsid w:val="0077726A"/>
    <w:rsid w:val="00781027"/>
    <w:rsid w:val="00782181"/>
    <w:rsid w:val="0078221D"/>
    <w:rsid w:val="00784137"/>
    <w:rsid w:val="00784929"/>
    <w:rsid w:val="00784C22"/>
    <w:rsid w:val="007861A3"/>
    <w:rsid w:val="00792235"/>
    <w:rsid w:val="0079400A"/>
    <w:rsid w:val="0079543C"/>
    <w:rsid w:val="007A31B8"/>
    <w:rsid w:val="007A5F49"/>
    <w:rsid w:val="007A7F2C"/>
    <w:rsid w:val="007B5782"/>
    <w:rsid w:val="007B6250"/>
    <w:rsid w:val="007C3694"/>
    <w:rsid w:val="007C4D5B"/>
    <w:rsid w:val="007C4E93"/>
    <w:rsid w:val="007C5878"/>
    <w:rsid w:val="007C5FF2"/>
    <w:rsid w:val="007D136B"/>
    <w:rsid w:val="007D1CB0"/>
    <w:rsid w:val="007D2D28"/>
    <w:rsid w:val="007D2F20"/>
    <w:rsid w:val="007E0E36"/>
    <w:rsid w:val="007E1885"/>
    <w:rsid w:val="007E40DB"/>
    <w:rsid w:val="007E5C50"/>
    <w:rsid w:val="007E6334"/>
    <w:rsid w:val="007F59DD"/>
    <w:rsid w:val="007F6574"/>
    <w:rsid w:val="00800634"/>
    <w:rsid w:val="00800BE6"/>
    <w:rsid w:val="00801660"/>
    <w:rsid w:val="0080197B"/>
    <w:rsid w:val="00805069"/>
    <w:rsid w:val="008066EF"/>
    <w:rsid w:val="00807DB0"/>
    <w:rsid w:val="00807FF2"/>
    <w:rsid w:val="00810428"/>
    <w:rsid w:val="00810BC5"/>
    <w:rsid w:val="008119AB"/>
    <w:rsid w:val="00812950"/>
    <w:rsid w:val="00820AB4"/>
    <w:rsid w:val="00820BEE"/>
    <w:rsid w:val="00822B14"/>
    <w:rsid w:val="00823BED"/>
    <w:rsid w:val="0082496F"/>
    <w:rsid w:val="00831A1C"/>
    <w:rsid w:val="00832DDD"/>
    <w:rsid w:val="00834CC8"/>
    <w:rsid w:val="0083612F"/>
    <w:rsid w:val="0083635A"/>
    <w:rsid w:val="00837343"/>
    <w:rsid w:val="0084175D"/>
    <w:rsid w:val="0084603E"/>
    <w:rsid w:val="00852EA0"/>
    <w:rsid w:val="00861AAB"/>
    <w:rsid w:val="00862700"/>
    <w:rsid w:val="0087035A"/>
    <w:rsid w:val="00873C2F"/>
    <w:rsid w:val="0087405A"/>
    <w:rsid w:val="00877414"/>
    <w:rsid w:val="008838CD"/>
    <w:rsid w:val="00886F29"/>
    <w:rsid w:val="00890ED9"/>
    <w:rsid w:val="00891EE8"/>
    <w:rsid w:val="008A0424"/>
    <w:rsid w:val="008A33FB"/>
    <w:rsid w:val="008A3C83"/>
    <w:rsid w:val="008A69D9"/>
    <w:rsid w:val="008B3DBA"/>
    <w:rsid w:val="008B503B"/>
    <w:rsid w:val="008B5DA2"/>
    <w:rsid w:val="008B7028"/>
    <w:rsid w:val="008C004D"/>
    <w:rsid w:val="008C1DD9"/>
    <w:rsid w:val="008C2074"/>
    <w:rsid w:val="008C2488"/>
    <w:rsid w:val="008C34A6"/>
    <w:rsid w:val="008C691C"/>
    <w:rsid w:val="008C76D7"/>
    <w:rsid w:val="008D0416"/>
    <w:rsid w:val="008D1245"/>
    <w:rsid w:val="008D4BCE"/>
    <w:rsid w:val="008E08CB"/>
    <w:rsid w:val="008E0983"/>
    <w:rsid w:val="008E402D"/>
    <w:rsid w:val="008E5597"/>
    <w:rsid w:val="008E6B63"/>
    <w:rsid w:val="008F010C"/>
    <w:rsid w:val="008F367B"/>
    <w:rsid w:val="008F5003"/>
    <w:rsid w:val="008F5A8E"/>
    <w:rsid w:val="008F5AF9"/>
    <w:rsid w:val="008F602E"/>
    <w:rsid w:val="008F77D1"/>
    <w:rsid w:val="00902081"/>
    <w:rsid w:val="00904AEB"/>
    <w:rsid w:val="00910D56"/>
    <w:rsid w:val="00912A6C"/>
    <w:rsid w:val="00912A8F"/>
    <w:rsid w:val="00914AAF"/>
    <w:rsid w:val="00914BEE"/>
    <w:rsid w:val="00916676"/>
    <w:rsid w:val="00920622"/>
    <w:rsid w:val="00923C73"/>
    <w:rsid w:val="00925605"/>
    <w:rsid w:val="009276E7"/>
    <w:rsid w:val="00927C7B"/>
    <w:rsid w:val="00933185"/>
    <w:rsid w:val="00933BEB"/>
    <w:rsid w:val="00933DF1"/>
    <w:rsid w:val="00936528"/>
    <w:rsid w:val="009412F4"/>
    <w:rsid w:val="0094214D"/>
    <w:rsid w:val="009421A5"/>
    <w:rsid w:val="00942639"/>
    <w:rsid w:val="0094395E"/>
    <w:rsid w:val="009456FC"/>
    <w:rsid w:val="009470A2"/>
    <w:rsid w:val="009478E4"/>
    <w:rsid w:val="009501FE"/>
    <w:rsid w:val="0095132D"/>
    <w:rsid w:val="00951F46"/>
    <w:rsid w:val="009536AE"/>
    <w:rsid w:val="0095418B"/>
    <w:rsid w:val="009544C3"/>
    <w:rsid w:val="00954790"/>
    <w:rsid w:val="00964AA3"/>
    <w:rsid w:val="00966E2E"/>
    <w:rsid w:val="009675D3"/>
    <w:rsid w:val="00973A10"/>
    <w:rsid w:val="0097637E"/>
    <w:rsid w:val="00981556"/>
    <w:rsid w:val="009837B9"/>
    <w:rsid w:val="00986BE3"/>
    <w:rsid w:val="00986E73"/>
    <w:rsid w:val="00990BBF"/>
    <w:rsid w:val="00992622"/>
    <w:rsid w:val="009934B1"/>
    <w:rsid w:val="009961E5"/>
    <w:rsid w:val="0099627C"/>
    <w:rsid w:val="009966F7"/>
    <w:rsid w:val="00997384"/>
    <w:rsid w:val="00997F9B"/>
    <w:rsid w:val="009A38EA"/>
    <w:rsid w:val="009A680F"/>
    <w:rsid w:val="009B22B4"/>
    <w:rsid w:val="009B62FE"/>
    <w:rsid w:val="009B710D"/>
    <w:rsid w:val="009C0F40"/>
    <w:rsid w:val="009C1685"/>
    <w:rsid w:val="009C27D7"/>
    <w:rsid w:val="009D07E4"/>
    <w:rsid w:val="009D3FA8"/>
    <w:rsid w:val="009D5D81"/>
    <w:rsid w:val="009E3A15"/>
    <w:rsid w:val="009E4D9D"/>
    <w:rsid w:val="009F44E5"/>
    <w:rsid w:val="009F5BAA"/>
    <w:rsid w:val="009F7805"/>
    <w:rsid w:val="00A04EC1"/>
    <w:rsid w:val="00A06F56"/>
    <w:rsid w:val="00A1079E"/>
    <w:rsid w:val="00A10E3D"/>
    <w:rsid w:val="00A10FA1"/>
    <w:rsid w:val="00A13C43"/>
    <w:rsid w:val="00A1451B"/>
    <w:rsid w:val="00A16DEA"/>
    <w:rsid w:val="00A1790F"/>
    <w:rsid w:val="00A32127"/>
    <w:rsid w:val="00A42967"/>
    <w:rsid w:val="00A43A5B"/>
    <w:rsid w:val="00A50107"/>
    <w:rsid w:val="00A52132"/>
    <w:rsid w:val="00A52E5E"/>
    <w:rsid w:val="00A55AB8"/>
    <w:rsid w:val="00A55ED9"/>
    <w:rsid w:val="00A654E4"/>
    <w:rsid w:val="00A6720E"/>
    <w:rsid w:val="00A705B4"/>
    <w:rsid w:val="00A7212E"/>
    <w:rsid w:val="00A73413"/>
    <w:rsid w:val="00A74A52"/>
    <w:rsid w:val="00A74E6A"/>
    <w:rsid w:val="00A75690"/>
    <w:rsid w:val="00A779BE"/>
    <w:rsid w:val="00A90139"/>
    <w:rsid w:val="00A9134D"/>
    <w:rsid w:val="00A9650D"/>
    <w:rsid w:val="00AA3167"/>
    <w:rsid w:val="00AA3257"/>
    <w:rsid w:val="00AB10E8"/>
    <w:rsid w:val="00AB1243"/>
    <w:rsid w:val="00AB16D0"/>
    <w:rsid w:val="00AC049C"/>
    <w:rsid w:val="00AD4954"/>
    <w:rsid w:val="00AE4398"/>
    <w:rsid w:val="00AE5C9F"/>
    <w:rsid w:val="00AE6306"/>
    <w:rsid w:val="00AE636C"/>
    <w:rsid w:val="00AE6E36"/>
    <w:rsid w:val="00AE7B11"/>
    <w:rsid w:val="00AF214B"/>
    <w:rsid w:val="00AF5EDE"/>
    <w:rsid w:val="00AF6720"/>
    <w:rsid w:val="00B009A9"/>
    <w:rsid w:val="00B01403"/>
    <w:rsid w:val="00B03EBF"/>
    <w:rsid w:val="00B05CAC"/>
    <w:rsid w:val="00B0677C"/>
    <w:rsid w:val="00B1159D"/>
    <w:rsid w:val="00B12B36"/>
    <w:rsid w:val="00B12D70"/>
    <w:rsid w:val="00B17E38"/>
    <w:rsid w:val="00B204C3"/>
    <w:rsid w:val="00B22504"/>
    <w:rsid w:val="00B24018"/>
    <w:rsid w:val="00B2622D"/>
    <w:rsid w:val="00B31BFF"/>
    <w:rsid w:val="00B328CB"/>
    <w:rsid w:val="00B3345F"/>
    <w:rsid w:val="00B358FC"/>
    <w:rsid w:val="00B42412"/>
    <w:rsid w:val="00B4421F"/>
    <w:rsid w:val="00B4735A"/>
    <w:rsid w:val="00B52D95"/>
    <w:rsid w:val="00B56EE3"/>
    <w:rsid w:val="00B5761C"/>
    <w:rsid w:val="00B60297"/>
    <w:rsid w:val="00B60CA9"/>
    <w:rsid w:val="00B60D74"/>
    <w:rsid w:val="00B60E4C"/>
    <w:rsid w:val="00B61638"/>
    <w:rsid w:val="00B7101A"/>
    <w:rsid w:val="00B760DA"/>
    <w:rsid w:val="00B77C7F"/>
    <w:rsid w:val="00B8288C"/>
    <w:rsid w:val="00B90BFD"/>
    <w:rsid w:val="00B90DE5"/>
    <w:rsid w:val="00BA06F5"/>
    <w:rsid w:val="00BA1DBC"/>
    <w:rsid w:val="00BA4D04"/>
    <w:rsid w:val="00BA7F07"/>
    <w:rsid w:val="00BB2025"/>
    <w:rsid w:val="00BB2A89"/>
    <w:rsid w:val="00BB6D8E"/>
    <w:rsid w:val="00BC0C92"/>
    <w:rsid w:val="00BC0FDF"/>
    <w:rsid w:val="00BC21B5"/>
    <w:rsid w:val="00BC3200"/>
    <w:rsid w:val="00BD06B5"/>
    <w:rsid w:val="00BD3B20"/>
    <w:rsid w:val="00BE429E"/>
    <w:rsid w:val="00BE4DE7"/>
    <w:rsid w:val="00BE7A66"/>
    <w:rsid w:val="00BF13C4"/>
    <w:rsid w:val="00BF599A"/>
    <w:rsid w:val="00BF6F71"/>
    <w:rsid w:val="00C001C3"/>
    <w:rsid w:val="00C05D95"/>
    <w:rsid w:val="00C0786E"/>
    <w:rsid w:val="00C125FC"/>
    <w:rsid w:val="00C158E8"/>
    <w:rsid w:val="00C20B38"/>
    <w:rsid w:val="00C2351F"/>
    <w:rsid w:val="00C23BA7"/>
    <w:rsid w:val="00C23DFF"/>
    <w:rsid w:val="00C258F8"/>
    <w:rsid w:val="00C30780"/>
    <w:rsid w:val="00C30CEC"/>
    <w:rsid w:val="00C3180A"/>
    <w:rsid w:val="00C31A42"/>
    <w:rsid w:val="00C32D4F"/>
    <w:rsid w:val="00C3616C"/>
    <w:rsid w:val="00C36CEC"/>
    <w:rsid w:val="00C40903"/>
    <w:rsid w:val="00C41DC0"/>
    <w:rsid w:val="00C44C03"/>
    <w:rsid w:val="00C44CAA"/>
    <w:rsid w:val="00C45ACC"/>
    <w:rsid w:val="00C4742F"/>
    <w:rsid w:val="00C51587"/>
    <w:rsid w:val="00C540C7"/>
    <w:rsid w:val="00C56735"/>
    <w:rsid w:val="00C57992"/>
    <w:rsid w:val="00C603E3"/>
    <w:rsid w:val="00C6100C"/>
    <w:rsid w:val="00C6174E"/>
    <w:rsid w:val="00C62E3B"/>
    <w:rsid w:val="00C71DE4"/>
    <w:rsid w:val="00C74C65"/>
    <w:rsid w:val="00C80978"/>
    <w:rsid w:val="00C81573"/>
    <w:rsid w:val="00C862EF"/>
    <w:rsid w:val="00C87335"/>
    <w:rsid w:val="00C93BDD"/>
    <w:rsid w:val="00C94D66"/>
    <w:rsid w:val="00C94DE2"/>
    <w:rsid w:val="00CA0F4E"/>
    <w:rsid w:val="00CA3B82"/>
    <w:rsid w:val="00CA4137"/>
    <w:rsid w:val="00CA634C"/>
    <w:rsid w:val="00CB0D2D"/>
    <w:rsid w:val="00CB1153"/>
    <w:rsid w:val="00CB4A53"/>
    <w:rsid w:val="00CB5FEE"/>
    <w:rsid w:val="00CC08FD"/>
    <w:rsid w:val="00CC0BDB"/>
    <w:rsid w:val="00CD1796"/>
    <w:rsid w:val="00CD5D6B"/>
    <w:rsid w:val="00CD6333"/>
    <w:rsid w:val="00CE07DF"/>
    <w:rsid w:val="00CE37C6"/>
    <w:rsid w:val="00CE58AF"/>
    <w:rsid w:val="00CE6510"/>
    <w:rsid w:val="00CF48C7"/>
    <w:rsid w:val="00D0308B"/>
    <w:rsid w:val="00D104A7"/>
    <w:rsid w:val="00D104CA"/>
    <w:rsid w:val="00D10C72"/>
    <w:rsid w:val="00D12012"/>
    <w:rsid w:val="00D145AD"/>
    <w:rsid w:val="00D1545F"/>
    <w:rsid w:val="00D16AB4"/>
    <w:rsid w:val="00D1768F"/>
    <w:rsid w:val="00D212AA"/>
    <w:rsid w:val="00D335D2"/>
    <w:rsid w:val="00D36F62"/>
    <w:rsid w:val="00D44DD5"/>
    <w:rsid w:val="00D457B6"/>
    <w:rsid w:val="00D51177"/>
    <w:rsid w:val="00D54E9A"/>
    <w:rsid w:val="00D6073C"/>
    <w:rsid w:val="00D65646"/>
    <w:rsid w:val="00D65982"/>
    <w:rsid w:val="00D6671A"/>
    <w:rsid w:val="00D67DFE"/>
    <w:rsid w:val="00D70E93"/>
    <w:rsid w:val="00D71CC8"/>
    <w:rsid w:val="00D734AB"/>
    <w:rsid w:val="00D73577"/>
    <w:rsid w:val="00D75784"/>
    <w:rsid w:val="00D77A4D"/>
    <w:rsid w:val="00D77D53"/>
    <w:rsid w:val="00D81D5D"/>
    <w:rsid w:val="00D82870"/>
    <w:rsid w:val="00D83013"/>
    <w:rsid w:val="00D86F9E"/>
    <w:rsid w:val="00D91B8A"/>
    <w:rsid w:val="00D92F11"/>
    <w:rsid w:val="00D94E2A"/>
    <w:rsid w:val="00D94E5E"/>
    <w:rsid w:val="00D96417"/>
    <w:rsid w:val="00DA183D"/>
    <w:rsid w:val="00DB0CAA"/>
    <w:rsid w:val="00DB239C"/>
    <w:rsid w:val="00DB29F1"/>
    <w:rsid w:val="00DB3B70"/>
    <w:rsid w:val="00DC1993"/>
    <w:rsid w:val="00DC698D"/>
    <w:rsid w:val="00DC72B8"/>
    <w:rsid w:val="00DC75AA"/>
    <w:rsid w:val="00DD0659"/>
    <w:rsid w:val="00DD1243"/>
    <w:rsid w:val="00DD55C5"/>
    <w:rsid w:val="00DD572C"/>
    <w:rsid w:val="00DD6D73"/>
    <w:rsid w:val="00DE3558"/>
    <w:rsid w:val="00DE63A7"/>
    <w:rsid w:val="00DF36B7"/>
    <w:rsid w:val="00DF62A5"/>
    <w:rsid w:val="00E03E08"/>
    <w:rsid w:val="00E079C8"/>
    <w:rsid w:val="00E11C51"/>
    <w:rsid w:val="00E12ECF"/>
    <w:rsid w:val="00E17861"/>
    <w:rsid w:val="00E234EB"/>
    <w:rsid w:val="00E300E2"/>
    <w:rsid w:val="00E35CD9"/>
    <w:rsid w:val="00E364FA"/>
    <w:rsid w:val="00E36EFE"/>
    <w:rsid w:val="00E3711F"/>
    <w:rsid w:val="00E37124"/>
    <w:rsid w:val="00E41460"/>
    <w:rsid w:val="00E41B52"/>
    <w:rsid w:val="00E41C14"/>
    <w:rsid w:val="00E41D35"/>
    <w:rsid w:val="00E44460"/>
    <w:rsid w:val="00E4729F"/>
    <w:rsid w:val="00E47688"/>
    <w:rsid w:val="00E479C9"/>
    <w:rsid w:val="00E53E3E"/>
    <w:rsid w:val="00E610A5"/>
    <w:rsid w:val="00E64EBC"/>
    <w:rsid w:val="00E6665B"/>
    <w:rsid w:val="00E67795"/>
    <w:rsid w:val="00E7190C"/>
    <w:rsid w:val="00E726D4"/>
    <w:rsid w:val="00E734BF"/>
    <w:rsid w:val="00E74844"/>
    <w:rsid w:val="00E74871"/>
    <w:rsid w:val="00E75FBB"/>
    <w:rsid w:val="00E76F41"/>
    <w:rsid w:val="00E8247A"/>
    <w:rsid w:val="00E83AB5"/>
    <w:rsid w:val="00E85AB4"/>
    <w:rsid w:val="00E86375"/>
    <w:rsid w:val="00E87154"/>
    <w:rsid w:val="00E937DA"/>
    <w:rsid w:val="00E958B1"/>
    <w:rsid w:val="00EA0B4C"/>
    <w:rsid w:val="00EA4669"/>
    <w:rsid w:val="00EA6FE7"/>
    <w:rsid w:val="00EA7128"/>
    <w:rsid w:val="00EB199D"/>
    <w:rsid w:val="00EB31A4"/>
    <w:rsid w:val="00EB5475"/>
    <w:rsid w:val="00EC13D2"/>
    <w:rsid w:val="00EC3052"/>
    <w:rsid w:val="00EC3258"/>
    <w:rsid w:val="00EC38BC"/>
    <w:rsid w:val="00EC50D0"/>
    <w:rsid w:val="00EC6857"/>
    <w:rsid w:val="00EC6A37"/>
    <w:rsid w:val="00EC6C76"/>
    <w:rsid w:val="00EC7A28"/>
    <w:rsid w:val="00ED12E1"/>
    <w:rsid w:val="00ED3462"/>
    <w:rsid w:val="00ED5020"/>
    <w:rsid w:val="00ED73ED"/>
    <w:rsid w:val="00EE163F"/>
    <w:rsid w:val="00EE2B81"/>
    <w:rsid w:val="00EE3EF4"/>
    <w:rsid w:val="00EE4480"/>
    <w:rsid w:val="00EE7EB5"/>
    <w:rsid w:val="00EF0C29"/>
    <w:rsid w:val="00EF33C4"/>
    <w:rsid w:val="00EF52E7"/>
    <w:rsid w:val="00EF64CB"/>
    <w:rsid w:val="00F01C32"/>
    <w:rsid w:val="00F03D81"/>
    <w:rsid w:val="00F06387"/>
    <w:rsid w:val="00F071FF"/>
    <w:rsid w:val="00F11592"/>
    <w:rsid w:val="00F134EE"/>
    <w:rsid w:val="00F14109"/>
    <w:rsid w:val="00F161E1"/>
    <w:rsid w:val="00F1704D"/>
    <w:rsid w:val="00F1724E"/>
    <w:rsid w:val="00F17B54"/>
    <w:rsid w:val="00F23022"/>
    <w:rsid w:val="00F248E0"/>
    <w:rsid w:val="00F26672"/>
    <w:rsid w:val="00F309B8"/>
    <w:rsid w:val="00F3180F"/>
    <w:rsid w:val="00F34F4F"/>
    <w:rsid w:val="00F425A6"/>
    <w:rsid w:val="00F437FB"/>
    <w:rsid w:val="00F4416F"/>
    <w:rsid w:val="00F45D82"/>
    <w:rsid w:val="00F577F6"/>
    <w:rsid w:val="00F6170F"/>
    <w:rsid w:val="00F61AC5"/>
    <w:rsid w:val="00F66AD0"/>
    <w:rsid w:val="00F72086"/>
    <w:rsid w:val="00F72466"/>
    <w:rsid w:val="00F72F67"/>
    <w:rsid w:val="00F736B6"/>
    <w:rsid w:val="00F749C7"/>
    <w:rsid w:val="00F753E2"/>
    <w:rsid w:val="00F7590E"/>
    <w:rsid w:val="00F75E9F"/>
    <w:rsid w:val="00F77082"/>
    <w:rsid w:val="00F7776F"/>
    <w:rsid w:val="00F8384F"/>
    <w:rsid w:val="00F84B82"/>
    <w:rsid w:val="00F8741C"/>
    <w:rsid w:val="00F90247"/>
    <w:rsid w:val="00F94F7B"/>
    <w:rsid w:val="00FA0DD6"/>
    <w:rsid w:val="00FA2377"/>
    <w:rsid w:val="00FA2C72"/>
    <w:rsid w:val="00FA4C01"/>
    <w:rsid w:val="00FA4E84"/>
    <w:rsid w:val="00FA540C"/>
    <w:rsid w:val="00FA6CD9"/>
    <w:rsid w:val="00FA7E24"/>
    <w:rsid w:val="00FB3710"/>
    <w:rsid w:val="00FB41A7"/>
    <w:rsid w:val="00FB5BD4"/>
    <w:rsid w:val="00FB7CF7"/>
    <w:rsid w:val="00FC1336"/>
    <w:rsid w:val="00FC2094"/>
    <w:rsid w:val="00FC50A4"/>
    <w:rsid w:val="00FC5DE7"/>
    <w:rsid w:val="00FD0955"/>
    <w:rsid w:val="00FD4477"/>
    <w:rsid w:val="00FD78C2"/>
    <w:rsid w:val="00FE0ECD"/>
    <w:rsid w:val="00FE63C3"/>
    <w:rsid w:val="00FF0552"/>
    <w:rsid w:val="00FF1BE9"/>
    <w:rsid w:val="00FF348C"/>
    <w:rsid w:val="00FF39CE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1C477"/>
  <w15:docId w15:val="{9741BEDA-3A70-46ED-B6E4-D4410B28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45E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0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4E3494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23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9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954790"/>
    <w:pPr>
      <w:spacing w:before="120" w:after="120"/>
      <w:jc w:val="left"/>
    </w:pPr>
    <w:rPr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373160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7316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nhideWhenUsed/>
    <w:rsid w:val="008417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4175D"/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rsid w:val="0084175D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4175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32">
    <w:name w:val="Základní text 32"/>
    <w:basedOn w:val="Normln"/>
    <w:rsid w:val="0084175D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yl10bZarovnatdobloku">
    <w:name w:val="Styl 10 b. Zarovnat do bloku"/>
    <w:basedOn w:val="Normln"/>
    <w:autoRedefine/>
    <w:rsid w:val="00743294"/>
    <w:pPr>
      <w:ind w:left="426"/>
    </w:pPr>
    <w:rPr>
      <w:szCs w:val="20"/>
    </w:rPr>
  </w:style>
  <w:style w:type="paragraph" w:customStyle="1" w:styleId="Styl10bTunZarovnatdobloku">
    <w:name w:val="Styl 10 b. Tučné Zarovnat do bloku"/>
    <w:basedOn w:val="Normln"/>
    <w:autoRedefine/>
    <w:rsid w:val="00187DBF"/>
    <w:pPr>
      <w:spacing w:before="120"/>
      <w:ind w:left="425"/>
    </w:pPr>
    <w:rPr>
      <w:b/>
      <w:bCs/>
      <w:szCs w:val="20"/>
    </w:rPr>
  </w:style>
  <w:style w:type="paragraph" w:styleId="Zkladntextodsazen">
    <w:name w:val="Body Text Indent"/>
    <w:basedOn w:val="Normln"/>
    <w:link w:val="ZkladntextodsazenChar"/>
    <w:unhideWhenUsed/>
    <w:rsid w:val="004F522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F5229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Default">
    <w:name w:val="Default"/>
    <w:rsid w:val="004F5229"/>
    <w:pPr>
      <w:autoSpaceDE w:val="0"/>
      <w:autoSpaceDN w:val="0"/>
      <w:adjustRightInd w:val="0"/>
      <w:spacing w:after="0" w:line="240" w:lineRule="auto"/>
    </w:pPr>
    <w:rPr>
      <w:rFonts w:ascii="Koop Office" w:eastAsia="Times New Roman" w:hAnsi="Koop Office" w:cs="Koop Office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56E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56EE3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Tabulkadolokyhlavika">
    <w:name w:val="Tabulka doložky hlavička"/>
    <w:basedOn w:val="Normln"/>
    <w:rsid w:val="00B56EE3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B56EE3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B56EE3"/>
    <w:pPr>
      <w:jc w:val="left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Styl1">
    <w:name w:val="Styl1"/>
    <w:basedOn w:val="Normln"/>
    <w:rsid w:val="00B56EE3"/>
    <w:pPr>
      <w:keepNext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B56EE3"/>
    <w:pPr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character" w:customStyle="1" w:styleId="StylTitulekArialCharChar">
    <w:name w:val="Styl Titulek + Arial Char Char"/>
    <w:rsid w:val="00B56EE3"/>
    <w:rPr>
      <w:rFonts w:ascii="Arial" w:hAnsi="Arial" w:cs="Arial"/>
      <w:b/>
      <w:bCs/>
      <w:lang w:val="cs-CZ"/>
    </w:rPr>
  </w:style>
  <w:style w:type="paragraph" w:customStyle="1" w:styleId="bododstVPP">
    <w:name w:val="bod odst. VPP"/>
    <w:basedOn w:val="Normln"/>
    <w:rsid w:val="00B56EE3"/>
    <w:pPr>
      <w:widowControl w:val="0"/>
      <w:tabs>
        <w:tab w:val="left" w:pos="181"/>
      </w:tabs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rsid w:val="00B56EE3"/>
    <w:pPr>
      <w:spacing w:before="100" w:after="100"/>
      <w:jc w:val="left"/>
    </w:pPr>
    <w:rPr>
      <w:rFonts w:ascii="Arial Unicode MS" w:eastAsia="Arial Unicode MS" w:hAnsi="Arial Unicode MS"/>
      <w:sz w:val="24"/>
    </w:rPr>
  </w:style>
  <w:style w:type="character" w:styleId="slostrnky">
    <w:name w:val="page number"/>
    <w:basedOn w:val="Standardnpsmoodstavce"/>
    <w:rsid w:val="00B56EE3"/>
  </w:style>
  <w:style w:type="character" w:customStyle="1" w:styleId="zvraznntextVPP">
    <w:name w:val="zvýrazněný text VPP"/>
    <w:rsid w:val="00B56EE3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B56EE3"/>
    <w:pPr>
      <w:spacing w:before="160"/>
    </w:pPr>
    <w:rPr>
      <w:rFonts w:ascii="Arial" w:hAnsi="Arial" w:cs="Arial"/>
      <w:sz w:val="14"/>
      <w:szCs w:val="14"/>
    </w:rPr>
  </w:style>
  <w:style w:type="paragraph" w:customStyle="1" w:styleId="a">
    <w:basedOn w:val="Normln"/>
    <w:next w:val="Rozloendokumentu"/>
    <w:link w:val="RozvrendokumentuChar"/>
    <w:rsid w:val="00B56EE3"/>
    <w:pPr>
      <w:shd w:val="clear" w:color="auto" w:fill="000080"/>
      <w:jc w:val="left"/>
    </w:pPr>
    <w:rPr>
      <w:rFonts w:ascii="Tahoma" w:hAnsi="Tahoma" w:cs="Tahoma"/>
      <w:szCs w:val="20"/>
    </w:rPr>
  </w:style>
  <w:style w:type="character" w:customStyle="1" w:styleId="RozvrendokumentuChar">
    <w:name w:val="Rozvržení dokumentu Char"/>
    <w:link w:val="a"/>
    <w:rsid w:val="00B56EE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NormlnZarovnatdobloku">
    <w:name w:val="Normální + Zarovnat do bloku"/>
    <w:aliases w:val="Před:  3 b."/>
    <w:basedOn w:val="Zkladntextodsazen"/>
    <w:rsid w:val="00B56EE3"/>
    <w:pPr>
      <w:numPr>
        <w:numId w:val="18"/>
      </w:numPr>
      <w:tabs>
        <w:tab w:val="left" w:pos="426"/>
      </w:tabs>
      <w:spacing w:after="0"/>
    </w:pPr>
    <w:rPr>
      <w:rFonts w:ascii="Arial" w:hAnsi="Arial"/>
      <w:sz w:val="28"/>
      <w:szCs w:val="20"/>
    </w:rPr>
  </w:style>
  <w:style w:type="paragraph" w:customStyle="1" w:styleId="Texttabulky">
    <w:name w:val="Text tabulky"/>
    <w:rsid w:val="00B56EE3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cs-CZ"/>
    </w:rPr>
  </w:style>
  <w:style w:type="paragraph" w:customStyle="1" w:styleId="slodstlVPP">
    <w:name w:val="čísl. odst. čl. VPP"/>
    <w:next w:val="Normln"/>
    <w:rsid w:val="00B56EE3"/>
    <w:pPr>
      <w:numPr>
        <w:ilvl w:val="2"/>
        <w:numId w:val="19"/>
      </w:numPr>
      <w:tabs>
        <w:tab w:val="left" w:pos="425"/>
      </w:tabs>
      <w:spacing w:before="162" w:after="0" w:line="240" w:lineRule="auto"/>
      <w:jc w:val="both"/>
      <w:outlineLvl w:val="2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lnekVPP">
    <w:name w:val="článek VPP"/>
    <w:next w:val="Normln"/>
    <w:rsid w:val="00B56EE3"/>
    <w:pPr>
      <w:keepNext/>
      <w:numPr>
        <w:ilvl w:val="1"/>
        <w:numId w:val="19"/>
      </w:numPr>
      <w:spacing w:before="200" w:after="0" w:line="240" w:lineRule="auto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podbodVPPsodr">
    <w:name w:val="podbod VPP s odr."/>
    <w:rsid w:val="00B56EE3"/>
    <w:pPr>
      <w:numPr>
        <w:ilvl w:val="4"/>
        <w:numId w:val="19"/>
      </w:numPr>
      <w:tabs>
        <w:tab w:val="left" w:pos="295"/>
      </w:tabs>
      <w:spacing w:after="0" w:line="240" w:lineRule="auto"/>
      <w:jc w:val="both"/>
      <w:outlineLvl w:val="4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bodVPPsvekmipsmeny">
    <w:name w:val="bod VPP s vekými písmeny"/>
    <w:basedOn w:val="slodstlVPP"/>
    <w:next w:val="bododstVPP"/>
    <w:rsid w:val="00B56EE3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B56EE3"/>
    <w:pPr>
      <w:keepNext/>
      <w:numPr>
        <w:numId w:val="1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VPP">
    <w:name w:val="ČÁST VPP"/>
    <w:basedOn w:val="ST1VPP"/>
    <w:next w:val="lnekVPP"/>
    <w:rsid w:val="00B56EE3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B56EE3"/>
    <w:pPr>
      <w:keepNext/>
      <w:numPr>
        <w:ilvl w:val="5"/>
        <w:numId w:val="19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aps/>
      <w:sz w:val="17"/>
      <w:szCs w:val="17"/>
      <w:lang w:eastAsia="cs-CZ"/>
    </w:rPr>
  </w:style>
  <w:style w:type="paragraph" w:customStyle="1" w:styleId="Zkladntext31">
    <w:name w:val="Základní text 31"/>
    <w:basedOn w:val="Normln"/>
    <w:rsid w:val="00B56EE3"/>
    <w:pPr>
      <w:tabs>
        <w:tab w:val="left" w:pos="-720"/>
      </w:tabs>
      <w:spacing w:line="360" w:lineRule="auto"/>
      <w:jc w:val="left"/>
    </w:pPr>
    <w:rPr>
      <w:rFonts w:ascii="Times New Roman" w:hAnsi="Times New Roman"/>
      <w:szCs w:val="20"/>
    </w:rPr>
  </w:style>
  <w:style w:type="paragraph" w:customStyle="1" w:styleId="slovnChar">
    <w:name w:val="číslování Char"/>
    <w:basedOn w:val="Normln"/>
    <w:rsid w:val="00B56EE3"/>
    <w:pPr>
      <w:numPr>
        <w:numId w:val="20"/>
      </w:numPr>
      <w:spacing w:before="60"/>
    </w:pPr>
    <w:rPr>
      <w:rFonts w:ascii="Arial" w:hAnsi="Arial"/>
      <w:szCs w:val="20"/>
    </w:rPr>
  </w:style>
  <w:style w:type="paragraph" w:styleId="Zkladntextodsazen2">
    <w:name w:val="Body Text Indent 2"/>
    <w:basedOn w:val="Normln"/>
    <w:link w:val="Zkladntextodsazen2Char"/>
    <w:rsid w:val="00B56EE3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56E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J">
    <w:name w:val="StylJ"/>
    <w:basedOn w:val="Normln"/>
    <w:rsid w:val="00B56EE3"/>
    <w:pPr>
      <w:jc w:val="left"/>
    </w:pPr>
    <w:rPr>
      <w:rFonts w:ascii="Times New Roman" w:hAnsi="Times New Roman"/>
      <w:sz w:val="24"/>
    </w:rPr>
  </w:style>
  <w:style w:type="table" w:styleId="Stednseznam1zvraznn1">
    <w:name w:val="Medium List 1 Accent 1"/>
    <w:basedOn w:val="Normlntabulka"/>
    <w:uiPriority w:val="65"/>
    <w:rsid w:val="00B56EE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56EE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56EE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3">
    <w:name w:val="Základní text 33"/>
    <w:basedOn w:val="Normln"/>
    <w:rsid w:val="00187DBF"/>
    <w:pPr>
      <w:tabs>
        <w:tab w:val="left" w:pos="-720"/>
      </w:tabs>
      <w:spacing w:line="360" w:lineRule="auto"/>
      <w:jc w:val="left"/>
    </w:pPr>
    <w:rPr>
      <w:rFonts w:ascii="Times New Roman" w:hAnsi="Times New Roman"/>
      <w:szCs w:val="20"/>
    </w:rPr>
  </w:style>
  <w:style w:type="paragraph" w:customStyle="1" w:styleId="Pedmty">
    <w:name w:val="Předměty"/>
    <w:basedOn w:val="Normln"/>
    <w:link w:val="PedmtyChar"/>
    <w:qFormat/>
    <w:rsid w:val="00261068"/>
  </w:style>
  <w:style w:type="character" w:customStyle="1" w:styleId="PedmtyChar">
    <w:name w:val="Předměty Char"/>
    <w:basedOn w:val="Standardnpsmoodstavce"/>
    <w:link w:val="Pedmty"/>
    <w:rsid w:val="00261068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784C22"/>
    <w:pPr>
      <w:numPr>
        <w:numId w:val="25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784C22"/>
    <w:pPr>
      <w:numPr>
        <w:numId w:val="26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784C22"/>
    <w:pPr>
      <w:numPr>
        <w:numId w:val="24"/>
      </w:numPr>
      <w:ind w:left="709" w:hanging="283"/>
    </w:pPr>
  </w:style>
  <w:style w:type="character" w:styleId="Nevyeenzmnka">
    <w:name w:val="Unresolved Mention"/>
    <w:basedOn w:val="Standardnpsmoodstavce"/>
    <w:uiPriority w:val="99"/>
    <w:semiHidden/>
    <w:unhideWhenUsed/>
    <w:rsid w:val="0067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312C-3B7D-4CF7-B0B3-F7B7E0F7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4856</Words>
  <Characters>28651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33441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Kolář Petr</cp:lastModifiedBy>
  <cp:revision>7</cp:revision>
  <dcterms:created xsi:type="dcterms:W3CDTF">2025-03-24T12:46:00Z</dcterms:created>
  <dcterms:modified xsi:type="dcterms:W3CDTF">2025-03-24T12:55:00Z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2023-02-21T18:10:30Z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0a914ab9-f521-4209-abbe-b3e12000966c</vt:lpwstr>
  </property>
  <property fmtid="{D5CDD505-2E9C-101B-9397-08002B2CF9AE}" pid="8" name="MSIP_Label_8a7087ee-6952-4f47-a56b-529fc8bf57e0_ContentBits">
    <vt:lpwstr>0</vt:lpwstr>
  </property>
</Properties>
</file>