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DC8" w14:textId="77777777" w:rsidR="00634F41" w:rsidRDefault="00634F41" w:rsidP="008B133A">
      <w:pPr>
        <w:pStyle w:val="Nzevdokumentu"/>
        <w:spacing w:after="0"/>
        <w:ind w:firstLine="709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o výběru dodavatele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6AC799F" w14:textId="77777777" w:rsidR="00634F41" w:rsidRPr="00305371" w:rsidRDefault="00634F41" w:rsidP="00634F41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71C274E4" w14:textId="77777777" w:rsidR="00634F41" w:rsidRDefault="00634F41" w:rsidP="008B133A">
      <w:pPr>
        <w:spacing w:after="240" w:line="240" w:lineRule="auto"/>
        <w:jc w:val="center"/>
        <w:rPr>
          <w:rFonts w:cs="Times New Roman"/>
          <w:bCs/>
          <w:szCs w:val="24"/>
        </w:rPr>
      </w:pPr>
      <w:r w:rsidRPr="00634F41">
        <w:rPr>
          <w:rFonts w:cs="Times New Roman"/>
          <w:bCs/>
          <w:szCs w:val="24"/>
        </w:rPr>
        <w:t>dle ust. § 122 a 123 zákona č. 134/2016 Sb., o zadávání veřejných zakázek, v účinném znění (dále jen "</w:t>
      </w:r>
      <w:r w:rsidRPr="00634F41">
        <w:rPr>
          <w:rFonts w:cs="Times New Roman"/>
          <w:b/>
          <w:szCs w:val="24"/>
        </w:rPr>
        <w:t>ZZVZ</w:t>
      </w:r>
      <w:r w:rsidRPr="00634F41">
        <w:rPr>
          <w:rFonts w:cs="Times New Roman"/>
          <w:bCs/>
          <w:szCs w:val="24"/>
        </w:rPr>
        <w:t>")</w:t>
      </w:r>
    </w:p>
    <w:p w14:paraId="68CF987B" w14:textId="2B189305" w:rsidR="00634F41" w:rsidRPr="00245BEB" w:rsidRDefault="00634F41" w:rsidP="008B133A">
      <w:pPr>
        <w:spacing w:line="240" w:lineRule="auto"/>
        <w:ind w:left="4956" w:firstLine="708"/>
        <w:jc w:val="right"/>
        <w:rPr>
          <w:rFonts w:cs="Times New Roman"/>
          <w:szCs w:val="24"/>
        </w:rPr>
      </w:pPr>
      <w:r w:rsidRPr="00245BEB">
        <w:rPr>
          <w:rFonts w:cs="Times New Roman"/>
          <w:szCs w:val="24"/>
        </w:rPr>
        <w:t xml:space="preserve">Datum: </w:t>
      </w:r>
      <w:r w:rsidR="008B133A">
        <w:rPr>
          <w:rFonts w:cs="Times New Roman"/>
          <w:szCs w:val="24"/>
        </w:rPr>
        <w:t>18</w:t>
      </w:r>
      <w:r w:rsidRPr="00245BEB">
        <w:rPr>
          <w:rFonts w:cs="Times New Roman"/>
          <w:szCs w:val="24"/>
        </w:rPr>
        <w:t>.</w:t>
      </w:r>
      <w:r w:rsidR="008B133A">
        <w:rPr>
          <w:rFonts w:cs="Times New Roman"/>
          <w:szCs w:val="24"/>
        </w:rPr>
        <w:t>0</w:t>
      </w:r>
      <w:r w:rsidR="00245BEB" w:rsidRPr="00245BEB">
        <w:rPr>
          <w:rFonts w:cs="Times New Roman"/>
          <w:szCs w:val="24"/>
        </w:rPr>
        <w:t>2</w:t>
      </w:r>
      <w:r w:rsidRPr="00245BEB">
        <w:rPr>
          <w:rFonts w:cs="Times New Roman"/>
          <w:szCs w:val="24"/>
        </w:rPr>
        <w:t>.202</w:t>
      </w:r>
      <w:r w:rsidR="00245BEB" w:rsidRPr="00245BEB">
        <w:rPr>
          <w:rFonts w:cs="Times New Roman"/>
          <w:szCs w:val="24"/>
        </w:rPr>
        <w:t>5</w:t>
      </w:r>
    </w:p>
    <w:p w14:paraId="7F199CEB" w14:textId="35C8F655" w:rsidR="00634F41" w:rsidRPr="00634F41" w:rsidRDefault="00634F41" w:rsidP="008B133A">
      <w:pPr>
        <w:spacing w:line="240" w:lineRule="auto"/>
        <w:ind w:left="5664"/>
        <w:jc w:val="right"/>
        <w:rPr>
          <w:rFonts w:cs="Times New Roman"/>
          <w:szCs w:val="24"/>
        </w:rPr>
      </w:pPr>
      <w:r w:rsidRPr="00245BEB">
        <w:rPr>
          <w:rFonts w:cs="Times New Roman"/>
          <w:szCs w:val="24"/>
        </w:rPr>
        <w:t xml:space="preserve">Č.j.: </w:t>
      </w:r>
      <w:r w:rsidR="008B133A" w:rsidRPr="008B133A">
        <w:rPr>
          <w:rFonts w:cs="Times New Roman"/>
          <w:szCs w:val="24"/>
        </w:rPr>
        <w:t>ŘVC/705/2024/OVZ-11</w:t>
      </w:r>
    </w:p>
    <w:p w14:paraId="14A5D557" w14:textId="77777777" w:rsidR="00634F41" w:rsidRPr="008B133A" w:rsidRDefault="00634F41" w:rsidP="008B133A">
      <w:pPr>
        <w:spacing w:after="240" w:line="240" w:lineRule="auto"/>
        <w:jc w:val="right"/>
        <w:rPr>
          <w:rFonts w:cs="Times New Roman"/>
          <w:b/>
          <w:bCs/>
          <w:szCs w:val="24"/>
        </w:rPr>
      </w:pP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="00760B07" w:rsidRPr="008B133A">
        <w:rPr>
          <w:rFonts w:cs="Times New Roman"/>
          <w:b/>
          <w:bCs/>
          <w:szCs w:val="24"/>
        </w:rPr>
        <w:t>Doručeno prostřednictvím NEN</w:t>
      </w:r>
    </w:p>
    <w:p w14:paraId="3109C858" w14:textId="77777777" w:rsidR="00B8755B" w:rsidRPr="00B8755B" w:rsidRDefault="00B8755B" w:rsidP="008B133A">
      <w:pPr>
        <w:spacing w:after="240"/>
        <w:rPr>
          <w:rFonts w:cs="Times New Roman"/>
          <w:b/>
          <w:szCs w:val="24"/>
        </w:rPr>
      </w:pPr>
      <w:r w:rsidRPr="00B8755B">
        <w:rPr>
          <w:rFonts w:cs="Times New Roman"/>
          <w:b/>
          <w:szCs w:val="24"/>
        </w:rPr>
        <w:t>Identifikační údaje zadavatele</w:t>
      </w:r>
    </w:p>
    <w:tbl>
      <w:tblPr>
        <w:tblW w:w="907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953"/>
      </w:tblGrid>
      <w:tr w:rsidR="00F16A4D" w:rsidRPr="0015021A" w14:paraId="474C5729" w14:textId="77777777" w:rsidTr="00755C66">
        <w:trPr>
          <w:trHeight w:val="510"/>
        </w:trPr>
        <w:tc>
          <w:tcPr>
            <w:tcW w:w="3118" w:type="dxa"/>
            <w:shd w:val="clear" w:color="auto" w:fill="auto"/>
            <w:vAlign w:val="center"/>
          </w:tcPr>
          <w:p w14:paraId="561FB6CD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zadavatele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B4C73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rFonts w:cs="Times New Roman"/>
                <w:b/>
                <w:szCs w:val="24"/>
              </w:rPr>
            </w:pPr>
            <w:r w:rsidRPr="0015021A">
              <w:rPr>
                <w:rFonts w:cs="Times New Roman"/>
                <w:b/>
                <w:szCs w:val="24"/>
              </w:rPr>
              <w:t>Česká republika – Ředitelství vodních cest ČR</w:t>
            </w:r>
          </w:p>
        </w:tc>
      </w:tr>
      <w:tr w:rsidR="00F16A4D" w:rsidRPr="0015021A" w14:paraId="6E09DEEC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56B89E3A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Sídlo zadavatele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39B0B37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nábř. L. Svobody 1222/12, 110 15 Praha 1</w:t>
            </w:r>
          </w:p>
        </w:tc>
      </w:tr>
      <w:tr w:rsidR="00F16A4D" w:rsidRPr="0015021A" w14:paraId="68E80670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0BB9E871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Právní forma zadavatele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616EF52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organizační složka státu</w:t>
            </w:r>
          </w:p>
        </w:tc>
      </w:tr>
      <w:tr w:rsidR="00F16A4D" w:rsidRPr="0015021A" w14:paraId="0288C350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284BD506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IČO zadavatele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03814F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679 81 801</w:t>
            </w:r>
          </w:p>
        </w:tc>
      </w:tr>
      <w:tr w:rsidR="00F16A4D" w:rsidRPr="0015021A" w14:paraId="55904886" w14:textId="77777777" w:rsidTr="00755C66">
        <w:trPr>
          <w:trHeight w:val="397"/>
        </w:trPr>
        <w:tc>
          <w:tcPr>
            <w:tcW w:w="3118" w:type="dxa"/>
            <w:shd w:val="clear" w:color="auto" w:fill="auto"/>
            <w:vAlign w:val="center"/>
          </w:tcPr>
          <w:p w14:paraId="53B99267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Osoba oprávněná zastupovat zadavatele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32666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Ing. Lubomír Fojtů, ředitel</w:t>
            </w:r>
          </w:p>
        </w:tc>
      </w:tr>
      <w:tr w:rsidR="00F16A4D" w:rsidRPr="0015021A" w14:paraId="7D6C4CCB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1B3B3039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Datová schránka zadavatele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B5B1A1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ndn5skh</w:t>
            </w:r>
          </w:p>
        </w:tc>
      </w:tr>
      <w:tr w:rsidR="00F16A4D" w:rsidRPr="0015021A" w14:paraId="0C05FEEB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3ECB09BF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Adresa profilu zadavatele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E41C3EC" w14:textId="77777777" w:rsidR="00F16A4D" w:rsidRPr="0015021A" w:rsidRDefault="00F16A4D" w:rsidP="00CD69E6">
            <w:pPr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https://nen.nipez.cz/profil/RVCCR</w:t>
            </w:r>
          </w:p>
        </w:tc>
      </w:tr>
    </w:tbl>
    <w:p w14:paraId="7B3CDAD8" w14:textId="77777777" w:rsidR="00245BEB" w:rsidRDefault="00245BEB" w:rsidP="00F16A4D">
      <w:pPr>
        <w:rPr>
          <w:rFonts w:cs="Times New Roman"/>
          <w:szCs w:val="24"/>
        </w:rPr>
      </w:pPr>
    </w:p>
    <w:p w14:paraId="0081F15B" w14:textId="77777777" w:rsidR="00B8755B" w:rsidRPr="00B8755B" w:rsidRDefault="00B8755B" w:rsidP="008B133A">
      <w:pPr>
        <w:spacing w:after="240"/>
        <w:rPr>
          <w:rFonts w:cs="Times New Roman"/>
          <w:b/>
          <w:bCs/>
          <w:szCs w:val="24"/>
        </w:rPr>
      </w:pPr>
      <w:r w:rsidRPr="00B8755B">
        <w:rPr>
          <w:rFonts w:cs="Times New Roman"/>
          <w:b/>
          <w:bCs/>
          <w:szCs w:val="24"/>
        </w:rPr>
        <w:t>Identifikační údaje zakázky</w:t>
      </w:r>
    </w:p>
    <w:tbl>
      <w:tblPr>
        <w:tblW w:w="907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953"/>
      </w:tblGrid>
      <w:tr w:rsidR="00F16A4D" w:rsidRPr="0015021A" w14:paraId="5BB385AA" w14:textId="77777777" w:rsidTr="00755C66">
        <w:trPr>
          <w:trHeight w:val="794"/>
        </w:trPr>
        <w:tc>
          <w:tcPr>
            <w:tcW w:w="3118" w:type="dxa"/>
            <w:shd w:val="clear" w:color="auto" w:fill="auto"/>
            <w:vAlign w:val="center"/>
          </w:tcPr>
          <w:p w14:paraId="76891224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zadávacího řízení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389E219" w14:textId="09C2774D" w:rsidR="00F16A4D" w:rsidRPr="00B8755B" w:rsidRDefault="00B8755B" w:rsidP="008B133A">
            <w:pPr>
              <w:keepNext/>
              <w:tabs>
                <w:tab w:val="left" w:pos="851"/>
                <w:tab w:val="left" w:pos="1021"/>
                <w:tab w:val="left" w:pos="2070"/>
              </w:tabs>
              <w:jc w:val="left"/>
              <w:rPr>
                <w:b/>
                <w:bCs/>
              </w:rPr>
            </w:pPr>
            <w:r w:rsidRPr="00B8755B">
              <w:rPr>
                <w:b/>
                <w:bCs/>
              </w:rPr>
              <w:t>Rozšíření provozního zázemí rekreačního přístavu</w:t>
            </w:r>
            <w:r>
              <w:rPr>
                <w:b/>
                <w:bCs/>
              </w:rPr>
              <w:t xml:space="preserve"> </w:t>
            </w:r>
            <w:r w:rsidR="008B133A">
              <w:rPr>
                <w:b/>
                <w:bCs/>
              </w:rPr>
              <w:br/>
            </w:r>
            <w:r w:rsidRPr="00B8755B">
              <w:rPr>
                <w:b/>
                <w:bCs/>
              </w:rPr>
              <w:t>Petrov – zhotovitel stavby</w:t>
            </w:r>
          </w:p>
        </w:tc>
      </w:tr>
      <w:tr w:rsidR="00F16A4D" w:rsidRPr="0015021A" w14:paraId="44EEDFBD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111BA786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Druh veřejné zakázky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CF66E35" w14:textId="44ECC278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Stavební práce</w:t>
            </w:r>
          </w:p>
        </w:tc>
      </w:tr>
      <w:tr w:rsidR="00F16A4D" w:rsidRPr="0015021A" w14:paraId="4165E400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1B0A3280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Režim veřejné zakázky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1400DFF" w14:textId="42A52BD8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Podlimitní</w:t>
            </w:r>
          </w:p>
        </w:tc>
      </w:tr>
      <w:tr w:rsidR="00F16A4D" w:rsidRPr="0015021A" w14:paraId="67ECCCA7" w14:textId="77777777" w:rsidTr="00755C66">
        <w:trPr>
          <w:trHeight w:val="454"/>
        </w:trPr>
        <w:tc>
          <w:tcPr>
            <w:tcW w:w="3118" w:type="dxa"/>
            <w:shd w:val="clear" w:color="auto" w:fill="auto"/>
            <w:vAlign w:val="center"/>
          </w:tcPr>
          <w:p w14:paraId="7CE8B148" w14:textId="77777777" w:rsidR="00F16A4D" w:rsidRPr="0015021A" w:rsidRDefault="00F16A4D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Druh zadávacího řízení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E61CD5" w14:textId="2C1DA832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Zjednodušené podlimitní řízení</w:t>
            </w:r>
          </w:p>
        </w:tc>
      </w:tr>
      <w:tr w:rsidR="0052050F" w:rsidRPr="0015021A" w14:paraId="21F0CEC0" w14:textId="77777777" w:rsidTr="00755C66">
        <w:trPr>
          <w:trHeight w:val="397"/>
        </w:trPr>
        <w:tc>
          <w:tcPr>
            <w:tcW w:w="3118" w:type="dxa"/>
            <w:shd w:val="clear" w:color="auto" w:fill="auto"/>
            <w:vAlign w:val="center"/>
          </w:tcPr>
          <w:p w14:paraId="02740221" w14:textId="77777777" w:rsidR="0052050F" w:rsidRPr="0015021A" w:rsidRDefault="0052050F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Evidenční číslo (ISPROFIN/ISPROFOND)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826F33" w14:textId="069CF07B" w:rsidR="0052050F" w:rsidRPr="0015021A" w:rsidRDefault="00867979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867979">
              <w:rPr>
                <w:szCs w:val="24"/>
              </w:rPr>
              <w:t>5005540002</w:t>
            </w:r>
          </w:p>
        </w:tc>
      </w:tr>
      <w:tr w:rsidR="0052050F" w:rsidRPr="0015021A" w14:paraId="66EEC7C5" w14:textId="77777777" w:rsidTr="00755C66">
        <w:trPr>
          <w:trHeight w:val="397"/>
        </w:trPr>
        <w:tc>
          <w:tcPr>
            <w:tcW w:w="3118" w:type="dxa"/>
            <w:shd w:val="clear" w:color="auto" w:fill="auto"/>
            <w:vAlign w:val="center"/>
          </w:tcPr>
          <w:p w14:paraId="2E38505A" w14:textId="77777777" w:rsidR="0052050F" w:rsidRPr="0015021A" w:rsidRDefault="0052050F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Číslo veřejné zakázky ve Věstníku veřejných zakázek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16F53CD" w14:textId="68897226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D65162">
              <w:rPr>
                <w:rFonts w:cs="Times New Roman"/>
                <w:szCs w:val="24"/>
              </w:rPr>
              <w:t>Není aplikováno</w:t>
            </w:r>
          </w:p>
        </w:tc>
      </w:tr>
      <w:tr w:rsidR="0052050F" w:rsidRPr="0015021A" w14:paraId="5315D172" w14:textId="77777777" w:rsidTr="00755C66">
        <w:trPr>
          <w:trHeight w:val="397"/>
        </w:trPr>
        <w:tc>
          <w:tcPr>
            <w:tcW w:w="3118" w:type="dxa"/>
            <w:shd w:val="clear" w:color="auto" w:fill="auto"/>
            <w:vAlign w:val="center"/>
          </w:tcPr>
          <w:p w14:paraId="7172CAC6" w14:textId="77777777" w:rsidR="0052050F" w:rsidRPr="0015021A" w:rsidRDefault="0052050F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Systémové číslo veřejné zakázky na profilu zadavatele (NEN)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D9F195" w14:textId="058A77AC" w:rsidR="0052050F" w:rsidRPr="0015021A" w:rsidRDefault="00B8755B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B8755B">
              <w:rPr>
                <w:bCs/>
                <w:szCs w:val="24"/>
              </w:rPr>
              <w:t>N006/24/V00036111</w:t>
            </w:r>
          </w:p>
        </w:tc>
      </w:tr>
      <w:tr w:rsidR="008B133A" w:rsidRPr="0015021A" w14:paraId="206A1208" w14:textId="77777777" w:rsidTr="00755C66">
        <w:trPr>
          <w:trHeight w:val="737"/>
        </w:trPr>
        <w:tc>
          <w:tcPr>
            <w:tcW w:w="3118" w:type="dxa"/>
            <w:shd w:val="clear" w:color="auto" w:fill="auto"/>
            <w:vAlign w:val="center"/>
          </w:tcPr>
          <w:p w14:paraId="266175F1" w14:textId="35ABDE81" w:rsidR="008B133A" w:rsidRPr="0015021A" w:rsidRDefault="008B133A" w:rsidP="008B133A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Spisová značka zadavatele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777BED" w14:textId="77777777" w:rsidR="008B133A" w:rsidRDefault="008B133A" w:rsidP="008B133A">
            <w:pPr>
              <w:rPr>
                <w:rFonts w:cs="Times New Roman"/>
                <w:szCs w:val="24"/>
              </w:rPr>
            </w:pPr>
            <w:r w:rsidRPr="008B133A">
              <w:rPr>
                <w:rFonts w:cs="Times New Roman"/>
                <w:szCs w:val="24"/>
              </w:rPr>
              <w:t>ŘVC/705/2024/OVZ</w:t>
            </w:r>
            <w:r w:rsidRPr="00D65162">
              <w:rPr>
                <w:rFonts w:cs="Times New Roman"/>
                <w:szCs w:val="24"/>
              </w:rPr>
              <w:t xml:space="preserve"> </w:t>
            </w:r>
          </w:p>
          <w:p w14:paraId="03F6716D" w14:textId="34157189" w:rsidR="008B133A" w:rsidRPr="008B133A" w:rsidRDefault="008B133A" w:rsidP="008B133A">
            <w:pPr>
              <w:rPr>
                <w:rFonts w:cs="Times New Roman"/>
                <w:szCs w:val="24"/>
              </w:rPr>
            </w:pPr>
            <w:r w:rsidRPr="00263C17">
              <w:rPr>
                <w:rFonts w:cs="Times New Roman"/>
                <w:szCs w:val="24"/>
              </w:rPr>
              <w:t xml:space="preserve">(ev. č. smlouvy </w:t>
            </w:r>
            <w:r w:rsidRPr="008B133A">
              <w:rPr>
                <w:rFonts w:cs="Times New Roman"/>
                <w:b/>
                <w:szCs w:val="24"/>
              </w:rPr>
              <w:t>SML-2024-153-VZ</w:t>
            </w:r>
            <w:r w:rsidRPr="00263C17">
              <w:rPr>
                <w:rFonts w:cs="Times New Roman"/>
                <w:szCs w:val="24"/>
              </w:rPr>
              <w:t>)</w:t>
            </w:r>
          </w:p>
        </w:tc>
      </w:tr>
    </w:tbl>
    <w:p w14:paraId="7004F8CD" w14:textId="77777777" w:rsidR="00634F41" w:rsidRPr="0015021A" w:rsidRDefault="00634F41" w:rsidP="003B03BE">
      <w:pPr>
        <w:keepNext/>
        <w:pageBreakBefore/>
        <w:widowControl w:val="0"/>
        <w:tabs>
          <w:tab w:val="left" w:pos="851"/>
          <w:tab w:val="left" w:pos="1021"/>
        </w:tabs>
        <w:spacing w:before="240" w:after="360" w:line="240" w:lineRule="auto"/>
        <w:rPr>
          <w:rFonts w:cs="Times New Roman"/>
          <w:b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 xml:space="preserve">Zadavatel výše uvedené veřejné zakázky tímto </w:t>
      </w:r>
      <w:r w:rsidRPr="0015021A">
        <w:rPr>
          <w:rFonts w:cs="Times New Roman"/>
          <w:b/>
          <w:szCs w:val="24"/>
          <w:lang w:eastAsia="cs-CZ"/>
        </w:rPr>
        <w:t>rozhoduje o výběru dodavatele</w:t>
      </w:r>
    </w:p>
    <w:p w14:paraId="31DBAC94" w14:textId="77777777" w:rsidR="00867979" w:rsidRPr="00867979" w:rsidRDefault="00867979" w:rsidP="00867979">
      <w:pPr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color w:val="000000"/>
          <w:szCs w:val="24"/>
        </w:rPr>
      </w:pPr>
      <w:r w:rsidRPr="00867979">
        <w:rPr>
          <w:rFonts w:eastAsiaTheme="minorHAnsi" w:cs="Times New Roman"/>
          <w:b/>
          <w:bCs/>
          <w:color w:val="000000"/>
          <w:szCs w:val="24"/>
        </w:rPr>
        <w:t xml:space="preserve">MSO servis spol. s.r.o. </w:t>
      </w:r>
    </w:p>
    <w:p w14:paraId="443483A4" w14:textId="77777777" w:rsidR="00867979" w:rsidRDefault="00867979" w:rsidP="0015021A">
      <w:pPr>
        <w:jc w:val="center"/>
        <w:rPr>
          <w:rFonts w:eastAsiaTheme="minorHAnsi" w:cs="Times New Roman"/>
          <w:color w:val="000000"/>
          <w:szCs w:val="24"/>
        </w:rPr>
      </w:pPr>
      <w:r w:rsidRPr="00867979">
        <w:rPr>
          <w:rFonts w:eastAsiaTheme="minorHAnsi" w:cs="Times New Roman"/>
          <w:color w:val="000000"/>
          <w:szCs w:val="24"/>
        </w:rPr>
        <w:t>Se sídlem Svatoborská 591/87, 697 01 Kyjov</w:t>
      </w:r>
    </w:p>
    <w:p w14:paraId="4C72B066" w14:textId="66B341D1" w:rsidR="00634F41" w:rsidRPr="00867979" w:rsidRDefault="00245BEB" w:rsidP="003B03BE">
      <w:pPr>
        <w:pStyle w:val="Default"/>
        <w:spacing w:after="360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DB3D15">
        <w:rPr>
          <w:rFonts w:ascii="Times New Roman" w:eastAsiaTheme="minorHAnsi" w:hAnsi="Times New Roman" w:cs="Times New Roman"/>
        </w:rPr>
        <w:t>IČO</w:t>
      </w:r>
      <w:r w:rsidRPr="00245BEB">
        <w:rPr>
          <w:rFonts w:eastAsiaTheme="minorHAnsi" w:cs="Times New Roman"/>
        </w:rPr>
        <w:t xml:space="preserve">: </w:t>
      </w:r>
      <w:r w:rsidR="00867979" w:rsidRPr="00867979">
        <w:rPr>
          <w:rFonts w:ascii="Times New Roman" w:eastAsiaTheme="minorHAnsi" w:hAnsi="Times New Roman" w:cs="Times New Roman"/>
          <w:lang w:eastAsia="en-US"/>
        </w:rPr>
        <w:t>49971379</w:t>
      </w:r>
      <w:r w:rsidR="00760B07" w:rsidRPr="00867979">
        <w:rPr>
          <w:rFonts w:cs="Times New Roman"/>
        </w:rPr>
        <w:t>.</w:t>
      </w:r>
    </w:p>
    <w:p w14:paraId="2275981E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Zadavatel tímto v souladu s ust. § 123 ZZVZ tuto skutečnost oznamuje všem účastníkům zadávacího řízení na výše uvedenou část veřejné zakázky.</w:t>
      </w:r>
    </w:p>
    <w:p w14:paraId="14597731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B116ABD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Přílohou tohoto oznámení je:</w:t>
      </w:r>
    </w:p>
    <w:p w14:paraId="46A78178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</w:p>
    <w:p w14:paraId="5638AFD9" w14:textId="28CBFC69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1)</w:t>
      </w:r>
      <w:r w:rsidRPr="0015021A">
        <w:rPr>
          <w:rFonts w:cs="Times New Roman"/>
          <w:bCs/>
          <w:szCs w:val="24"/>
          <w:lang w:eastAsia="cs-CZ"/>
        </w:rPr>
        <w:tab/>
        <w:t xml:space="preserve">Zpráva o hodnocení nabídek </w:t>
      </w:r>
    </w:p>
    <w:p w14:paraId="57BEF3D8" w14:textId="77777777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2)</w:t>
      </w:r>
      <w:r w:rsidRPr="0015021A">
        <w:rPr>
          <w:rFonts w:cs="Times New Roman"/>
          <w:bCs/>
          <w:szCs w:val="24"/>
          <w:lang w:eastAsia="cs-CZ"/>
        </w:rPr>
        <w:tab/>
        <w:t xml:space="preserve">Protokol o posouzení splnění podmínek účasti vybraného dodavatele </w:t>
      </w:r>
    </w:p>
    <w:p w14:paraId="47829333" w14:textId="2B12DD54" w:rsidR="00445171" w:rsidRPr="0015021A" w:rsidRDefault="00445171" w:rsidP="0044517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539D8168" w14:textId="77777777" w:rsidR="00445171" w:rsidRPr="0015021A" w:rsidRDefault="00445171" w:rsidP="00445171">
      <w:pPr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Nabídka vybraného dodavatele byla vyhodnocena jako ekonomicky nejvýhodnější na základě hodnotících kritérií stanovených zadavatelem. Vybraný dodavatel současně splnil všechny zadávací podmínky. Uvedené skutečnosti vyplývají z připojené zprávy o hodnocení nabídek a protokolu o posouzení splnění podmínek účasti vybraného dodavatele.</w:t>
      </w:r>
    </w:p>
    <w:p w14:paraId="140DCAA3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70238995" w14:textId="77777777" w:rsidR="00634F41" w:rsidRPr="0015021A" w:rsidRDefault="00634F41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Poučení:</w:t>
      </w:r>
    </w:p>
    <w:p w14:paraId="1E620614" w14:textId="77777777" w:rsidR="00760B07" w:rsidRPr="0015021A" w:rsidRDefault="00760B07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</w:p>
    <w:p w14:paraId="318FE4F0" w14:textId="77777777" w:rsidR="00634F41" w:rsidRPr="0015021A" w:rsidRDefault="00634F41" w:rsidP="00634F41">
      <w:pPr>
        <w:spacing w:line="240" w:lineRule="auto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Proti rozhodnutí o výběru dodavatele lze podat námitky podle ust.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66C18023" w14:textId="6452427B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bookmarkStart w:id="1" w:name="_Hlk513118234"/>
    </w:p>
    <w:p w14:paraId="2F105371" w14:textId="77777777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637BA78C" w14:textId="77777777" w:rsidR="0015021A" w:rsidRDefault="0015021A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6D5C63BB" w14:textId="77777777" w:rsidR="008B133A" w:rsidRPr="0015021A" w:rsidRDefault="008B133A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12DC9ABE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___________________________________</w:t>
      </w:r>
    </w:p>
    <w:p w14:paraId="342938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Česká republika – Ředitelství vodních cest ČR</w:t>
      </w:r>
    </w:p>
    <w:p w14:paraId="2C6679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Ing. Lubomír Fojtů</w:t>
      </w:r>
    </w:p>
    <w:p w14:paraId="724D1D8A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ředitel</w:t>
      </w:r>
      <w:bookmarkEnd w:id="1"/>
    </w:p>
    <w:p w14:paraId="13733A43" w14:textId="77777777" w:rsidR="00760B07" w:rsidRPr="003B03BE" w:rsidRDefault="00760B07" w:rsidP="00634F41">
      <w:pPr>
        <w:spacing w:line="240" w:lineRule="auto"/>
        <w:jc w:val="left"/>
        <w:rPr>
          <w:rFonts w:cs="Times New Roman"/>
          <w:bCs/>
          <w:i/>
          <w:iCs/>
          <w:color w:val="808080" w:themeColor="background1" w:themeShade="80"/>
          <w:sz w:val="22"/>
          <w:szCs w:val="22"/>
        </w:rPr>
      </w:pPr>
      <w:bookmarkStart w:id="2" w:name="_Hlk52379895"/>
      <w:r w:rsidRPr="003B03BE">
        <w:rPr>
          <w:rFonts w:cs="Times New Roman"/>
          <w:bCs/>
          <w:i/>
          <w:iCs/>
          <w:color w:val="808080" w:themeColor="background1" w:themeShade="80"/>
          <w:sz w:val="22"/>
          <w:szCs w:val="22"/>
        </w:rPr>
        <w:t>podepsáno kvalifikovaným elektronickým podpisem</w:t>
      </w:r>
      <w:bookmarkEnd w:id="2"/>
    </w:p>
    <w:p w14:paraId="3BB78BF8" w14:textId="03513CAD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</w:rPr>
      </w:pPr>
    </w:p>
    <w:p w14:paraId="5E917DB5" w14:textId="77777777" w:rsidR="0052050F" w:rsidRDefault="0052050F" w:rsidP="00634F41">
      <w:pPr>
        <w:spacing w:line="240" w:lineRule="auto"/>
        <w:jc w:val="left"/>
        <w:rPr>
          <w:rFonts w:cs="Times New Roman"/>
          <w:szCs w:val="24"/>
        </w:rPr>
      </w:pPr>
    </w:p>
    <w:p w14:paraId="7B39AA9A" w14:textId="77777777" w:rsidR="008B133A" w:rsidRPr="003B03BE" w:rsidRDefault="008B133A" w:rsidP="00634F41">
      <w:pPr>
        <w:spacing w:line="240" w:lineRule="auto"/>
        <w:jc w:val="left"/>
        <w:rPr>
          <w:rFonts w:cs="Times New Roman"/>
          <w:szCs w:val="24"/>
        </w:rPr>
      </w:pPr>
    </w:p>
    <w:p w14:paraId="716CA642" w14:textId="77777777" w:rsidR="003B03BE" w:rsidRPr="003B03BE" w:rsidRDefault="00634F41" w:rsidP="003B03BE">
      <w:pPr>
        <w:spacing w:line="240" w:lineRule="auto"/>
        <w:ind w:left="1410" w:hanging="1410"/>
        <w:jc w:val="left"/>
        <w:rPr>
          <w:rFonts w:eastAsia="Times New Roman" w:cs="Times New Roman"/>
          <w:iCs/>
          <w:szCs w:val="24"/>
          <w:lang w:eastAsia="cs-CZ"/>
        </w:rPr>
      </w:pPr>
      <w:r w:rsidRPr="003B03BE">
        <w:rPr>
          <w:rFonts w:eastAsia="Times New Roman" w:cs="Times New Roman"/>
          <w:szCs w:val="24"/>
          <w:lang w:eastAsia="cs-CZ"/>
        </w:rPr>
        <w:t>Přílohy:</w:t>
      </w:r>
      <w:r w:rsidRPr="003B03BE">
        <w:rPr>
          <w:rFonts w:eastAsia="Times New Roman" w:cs="Times New Roman"/>
          <w:i/>
          <w:szCs w:val="24"/>
          <w:lang w:eastAsia="cs-CZ"/>
        </w:rPr>
        <w:tab/>
      </w:r>
      <w:r w:rsidRPr="003B03BE">
        <w:rPr>
          <w:rFonts w:eastAsia="Times New Roman" w:cs="Times New Roman"/>
          <w:iCs/>
          <w:szCs w:val="24"/>
          <w:lang w:eastAsia="cs-CZ"/>
        </w:rPr>
        <w:t xml:space="preserve">Posouzení </w:t>
      </w:r>
      <w:r w:rsidR="00445171" w:rsidRPr="003B03BE">
        <w:rPr>
          <w:rFonts w:eastAsia="Times New Roman" w:cs="Times New Roman"/>
          <w:iCs/>
          <w:szCs w:val="24"/>
          <w:lang w:eastAsia="cs-CZ"/>
        </w:rPr>
        <w:t xml:space="preserve">o posouzení </w:t>
      </w:r>
      <w:r w:rsidRPr="003B03BE">
        <w:rPr>
          <w:rFonts w:eastAsia="Times New Roman" w:cs="Times New Roman"/>
          <w:iCs/>
          <w:szCs w:val="24"/>
          <w:lang w:eastAsia="cs-CZ"/>
        </w:rPr>
        <w:t>splnění podmínek účasti vybraného dodavatele</w:t>
      </w:r>
      <w:r w:rsidR="003B03BE" w:rsidRPr="003B03BE">
        <w:rPr>
          <w:rFonts w:eastAsia="Times New Roman" w:cs="Times New Roman"/>
          <w:iCs/>
          <w:szCs w:val="24"/>
          <w:lang w:eastAsia="cs-CZ"/>
        </w:rPr>
        <w:t xml:space="preserve"> </w:t>
      </w:r>
    </w:p>
    <w:p w14:paraId="0B8185C9" w14:textId="2B2CD178" w:rsidR="00634F41" w:rsidRPr="003B03BE" w:rsidRDefault="003B03BE" w:rsidP="003B03BE">
      <w:pPr>
        <w:spacing w:after="120" w:line="240" w:lineRule="auto"/>
        <w:ind w:left="1412" w:firstLine="6"/>
        <w:jc w:val="left"/>
        <w:rPr>
          <w:rFonts w:eastAsia="Times New Roman" w:cs="Times New Roman"/>
          <w:i/>
          <w:szCs w:val="24"/>
          <w:lang w:eastAsia="cs-CZ"/>
        </w:rPr>
      </w:pPr>
      <w:r w:rsidRPr="003B03BE">
        <w:rPr>
          <w:rFonts w:eastAsia="Times New Roman" w:cs="Times New Roman"/>
          <w:i/>
          <w:szCs w:val="24"/>
          <w:lang w:eastAsia="cs-CZ"/>
        </w:rPr>
        <w:t>(na samostatné listině)</w:t>
      </w:r>
    </w:p>
    <w:p w14:paraId="47BA21A2" w14:textId="3ED53450" w:rsidR="00445171" w:rsidRPr="003B03BE" w:rsidRDefault="00445171" w:rsidP="00634F41">
      <w:pPr>
        <w:spacing w:line="240" w:lineRule="auto"/>
        <w:jc w:val="left"/>
        <w:rPr>
          <w:rFonts w:eastAsia="Times New Roman" w:cs="Times New Roman"/>
          <w:iCs/>
          <w:szCs w:val="24"/>
          <w:lang w:eastAsia="cs-CZ"/>
        </w:rPr>
      </w:pPr>
      <w:r w:rsidRPr="003B03BE">
        <w:rPr>
          <w:rFonts w:eastAsia="Times New Roman" w:cs="Times New Roman"/>
          <w:iCs/>
          <w:szCs w:val="24"/>
          <w:lang w:eastAsia="cs-CZ"/>
        </w:rPr>
        <w:tab/>
      </w:r>
      <w:r w:rsidRPr="003B03BE">
        <w:rPr>
          <w:rFonts w:eastAsia="Times New Roman" w:cs="Times New Roman"/>
          <w:iCs/>
          <w:szCs w:val="24"/>
          <w:lang w:eastAsia="cs-CZ"/>
        </w:rPr>
        <w:tab/>
        <w:t>Zpráva o hodnocení nabídek</w:t>
      </w:r>
      <w:r w:rsidR="003B03BE" w:rsidRPr="003B03BE">
        <w:rPr>
          <w:rFonts w:eastAsia="Times New Roman" w:cs="Times New Roman"/>
          <w:iCs/>
          <w:szCs w:val="24"/>
          <w:lang w:eastAsia="cs-CZ"/>
        </w:rPr>
        <w:t xml:space="preserve"> </w:t>
      </w:r>
      <w:r w:rsidR="003B03BE" w:rsidRPr="003B03BE">
        <w:rPr>
          <w:rFonts w:eastAsia="Times New Roman" w:cs="Times New Roman"/>
          <w:i/>
          <w:szCs w:val="24"/>
          <w:lang w:eastAsia="cs-CZ"/>
        </w:rPr>
        <w:t>(na samostatné listině)</w:t>
      </w:r>
    </w:p>
    <w:p w14:paraId="35F3855F" w14:textId="43A4A406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</w:p>
    <w:p w14:paraId="1A4F8557" w14:textId="19D78B3D" w:rsidR="00CF3902" w:rsidRPr="0052050F" w:rsidRDefault="00CF3902">
      <w:pPr>
        <w:rPr>
          <w:shd w:val="clear" w:color="auto" w:fill="FFFFFF"/>
        </w:rPr>
      </w:pPr>
    </w:p>
    <w:sectPr w:rsidR="00CF3902" w:rsidRPr="0052050F" w:rsidSect="008B13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24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8F3C" w14:textId="77777777" w:rsidR="00993F74" w:rsidRDefault="00993F74">
      <w:pPr>
        <w:spacing w:line="240" w:lineRule="auto"/>
      </w:pPr>
      <w:r>
        <w:separator/>
      </w:r>
    </w:p>
  </w:endnote>
  <w:endnote w:type="continuationSeparator" w:id="0">
    <w:p w14:paraId="46F933F8" w14:textId="77777777" w:rsidR="00993F74" w:rsidRDefault="00993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E32" w14:textId="7078A2B3" w:rsidR="002C7DB0" w:rsidRPr="008B133A" w:rsidRDefault="00760B07" w:rsidP="00046B12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0"/>
        <w:lang w:val="x-none" w:eastAsia="x-none"/>
      </w:rPr>
    </w:pPr>
    <w:r w:rsidRPr="008B133A">
      <w:rPr>
        <w:rFonts w:eastAsia="Times New Roman" w:cs="Times New Roman"/>
        <w:sz w:val="20"/>
        <w:lang w:val="x-none" w:eastAsia="x-none"/>
      </w:rPr>
      <w:fldChar w:fldCharType="begin"/>
    </w:r>
    <w:r w:rsidRPr="008B133A">
      <w:rPr>
        <w:rFonts w:eastAsia="Times New Roman" w:cs="Times New Roman"/>
        <w:sz w:val="20"/>
        <w:lang w:val="x-none" w:eastAsia="x-none"/>
      </w:rPr>
      <w:instrText xml:space="preserve">PAGE  </w:instrText>
    </w:r>
    <w:r w:rsidRPr="008B133A">
      <w:rPr>
        <w:rFonts w:eastAsia="Times New Roman" w:cs="Times New Roman"/>
        <w:sz w:val="20"/>
        <w:lang w:val="x-none" w:eastAsia="x-none"/>
      </w:rPr>
      <w:fldChar w:fldCharType="separate"/>
    </w:r>
    <w:r w:rsidR="00993F74" w:rsidRPr="008B133A">
      <w:rPr>
        <w:rFonts w:eastAsia="Times New Roman" w:cs="Times New Roman"/>
        <w:noProof/>
        <w:sz w:val="20"/>
        <w:lang w:val="x-none" w:eastAsia="x-none"/>
      </w:rPr>
      <w:t>1</w:t>
    </w:r>
    <w:r w:rsidRPr="008B133A">
      <w:rPr>
        <w:rFonts w:eastAsia="Times New Roman" w:cs="Times New Roman"/>
        <w:sz w:val="20"/>
        <w:lang w:val="x-none" w:eastAsia="x-none"/>
      </w:rPr>
      <w:fldChar w:fldCharType="end"/>
    </w:r>
  </w:p>
  <w:p w14:paraId="58F31FAC" w14:textId="77777777" w:rsidR="008B133A" w:rsidRDefault="008B133A" w:rsidP="008B13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1C53" w14:textId="77777777" w:rsidR="002C7DB0" w:rsidRPr="00CB76BA" w:rsidRDefault="002C7DB0" w:rsidP="00046B12">
    <w:pPr>
      <w:pStyle w:val="Zpat"/>
      <w:rPr>
        <w:rFonts w:cs="Times New Roman"/>
        <w:sz w:val="18"/>
        <w:szCs w:val="18"/>
      </w:rPr>
    </w:pPr>
  </w:p>
  <w:p w14:paraId="0F625686" w14:textId="77777777" w:rsidR="002C7DB0" w:rsidRDefault="002C7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56EB" w14:textId="77777777" w:rsidR="00993F74" w:rsidRDefault="00993F74">
      <w:pPr>
        <w:spacing w:line="240" w:lineRule="auto"/>
      </w:pPr>
      <w:r>
        <w:separator/>
      </w:r>
    </w:p>
  </w:footnote>
  <w:footnote w:type="continuationSeparator" w:id="0">
    <w:p w14:paraId="0FB44EA4" w14:textId="77777777" w:rsidR="00993F74" w:rsidRDefault="00993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45D0" w14:textId="77777777" w:rsidR="002C7DB0" w:rsidRPr="00DF4843" w:rsidRDefault="00760B07" w:rsidP="00FA44A4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E6E6466" wp14:editId="7C0E7E15">
          <wp:extent cx="1060450" cy="704850"/>
          <wp:effectExtent l="0" t="0" r="6350" b="0"/>
          <wp:docPr id="2069341210" name="Obrázek 2069341210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1168D430" w14:textId="77777777" w:rsidR="002C7DB0" w:rsidRDefault="002C7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D674" w14:textId="77777777" w:rsidR="002C7DB0" w:rsidRDefault="002C7DB0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5F6DF5DB" w14:textId="77777777" w:rsidR="002C7DB0" w:rsidRPr="002835F8" w:rsidRDefault="00760B07" w:rsidP="002835F8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5307F472" wp14:editId="7339AD53">
          <wp:extent cx="1057275" cy="704850"/>
          <wp:effectExtent l="0" t="0" r="9525" b="0"/>
          <wp:docPr id="595687051" name="Obrázek 59568705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187DCAF9" w14:textId="77777777" w:rsidR="002C7DB0" w:rsidRDefault="00760B07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2CE061F7" w14:textId="77777777" w:rsidR="002C7DB0" w:rsidRPr="005952DE" w:rsidRDefault="002C7DB0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1F24"/>
    <w:multiLevelType w:val="hybridMultilevel"/>
    <w:tmpl w:val="B42C725C"/>
    <w:lvl w:ilvl="0" w:tplc="AE8A6A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D5D"/>
    <w:multiLevelType w:val="hybridMultilevel"/>
    <w:tmpl w:val="C878569C"/>
    <w:lvl w:ilvl="0" w:tplc="38A6B5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0507">
    <w:abstractNumId w:val="0"/>
  </w:num>
  <w:num w:numId="2" w16cid:durableId="132928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41"/>
    <w:rsid w:val="00077139"/>
    <w:rsid w:val="0015021A"/>
    <w:rsid w:val="00173DC1"/>
    <w:rsid w:val="00230221"/>
    <w:rsid w:val="00245BEB"/>
    <w:rsid w:val="00263C17"/>
    <w:rsid w:val="00287168"/>
    <w:rsid w:val="002C0167"/>
    <w:rsid w:val="002C7DB0"/>
    <w:rsid w:val="002E6933"/>
    <w:rsid w:val="003970E3"/>
    <w:rsid w:val="003B03BE"/>
    <w:rsid w:val="003E50B3"/>
    <w:rsid w:val="00430E20"/>
    <w:rsid w:val="00445171"/>
    <w:rsid w:val="004A476C"/>
    <w:rsid w:val="0052050F"/>
    <w:rsid w:val="00634F41"/>
    <w:rsid w:val="00676E0D"/>
    <w:rsid w:val="00755C66"/>
    <w:rsid w:val="00760B07"/>
    <w:rsid w:val="007928A0"/>
    <w:rsid w:val="00793E60"/>
    <w:rsid w:val="00802783"/>
    <w:rsid w:val="00867979"/>
    <w:rsid w:val="008B133A"/>
    <w:rsid w:val="008E0307"/>
    <w:rsid w:val="008E77D5"/>
    <w:rsid w:val="009102CC"/>
    <w:rsid w:val="00993F74"/>
    <w:rsid w:val="00AC2E5B"/>
    <w:rsid w:val="00B8755B"/>
    <w:rsid w:val="00C1637E"/>
    <w:rsid w:val="00CF3902"/>
    <w:rsid w:val="00D35074"/>
    <w:rsid w:val="00D65162"/>
    <w:rsid w:val="00DB3D15"/>
    <w:rsid w:val="00E26F7E"/>
    <w:rsid w:val="00F16A4D"/>
    <w:rsid w:val="00F54BAE"/>
    <w:rsid w:val="00FB172F"/>
    <w:rsid w:val="00FC41D6"/>
    <w:rsid w:val="00FF0713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A02"/>
  <w15:chartTrackingRefBased/>
  <w15:docId w15:val="{1754A76F-599A-4261-956C-3CCB7D5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F41"/>
    <w:pPr>
      <w:spacing w:after="0" w:line="276" w:lineRule="auto"/>
      <w:jc w:val="both"/>
    </w:pPr>
    <w:rPr>
      <w:rFonts w:ascii="Times New Roman" w:eastAsia="Calibri" w:hAnsi="Times New Roman" w:cs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634F41"/>
    <w:pPr>
      <w:ind w:left="720"/>
    </w:pPr>
  </w:style>
  <w:style w:type="paragraph" w:styleId="Zhlav">
    <w:name w:val="header"/>
    <w:aliases w:val="záhlaví"/>
    <w:basedOn w:val="Normln"/>
    <w:link w:val="Zhlav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34F41"/>
    <w:rPr>
      <w:rFonts w:ascii="Times New Roman" w:eastAsia="Calibri" w:hAnsi="Times New Roman" w:cs="Arial"/>
      <w:sz w:val="24"/>
      <w:szCs w:val="20"/>
    </w:rPr>
  </w:style>
  <w:style w:type="paragraph" w:styleId="Zpat">
    <w:name w:val="footer"/>
    <w:basedOn w:val="Normln"/>
    <w:link w:val="Zpat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F41"/>
    <w:rPr>
      <w:rFonts w:ascii="Times New Roman" w:eastAsia="Calibri" w:hAnsi="Times New Roman" w:cs="Arial"/>
      <w:sz w:val="24"/>
      <w:szCs w:val="20"/>
    </w:r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634F41"/>
    <w:rPr>
      <w:rFonts w:ascii="Times New Roman" w:eastAsia="Calibri" w:hAnsi="Times New Roman" w:cs="Arial"/>
      <w:sz w:val="24"/>
      <w:szCs w:val="20"/>
    </w:rPr>
  </w:style>
  <w:style w:type="paragraph" w:customStyle="1" w:styleId="Default">
    <w:name w:val="Default"/>
    <w:rsid w:val="00634F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zevdokumentu">
    <w:name w:val="Název dokumentu"/>
    <w:link w:val="NzevdokumentuChar"/>
    <w:qFormat/>
    <w:rsid w:val="00634F41"/>
    <w:pPr>
      <w:spacing w:before="240" w:after="24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rsid w:val="00634F41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5B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BEB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BEB"/>
    <w:rPr>
      <w:rFonts w:ascii="Times New Roman" w:eastAsia="Calibri" w:hAnsi="Times New Roman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BEB"/>
    <w:rPr>
      <w:rFonts w:ascii="Times New Roman" w:eastAsia="Calibri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výběru dodavatele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výběru dodavatele</dc:title>
  <dc:subject/>
  <dc:creator>Libor Kučera</dc:creator>
  <cp:keywords/>
  <dc:description/>
  <cp:lastModifiedBy>Jana Mullerová</cp:lastModifiedBy>
  <cp:revision>4</cp:revision>
  <dcterms:created xsi:type="dcterms:W3CDTF">2025-02-18T08:26:00Z</dcterms:created>
  <dcterms:modified xsi:type="dcterms:W3CDTF">2025-02-18T08:40:00Z</dcterms:modified>
</cp:coreProperties>
</file>