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3BC8" w14:textId="77777777" w:rsidR="00873D34" w:rsidRPr="00180EEA" w:rsidRDefault="00873D34"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738BC4F7" w14:textId="77777777" w:rsidR="009B60FB" w:rsidRPr="00EC67FB" w:rsidRDefault="009B60FB" w:rsidP="009B60FB">
      <w:pPr>
        <w:ind w:leftChars="0" w:left="0" w:firstLineChars="0" w:firstLine="0"/>
        <w:rPr>
          <w:rFonts w:ascii="Tahoma" w:hAnsi="Tahoma" w:cs="Tahoma"/>
          <w:b/>
          <w:color w:val="000000"/>
        </w:rPr>
      </w:pPr>
    </w:p>
    <w:p w14:paraId="1E332F4A" w14:textId="77777777" w:rsidR="00A10B13" w:rsidRPr="00A10B13" w:rsidRDefault="00A10B13" w:rsidP="00A10B13">
      <w:pPr>
        <w:pStyle w:val="Zkladntext"/>
        <w:ind w:left="0" w:hanging="2"/>
        <w:jc w:val="center"/>
        <w:rPr>
          <w:rFonts w:ascii="Tahoma" w:eastAsia="Calibri" w:hAnsi="Tahoma" w:cs="Tahoma"/>
          <w:b/>
          <w:bCs/>
          <w:color w:val="000000"/>
          <w:sz w:val="24"/>
          <w:szCs w:val="24"/>
          <w:u w:val="single"/>
        </w:rPr>
      </w:pPr>
      <w:r w:rsidRPr="00A10B13">
        <w:rPr>
          <w:rFonts w:ascii="Tahoma" w:eastAsia="Calibri" w:hAnsi="Tahoma" w:cs="Tahoma"/>
          <w:b/>
          <w:bCs/>
          <w:color w:val="000000"/>
          <w:sz w:val="24"/>
          <w:szCs w:val="24"/>
          <w:u w:val="single"/>
        </w:rPr>
        <w:t>Laboratorní hnětač plastických hmot</w:t>
      </w:r>
    </w:p>
    <w:p w14:paraId="7173396A" w14:textId="77777777" w:rsidR="002B2690" w:rsidRDefault="002B2690" w:rsidP="006041A3">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proofErr w:type="spellStart"/>
      <w:r>
        <w:rPr>
          <w:rFonts w:ascii="Tahoma" w:hAnsi="Tahoma" w:cs="Tahoma"/>
        </w:rPr>
        <w:t>Korespond</w:t>
      </w:r>
      <w:proofErr w:type="spellEnd"/>
      <w:r>
        <w:rPr>
          <w:rFonts w:ascii="Tahoma" w:hAnsi="Tahoma" w:cs="Tahoma"/>
        </w:rPr>
        <w:t>.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628C17B5" w14:textId="38FD9462" w:rsidR="002B2690" w:rsidRPr="00952430" w:rsidRDefault="00E01232" w:rsidP="00952430">
      <w:pPr>
        <w:pStyle w:val="Odstavecseseznamem"/>
        <w:spacing w:line="240" w:lineRule="auto"/>
        <w:ind w:left="0" w:hanging="2"/>
        <w:jc w:val="both"/>
        <w:rPr>
          <w:rFonts w:ascii="Tahoma" w:hAnsi="Tahoma" w:cs="Tahoma"/>
          <w:u w:val="single"/>
        </w:rPr>
      </w:pPr>
      <w:r>
        <w:rPr>
          <w:rFonts w:ascii="Tahoma" w:eastAsia="Tahoma" w:hAnsi="Tahoma" w:cs="Tahoma"/>
          <w:color w:val="000000"/>
        </w:rPr>
        <w:t>zastoupený ve věcech technických</w:t>
      </w:r>
      <w:r w:rsidR="00997B58">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52430" w:rsidRPr="009B6205">
        <w:rPr>
          <w:rFonts w:ascii="Arial" w:hAnsi="Arial" w:cs="Arial"/>
          <w:color w:val="000000" w:themeColor="text1"/>
          <w:highlight w:val="black"/>
          <w:shd w:val="clear" w:color="auto" w:fill="FFFFFF"/>
        </w:rPr>
        <w:t>,</w:t>
      </w:r>
      <w:r w:rsidR="00952430" w:rsidRPr="009B6205">
        <w:rPr>
          <w:rFonts w:ascii="Arial" w:hAnsi="Arial" w:cs="Arial"/>
          <w:color w:val="000000" w:themeColor="text1"/>
          <w:shd w:val="clear" w:color="auto" w:fill="FFFFFF"/>
        </w:rPr>
        <w:t xml:space="preserve"> </w:t>
      </w:r>
      <w:r w:rsidR="00952430">
        <w:rPr>
          <w:rFonts w:ascii="Arial" w:hAnsi="Arial" w:cs="Arial"/>
          <w:shd w:val="clear" w:color="auto" w:fill="FFFFFF"/>
        </w:rPr>
        <w:t>tel.</w:t>
      </w:r>
      <w:proofErr w:type="gramStart"/>
      <w:r w:rsidR="00952430">
        <w:rPr>
          <w:rFonts w:ascii="Arial" w:hAnsi="Arial" w:cs="Arial"/>
          <w:shd w:val="clear" w:color="auto" w:fill="FFFFFF"/>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w:t>
      </w:r>
      <w:proofErr w:type="spellEnd"/>
      <w:r w:rsidR="009B6205" w:rsidRPr="009B6205">
        <w:rPr>
          <w:rFonts w:ascii="Arial" w:hAnsi="Arial" w:cs="Arial"/>
          <w:color w:val="000000" w:themeColor="text1"/>
          <w:highlight w:val="black"/>
          <w:shd w:val="clear" w:color="auto" w:fill="FFFFFF"/>
        </w:rPr>
        <w:t>,</w:t>
      </w:r>
      <w:r w:rsidR="00952430">
        <w:rPr>
          <w:rFonts w:ascii="Arial" w:hAnsi="Arial" w:cs="Arial"/>
          <w:shd w:val="clear" w:color="auto" w:fill="FFFFFF"/>
        </w:rPr>
        <w:t xml:space="preserve">, e-mail: </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6C78B3C9" w14:textId="4A05E043" w:rsidR="006B093E" w:rsidRPr="002B2690" w:rsidRDefault="00E01232" w:rsidP="002B2690">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Bankovní spojení</w:t>
      </w:r>
      <w:proofErr w:type="gramStart"/>
      <w:r w:rsidRPr="006A6988">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6D96149C" w14:textId="68717A4B"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Číslo účtu</w:t>
      </w:r>
      <w:proofErr w:type="gramStart"/>
      <w:r>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B34BDBB" w14:textId="2512057B" w:rsidR="00387CA2" w:rsidRPr="008F62DD" w:rsidRDefault="00387CA2" w:rsidP="00387CA2">
      <w:pPr>
        <w:widowControl w:val="0"/>
        <w:pBdr>
          <w:top w:val="nil"/>
          <w:left w:val="nil"/>
          <w:bottom w:val="nil"/>
          <w:right w:val="nil"/>
          <w:between w:val="nil"/>
        </w:pBdr>
        <w:spacing w:line="240" w:lineRule="auto"/>
        <w:ind w:leftChars="0" w:left="0" w:firstLineChars="0" w:firstLine="0"/>
        <w:jc w:val="both"/>
        <w:rPr>
          <w:rFonts w:ascii="Tahoma" w:eastAsia="Tahoma" w:hAnsi="Tahoma" w:cs="Tahoma"/>
          <w:b/>
          <w:bCs/>
          <w:color w:val="000000"/>
        </w:rPr>
      </w:pPr>
      <w:r w:rsidRPr="008F62DD">
        <w:rPr>
          <w:rFonts w:ascii="Tahoma" w:eastAsia="Tahoma" w:hAnsi="Tahoma" w:cs="Tahoma"/>
          <w:b/>
          <w:bCs/>
          <w:color w:val="000000"/>
        </w:rPr>
        <w:t xml:space="preserve">Anton </w:t>
      </w:r>
      <w:proofErr w:type="spellStart"/>
      <w:r w:rsidRPr="008F62DD">
        <w:rPr>
          <w:rFonts w:ascii="Tahoma" w:eastAsia="Tahoma" w:hAnsi="Tahoma" w:cs="Tahoma"/>
          <w:b/>
          <w:bCs/>
          <w:color w:val="000000"/>
        </w:rPr>
        <w:t>Paar</w:t>
      </w:r>
      <w:proofErr w:type="spellEnd"/>
      <w:r w:rsidRPr="008F62DD">
        <w:rPr>
          <w:rFonts w:ascii="Tahoma" w:eastAsia="Tahoma" w:hAnsi="Tahoma" w:cs="Tahoma"/>
          <w:b/>
          <w:bCs/>
          <w:color w:val="000000"/>
        </w:rPr>
        <w:t xml:space="preserve"> Czech Republic s.r.o. </w:t>
      </w:r>
    </w:p>
    <w:p w14:paraId="615FB188" w14:textId="77777777"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se sídlem: K Červenému dvoru 3269/</w:t>
      </w:r>
      <w:proofErr w:type="gramStart"/>
      <w:r w:rsidRPr="00387CA2">
        <w:rPr>
          <w:rFonts w:ascii="Tahoma" w:eastAsia="Tahoma" w:hAnsi="Tahoma" w:cs="Tahoma"/>
          <w:color w:val="000000"/>
        </w:rPr>
        <w:t>25a</w:t>
      </w:r>
      <w:proofErr w:type="gramEnd"/>
      <w:r w:rsidRPr="00387CA2">
        <w:rPr>
          <w:rFonts w:ascii="Tahoma" w:eastAsia="Tahoma" w:hAnsi="Tahoma" w:cs="Tahoma"/>
          <w:color w:val="000000"/>
        </w:rPr>
        <w:t xml:space="preserve">, 130 00 Praha 3, Česká republika </w:t>
      </w:r>
    </w:p>
    <w:p w14:paraId="2F2A9F53" w14:textId="77777777"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 xml:space="preserve">IČO: 05512395 </w:t>
      </w:r>
    </w:p>
    <w:p w14:paraId="112F02BB" w14:textId="77777777"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 xml:space="preserve">DIČ: CZ05512395 </w:t>
      </w:r>
    </w:p>
    <w:p w14:paraId="53886FA9" w14:textId="77777777"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 xml:space="preserve">zápis v OR: společnost zapsaná v obchodním rejstříku vedeném Městským soudem v Praze, oddíl C, vložka 264942 </w:t>
      </w:r>
    </w:p>
    <w:p w14:paraId="34309B49" w14:textId="4EBEDF20"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zastoupený ve věcech smluvních: Martin Červinka, email</w:t>
      </w:r>
      <w:proofErr w:type="gramStart"/>
      <w:r w:rsidRPr="00387CA2">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r w:rsidRPr="00387CA2">
        <w:rPr>
          <w:rFonts w:ascii="Tahoma" w:eastAsia="Tahoma" w:hAnsi="Tahoma" w:cs="Tahoma"/>
          <w:color w:val="000000"/>
        </w:rPr>
        <w:t xml:space="preserve">, tel: </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47C200C8" w14:textId="373B0B92"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zastoupený ve věcech technických</w:t>
      </w:r>
      <w:proofErr w:type="gramStart"/>
      <w:r w:rsidRPr="00387CA2">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w:t>
      </w:r>
      <w:proofErr w:type="spellEnd"/>
      <w:r w:rsidR="009B6205" w:rsidRPr="009B6205">
        <w:rPr>
          <w:rFonts w:ascii="Arial" w:hAnsi="Arial" w:cs="Arial"/>
          <w:color w:val="000000" w:themeColor="text1"/>
          <w:highlight w:val="black"/>
          <w:shd w:val="clear" w:color="auto" w:fill="FFFFFF"/>
        </w:rPr>
        <w:t>,</w:t>
      </w:r>
      <w:r w:rsidRPr="00387CA2">
        <w:rPr>
          <w:rFonts w:ascii="Tahoma" w:eastAsia="Tahoma" w:hAnsi="Tahoma" w:cs="Tahoma"/>
          <w:color w:val="000000"/>
        </w:rPr>
        <w:t xml:space="preserve">, email: </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r w:rsidRPr="00387CA2">
        <w:rPr>
          <w:rFonts w:ascii="Tahoma" w:eastAsia="Tahoma" w:hAnsi="Tahoma" w:cs="Tahoma"/>
          <w:color w:val="000000"/>
        </w:rPr>
        <w:t xml:space="preserve">, tel: </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78A4DA82" w14:textId="72E46395" w:rsidR="00387CA2"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Bankovní spojení</w:t>
      </w:r>
      <w:proofErr w:type="gramStart"/>
      <w:r w:rsidRPr="00387CA2">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xxxxxxxxxxxxxxxxx,xxxxxxxxxxxxxxxxx</w:t>
      </w:r>
      <w:proofErr w:type="spellEnd"/>
      <w:r w:rsidR="009B6205" w:rsidRPr="009B6205">
        <w:rPr>
          <w:rFonts w:ascii="Arial" w:hAnsi="Arial" w:cs="Arial"/>
          <w:color w:val="000000" w:themeColor="text1"/>
          <w:highlight w:val="black"/>
          <w:shd w:val="clear" w:color="auto" w:fill="FFFFFF"/>
        </w:rPr>
        <w:t>,</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r w:rsidR="009B6205" w:rsidRP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Pr="00387CA2">
        <w:rPr>
          <w:rFonts w:ascii="Tahoma" w:eastAsia="Tahoma" w:hAnsi="Tahoma" w:cs="Tahoma"/>
          <w:color w:val="000000"/>
        </w:rPr>
        <w:t xml:space="preserve"> </w:t>
      </w:r>
    </w:p>
    <w:p w14:paraId="42B2D8CA" w14:textId="794366B4" w:rsidR="006B093E" w:rsidRP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Číslo účtu</w:t>
      </w:r>
      <w:proofErr w:type="gramStart"/>
      <w:r w:rsidRPr="00387CA2">
        <w:rPr>
          <w:rFonts w:ascii="Tahoma" w:eastAsia="Tahoma" w:hAnsi="Tahoma" w:cs="Tahoma"/>
          <w:color w:val="000000"/>
        </w:rPr>
        <w:t xml:space="preserve">: </w:t>
      </w:r>
      <w:r w:rsidR="009B6205">
        <w:rPr>
          <w:rFonts w:ascii="Tahoma" w:eastAsia="Tahoma" w:hAnsi="Tahoma" w:cs="Tahoma"/>
          <w:color w:val="000000"/>
        </w:rPr>
        <w:t>:</w:t>
      </w:r>
      <w:proofErr w:type="gramEnd"/>
      <w:r w:rsidR="009B6205">
        <w:rPr>
          <w:rFonts w:ascii="Tahoma" w:eastAsia="Tahoma" w:hAnsi="Tahoma" w:cs="Tahoma"/>
          <w:color w:val="000000"/>
        </w:rPr>
        <w:t xml:space="preserve"> </w:t>
      </w:r>
      <w:proofErr w:type="spellStart"/>
      <w:r w:rsidR="009B6205" w:rsidRPr="009B6205">
        <w:rPr>
          <w:rFonts w:ascii="Arial" w:hAnsi="Arial" w:cs="Arial"/>
          <w:color w:val="000000" w:themeColor="text1"/>
          <w:highlight w:val="black"/>
          <w:shd w:val="clear" w:color="auto" w:fill="FFFFFF"/>
        </w:rPr>
        <w:t>xxxxxxxxxxxxxxxxx</w:t>
      </w:r>
      <w:proofErr w:type="spellEnd"/>
      <w:r w:rsidR="009B6205" w:rsidRPr="009B6205">
        <w:rPr>
          <w:rFonts w:ascii="Arial" w:hAnsi="Arial" w:cs="Arial"/>
          <w:color w:val="000000" w:themeColor="text1"/>
          <w:highlight w:val="black"/>
          <w:shd w:val="clear" w:color="auto" w:fill="FFFFFF"/>
        </w:rPr>
        <w:t>,</w:t>
      </w:r>
    </w:p>
    <w:p w14:paraId="3B13DD3C" w14:textId="77777777" w:rsidR="00387CA2" w:rsidRDefault="00387CA2" w:rsidP="00387CA2">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387CA2">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62AB8B9B" w14:textId="21EF9C8C" w:rsidR="00ED7F06" w:rsidRPr="003A2D6C" w:rsidRDefault="00E01232" w:rsidP="003A2D6C">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3A2D6C" w:rsidRPr="003A2D6C">
        <w:rPr>
          <w:rFonts w:ascii="Tahoma" w:hAnsi="Tahoma" w:cs="Tahoma"/>
          <w:b/>
          <w:i/>
          <w:iCs/>
          <w:u w:val="single"/>
        </w:rPr>
        <w:t>„</w:t>
      </w:r>
      <w:r w:rsidR="00A10B13" w:rsidRPr="00A10B13">
        <w:rPr>
          <w:rFonts w:ascii="Tahoma" w:hAnsi="Tahoma" w:cs="Tahoma"/>
          <w:b/>
          <w:i/>
          <w:iCs/>
          <w:u w:val="single"/>
        </w:rPr>
        <w:t>Laboratorní hnětač plastických hmot</w:t>
      </w:r>
      <w:r w:rsidR="00A10B13">
        <w:rPr>
          <w:rFonts w:ascii="Tahoma" w:hAnsi="Tahoma" w:cs="Tahoma"/>
          <w:b/>
          <w:i/>
          <w:iCs/>
        </w:rPr>
        <w:t>“</w:t>
      </w:r>
      <w:r w:rsidR="00A10B13" w:rsidRPr="00A10B13">
        <w:rPr>
          <w:rFonts w:ascii="Tahoma" w:hAnsi="Tahoma" w:cs="Tahoma"/>
          <w:bCs/>
        </w:rPr>
        <w:t>,</w:t>
      </w:r>
      <w:r w:rsidR="00A10B13">
        <w:rPr>
          <w:rFonts w:ascii="Tahoma" w:hAnsi="Tahoma" w:cs="Tahoma"/>
          <w:b/>
          <w:i/>
          <w:iCs/>
        </w:rPr>
        <w:t xml:space="preserve"> </w:t>
      </w:r>
      <w:r w:rsidR="00ED7F06" w:rsidRPr="003A2D6C">
        <w:rPr>
          <w:rFonts w:ascii="Tahoma" w:eastAsia="Tahoma" w:hAnsi="Tahoma" w:cs="Tahoma"/>
          <w:color w:val="000000"/>
        </w:rPr>
        <w:t xml:space="preserve">která byla zadána </w:t>
      </w:r>
      <w:r w:rsidR="009B1057" w:rsidRPr="00D23DEC">
        <w:rPr>
          <w:rFonts w:ascii="Tahoma" w:hAnsi="Tahoma" w:cs="Tahoma"/>
        </w:rPr>
        <w:t>v </w:t>
      </w:r>
      <w:r w:rsidR="009B1057">
        <w:rPr>
          <w:rFonts w:ascii="Tahoma" w:hAnsi="Tahoma" w:cs="Tahoma"/>
        </w:rPr>
        <w:t>nadlimitním</w:t>
      </w:r>
      <w:r w:rsidR="009B1057" w:rsidRPr="00D23DEC">
        <w:rPr>
          <w:rFonts w:ascii="Tahoma" w:hAnsi="Tahoma" w:cs="Tahoma"/>
        </w:rPr>
        <w:t xml:space="preserve"> režimu </w:t>
      </w:r>
      <w:r w:rsidR="009B1057" w:rsidRPr="00097A4A">
        <w:rPr>
          <w:rFonts w:ascii="Tahoma" w:hAnsi="Tahoma" w:cs="Tahoma"/>
        </w:rPr>
        <w:t xml:space="preserve">v otevřeném řízení dle </w:t>
      </w:r>
      <w:r w:rsidR="009B1057" w:rsidRPr="00097A4A">
        <w:rPr>
          <w:rFonts w:ascii="Tahoma" w:hAnsi="Tahoma" w:cs="Tahoma"/>
          <w:b/>
        </w:rPr>
        <w:t xml:space="preserve">§ 56 </w:t>
      </w:r>
      <w:r w:rsidR="00ED7F06" w:rsidRPr="003A4EA9">
        <w:rPr>
          <w:rFonts w:ascii="Tahoma" w:eastAsia="Tahoma" w:hAnsi="Tahoma" w:cs="Tahoma"/>
          <w:b/>
          <w:bCs/>
          <w:color w:val="000000"/>
        </w:rPr>
        <w:t>zákona č. 134/2016 Sb., o zadávání veřejných zakázek</w:t>
      </w:r>
      <w:r w:rsidR="00ED7F06" w:rsidRPr="003A2D6C">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19201E38" w14:textId="19CA3F5D" w:rsidR="006A6988" w:rsidRPr="003A2D6C" w:rsidRDefault="00E01232" w:rsidP="00ED7F06">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1" w:name="_Hlk138932288"/>
      <w:r w:rsidR="006A6988" w:rsidRPr="003A2D6C">
        <w:rPr>
          <w:rFonts w:ascii="Tahoma" w:eastAsia="Tahoma" w:hAnsi="Tahoma" w:cs="Tahoma"/>
          <w:color w:val="000000"/>
        </w:rPr>
        <w:t>v rámci Operačního programu Jan Amos Komenský.</w:t>
      </w:r>
    </w:p>
    <w:bookmarkEnd w:id="1"/>
    <w:p w14:paraId="091BDAB7" w14:textId="611C3036" w:rsidR="009B1057" w:rsidRPr="009B1057" w:rsidRDefault="009B1057" w:rsidP="009B1057">
      <w:pPr>
        <w:pStyle w:val="Odstavecseseznamem"/>
        <w:ind w:leftChars="0" w:left="720" w:firstLineChars="0"/>
        <w:jc w:val="both"/>
        <w:rPr>
          <w:rFonts w:ascii="Tahoma" w:hAnsi="Tahoma" w:cs="Tahoma"/>
          <w:iCs/>
        </w:rPr>
      </w:pPr>
      <w:r w:rsidRPr="009B1057">
        <w:rPr>
          <w:rFonts w:ascii="Tahoma" w:eastAsia="Calibri" w:hAnsi="Tahoma" w:cs="Tahoma"/>
        </w:rPr>
        <w:t xml:space="preserve">Název projektu: </w:t>
      </w:r>
      <w:r w:rsidRPr="009B1057">
        <w:rPr>
          <w:rFonts w:ascii="Tahoma" w:hAnsi="Tahoma" w:cs="Tahoma"/>
          <w:iCs/>
        </w:rPr>
        <w:t>Inovativní a laserové a scintilační materiály pro moderní aplikace</w:t>
      </w:r>
    </w:p>
    <w:p w14:paraId="0CA252EF" w14:textId="77777777" w:rsidR="009B1057" w:rsidRPr="009B1057" w:rsidRDefault="009B1057" w:rsidP="009B1057">
      <w:pPr>
        <w:pStyle w:val="Odstavecseseznamem"/>
        <w:ind w:leftChars="0" w:left="720" w:firstLineChars="0"/>
        <w:jc w:val="both"/>
        <w:rPr>
          <w:rFonts w:ascii="Tahoma" w:hAnsi="Tahoma" w:cs="Tahoma"/>
          <w:iCs/>
        </w:rPr>
      </w:pPr>
      <w:r w:rsidRPr="009B1057">
        <w:rPr>
          <w:rFonts w:ascii="Tahoma" w:hAnsi="Tahoma" w:cs="Tahoma"/>
          <w:iCs/>
        </w:rPr>
        <w:t>Registrační číslo projektu: CZ.02.01.01/00/23_020/0008525</w:t>
      </w: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2B13611" w14:textId="77777777" w:rsidR="0019576D" w:rsidRPr="003A2D6C" w:rsidRDefault="0019576D"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11F60E13" w14:textId="03599C1D" w:rsidR="00FE3DF0" w:rsidRPr="003A2D6C" w:rsidRDefault="00E01232" w:rsidP="003A2D6C">
      <w:pPr>
        <w:numPr>
          <w:ilvl w:val="0"/>
          <w:numId w:val="34"/>
        </w:num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bookmarkStart w:id="2" w:name="_Hlk174616907"/>
      <w:r w:rsidRPr="009658AC">
        <w:rPr>
          <w:rFonts w:ascii="Tahoma" w:hAnsi="Tahoma" w:cs="Tahoma"/>
          <w:spacing w:val="-4"/>
        </w:rPr>
        <w:t>Předmětem koupě</w:t>
      </w:r>
      <w:r w:rsidR="00BA7D1A" w:rsidRPr="009658AC">
        <w:rPr>
          <w:rFonts w:ascii="Tahoma" w:hAnsi="Tahoma" w:cs="Tahoma"/>
          <w:spacing w:val="-4"/>
        </w:rPr>
        <w:t xml:space="preserve"> je</w:t>
      </w:r>
      <w:bookmarkEnd w:id="2"/>
      <w:r w:rsidR="00A10B13" w:rsidRPr="00E65BF5">
        <w:rPr>
          <w:rFonts w:ascii="Tahoma" w:hAnsi="Tahoma" w:cs="Tahoma"/>
        </w:rPr>
        <w:t xml:space="preserve"> kompaktní laboratorní hnětač plastických hmot s malým objemem vzorku určeného pro přípravu a testování kompozitních </w:t>
      </w:r>
      <w:proofErr w:type="spellStart"/>
      <w:r w:rsidR="00A10B13" w:rsidRPr="00E65BF5">
        <w:rPr>
          <w:rFonts w:ascii="Tahoma" w:hAnsi="Tahoma" w:cs="Tahoma"/>
        </w:rPr>
        <w:t>nanoscintilátorů</w:t>
      </w:r>
      <w:proofErr w:type="spellEnd"/>
      <w:r w:rsidR="00A10B13" w:rsidRPr="00E65BF5">
        <w:rPr>
          <w:rFonts w:ascii="Tahoma" w:hAnsi="Tahoma" w:cs="Tahoma"/>
        </w:rPr>
        <w:t xml:space="preserve"> v minimálním postačujícím množství. Zařízení je určeno k plnění vědeckých a výzkumných cílů na projektu Inovativní a laserové a scintilační materiály pro moderní aplikace.</w:t>
      </w:r>
      <w:r w:rsidR="00A10B13" w:rsidRPr="003A2D6C">
        <w:rPr>
          <w:rFonts w:ascii="Tahoma" w:hAnsi="Tahoma" w:cs="Tahoma"/>
          <w:spacing w:val="-4"/>
        </w:rPr>
        <w:t xml:space="preserve"> </w:t>
      </w:r>
      <w:r w:rsidR="00FE3DF0" w:rsidRPr="003A2D6C">
        <w:rPr>
          <w:rFonts w:ascii="Tahoma" w:hAnsi="Tahoma" w:cs="Tahoma"/>
          <w:spacing w:val="-4"/>
        </w:rPr>
        <w:t>(</w:t>
      </w:r>
      <w:r w:rsidR="00BA7D1A" w:rsidRPr="003A2D6C">
        <w:rPr>
          <w:rFonts w:ascii="Tahoma" w:hAnsi="Tahoma" w:cs="Tahoma"/>
          <w:spacing w:val="-4"/>
        </w:rPr>
        <w:t xml:space="preserve">dále </w:t>
      </w:r>
      <w:r w:rsidR="00FE3DF0" w:rsidRPr="003A2D6C">
        <w:rPr>
          <w:rFonts w:ascii="Tahoma" w:hAnsi="Tahoma" w:cs="Tahoma"/>
          <w:spacing w:val="-4"/>
        </w:rPr>
        <w:t xml:space="preserve">jen </w:t>
      </w:r>
      <w:r w:rsidR="00BA7D1A" w:rsidRPr="003A2D6C">
        <w:rPr>
          <w:rFonts w:ascii="Tahoma" w:hAnsi="Tahoma" w:cs="Tahoma"/>
          <w:spacing w:val="-4"/>
        </w:rPr>
        <w:t>„</w:t>
      </w:r>
      <w:r w:rsidR="00FE3DF0" w:rsidRPr="003A2D6C">
        <w:rPr>
          <w:rFonts w:ascii="Tahoma" w:hAnsi="Tahoma" w:cs="Tahoma"/>
          <w:spacing w:val="-4"/>
        </w:rPr>
        <w:t>zboží</w:t>
      </w:r>
      <w:r w:rsidR="00BA7D1A" w:rsidRPr="003A2D6C">
        <w:rPr>
          <w:rFonts w:ascii="Tahoma" w:hAnsi="Tahoma" w:cs="Tahoma"/>
          <w:spacing w:val="-4"/>
        </w:rPr>
        <w:t>“</w:t>
      </w:r>
      <w:r w:rsidR="00FE3DF0" w:rsidRPr="003A2D6C">
        <w:rPr>
          <w:rFonts w:ascii="Tahoma" w:hAnsi="Tahoma" w:cs="Tahoma"/>
          <w:spacing w:val="-4"/>
        </w:rPr>
        <w:t>)</w:t>
      </w:r>
      <w:r w:rsidR="002F0D4F" w:rsidRPr="003A2D6C">
        <w:rPr>
          <w:rFonts w:ascii="Tahoma" w:hAnsi="Tahoma" w:cs="Tahoma"/>
          <w:spacing w:val="-4"/>
        </w:rPr>
        <w:t>.</w:t>
      </w:r>
    </w:p>
    <w:p w14:paraId="679B9914" w14:textId="77777777" w:rsidR="001271CE" w:rsidRDefault="001271CE" w:rsidP="001271CE">
      <w:pPr>
        <w:pBdr>
          <w:top w:val="nil"/>
          <w:left w:val="nil"/>
          <w:bottom w:val="nil"/>
          <w:right w:val="nil"/>
          <w:between w:val="nil"/>
        </w:pBdr>
        <w:tabs>
          <w:tab w:val="left" w:pos="426"/>
        </w:tabs>
        <w:spacing w:line="240" w:lineRule="auto"/>
        <w:ind w:leftChars="0" w:firstLineChars="0" w:firstLine="0"/>
        <w:jc w:val="both"/>
        <w:rPr>
          <w:rFonts w:ascii="Tahoma" w:hAnsi="Tahoma" w:cs="Tahoma"/>
          <w:spacing w:val="-4"/>
        </w:rPr>
      </w:pPr>
    </w:p>
    <w:p w14:paraId="19D4ED4F" w14:textId="77777777" w:rsidR="001271CE" w:rsidRPr="003A2D6C" w:rsidRDefault="001271CE" w:rsidP="001271CE">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a č. 2 této smlouvy a v Zadávací dokumentaci k veřejné zakázce.</w:t>
      </w:r>
    </w:p>
    <w:p w14:paraId="2D28C203" w14:textId="77777777" w:rsidR="006B093E" w:rsidRPr="009D32D5" w:rsidRDefault="006B093E" w:rsidP="009D32D5">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F46CD5B" w14:textId="4262C19D" w:rsidR="00A10B13" w:rsidRDefault="00B255A3" w:rsidP="00157463">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r w:rsidR="00FD6D77">
        <w:rPr>
          <w:rFonts w:ascii="Tahoma" w:hAnsi="Tahoma" w:cs="Tahoma"/>
        </w:rPr>
        <w:t>;</w:t>
      </w:r>
    </w:p>
    <w:p w14:paraId="04248814" w14:textId="7D0E144B" w:rsidR="00B255A3" w:rsidRDefault="00952430" w:rsidP="00157463">
      <w:pPr>
        <w:pStyle w:val="Odstavecseseznamem"/>
        <w:numPr>
          <w:ilvl w:val="0"/>
          <w:numId w:val="17"/>
        </w:numPr>
        <w:ind w:leftChars="0" w:firstLineChars="0"/>
        <w:jc w:val="both"/>
        <w:rPr>
          <w:rFonts w:ascii="Tahoma" w:hAnsi="Tahoma" w:cs="Tahoma"/>
        </w:rPr>
      </w:pPr>
      <w:r>
        <w:rPr>
          <w:rFonts w:ascii="Tahoma" w:hAnsi="Tahoma" w:cs="Tahoma"/>
        </w:rPr>
        <w:t>o</w:t>
      </w:r>
      <w:r w:rsidR="005A3B95" w:rsidRPr="008C1195">
        <w:rPr>
          <w:rFonts w:ascii="Tahoma" w:hAnsi="Tahoma" w:cs="Tahoma"/>
        </w:rPr>
        <w:t>vládací software</w:t>
      </w:r>
      <w:r w:rsidR="005A3B95">
        <w:rPr>
          <w:rFonts w:ascii="Tahoma" w:hAnsi="Tahoma" w:cs="Tahoma"/>
        </w:rPr>
        <w:t>, resp. licence k dodávanému software</w:t>
      </w:r>
      <w:r w:rsidR="00A10B13">
        <w:rPr>
          <w:rFonts w:ascii="Tahoma" w:hAnsi="Tahoma" w:cs="Tahoma"/>
        </w:rPr>
        <w:t>, případně externí PC, je-li potřeba</w:t>
      </w:r>
      <w:r w:rsidR="00B255A3" w:rsidRPr="00BE7F0B">
        <w:rPr>
          <w:rFonts w:ascii="Tahoma" w:hAnsi="Tahoma" w:cs="Tahoma"/>
        </w:rPr>
        <w:t>;</w:t>
      </w:r>
    </w:p>
    <w:p w14:paraId="783AF3FA" w14:textId="0EE1B68A"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doprava zboží do místa dodání;</w:t>
      </w:r>
    </w:p>
    <w:p w14:paraId="43FB6494" w14:textId="2730EFFE"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instalace zboží v místě určeném kupujícím;</w:t>
      </w:r>
    </w:p>
    <w:p w14:paraId="1E4E5E3B" w14:textId="411F7F3C"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uvedení do provozu a předvedení funkčnosti zboží;</w:t>
      </w:r>
    </w:p>
    <w:p w14:paraId="3426EDA2" w14:textId="1FC6C44D"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 xml:space="preserve">zaškolení obsluhy, a to </w:t>
      </w:r>
      <w:r w:rsidR="00A10B13">
        <w:rPr>
          <w:rFonts w:ascii="Tahoma" w:hAnsi="Tahoma" w:cs="Tahoma"/>
        </w:rPr>
        <w:t>v místě dodání</w:t>
      </w:r>
      <w:r w:rsidRPr="00895297">
        <w:rPr>
          <w:rFonts w:ascii="Tahoma" w:hAnsi="Tahoma" w:cs="Tahoma"/>
        </w:rPr>
        <w:t>;</w:t>
      </w:r>
    </w:p>
    <w:p w14:paraId="54772BAE" w14:textId="42F1EA23"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3A2D6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3BCBD846" w14:textId="0CE1529B" w:rsidR="001271CE" w:rsidRPr="00A10B13" w:rsidRDefault="00E01232" w:rsidP="001271CE">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Pr>
          <w:rFonts w:ascii="Tahoma" w:eastAsia="Tahoma" w:hAnsi="Tahoma" w:cs="Tahoma"/>
          <w:color w:val="000000"/>
        </w:rPr>
        <w:t>Celková kupní cena zboží dle této smlouvy je:</w:t>
      </w:r>
      <w:r w:rsidRPr="0040458D">
        <w:rPr>
          <w:rFonts w:ascii="Tahoma" w:eastAsia="Tahoma" w:hAnsi="Tahoma" w:cs="Tahoma"/>
          <w:color w:val="000000"/>
        </w:rPr>
        <w:tab/>
      </w:r>
      <w:bookmarkStart w:id="3" w:name="_Hlk193177924"/>
      <w:r w:rsidR="00A10B13" w:rsidRPr="00A10B13">
        <w:rPr>
          <w:rFonts w:ascii="Tahoma" w:hAnsi="Tahoma" w:cs="Tahoma"/>
          <w:b/>
          <w:bCs/>
        </w:rPr>
        <w:t xml:space="preserve">1 835 </w:t>
      </w:r>
      <w:r w:rsidR="00387CA2">
        <w:rPr>
          <w:rFonts w:ascii="Tahoma" w:hAnsi="Tahoma" w:cs="Tahoma"/>
          <w:b/>
          <w:bCs/>
        </w:rPr>
        <w:t>000</w:t>
      </w:r>
      <w:r w:rsidR="00A10B13" w:rsidRPr="00A10B13">
        <w:rPr>
          <w:rFonts w:ascii="Tahoma" w:hAnsi="Tahoma" w:cs="Tahoma"/>
          <w:b/>
          <w:bCs/>
        </w:rPr>
        <w:t xml:space="preserve">,00 </w:t>
      </w:r>
      <w:r w:rsidR="001271CE" w:rsidRPr="00A10B13">
        <w:rPr>
          <w:rFonts w:ascii="Tahoma" w:eastAsia="Tahoma" w:hAnsi="Tahoma" w:cs="Tahoma"/>
          <w:b/>
          <w:bCs/>
          <w:color w:val="000000"/>
        </w:rPr>
        <w:t>Kč bez DPH</w:t>
      </w:r>
    </w:p>
    <w:p w14:paraId="1634CD40" w14:textId="5F125B67" w:rsidR="001271CE" w:rsidRPr="00A10B13" w:rsidRDefault="003A2D6C" w:rsidP="001271CE">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00A10B13" w:rsidRPr="00A10B13">
        <w:rPr>
          <w:rFonts w:ascii="Tahoma" w:eastAsia="Tahoma" w:hAnsi="Tahoma" w:cs="Tahoma"/>
          <w:b/>
          <w:bCs/>
          <w:color w:val="000000"/>
        </w:rPr>
        <w:t xml:space="preserve">   </w:t>
      </w:r>
      <w:r w:rsidR="00387CA2" w:rsidRPr="00387CA2">
        <w:rPr>
          <w:rFonts w:ascii="Tahoma" w:hAnsi="Tahoma" w:cs="Tahoma"/>
          <w:b/>
          <w:bCs/>
        </w:rPr>
        <w:t>385 350</w:t>
      </w:r>
      <w:r w:rsidR="00A10B13" w:rsidRPr="00A10B13">
        <w:rPr>
          <w:rFonts w:ascii="Tahoma" w:hAnsi="Tahoma" w:cs="Tahoma"/>
          <w:b/>
          <w:bCs/>
        </w:rPr>
        <w:t>,</w:t>
      </w:r>
      <w:r w:rsidR="00387CA2">
        <w:rPr>
          <w:rFonts w:ascii="Tahoma" w:hAnsi="Tahoma" w:cs="Tahoma"/>
          <w:b/>
          <w:bCs/>
        </w:rPr>
        <w:t>00</w:t>
      </w:r>
      <w:r w:rsidR="00A10B13" w:rsidRPr="00A10B13">
        <w:rPr>
          <w:rFonts w:ascii="Tahoma" w:hAnsi="Tahoma" w:cs="Tahoma"/>
          <w:b/>
          <w:bCs/>
        </w:rPr>
        <w:t xml:space="preserve"> </w:t>
      </w:r>
      <w:r w:rsidR="001271CE" w:rsidRPr="00A10B13">
        <w:rPr>
          <w:rFonts w:ascii="Tahoma" w:eastAsia="Tahoma" w:hAnsi="Tahoma" w:cs="Tahoma"/>
          <w:b/>
          <w:bCs/>
          <w:color w:val="000000"/>
        </w:rPr>
        <w:t>Kč DPH 21%</w:t>
      </w:r>
    </w:p>
    <w:p w14:paraId="57BBFCFD" w14:textId="1CF629C2" w:rsidR="001271CE" w:rsidRPr="00A10B13" w:rsidRDefault="003A2D6C"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r>
      <w:r w:rsidRPr="00A10B13">
        <w:rPr>
          <w:rFonts w:ascii="Tahoma" w:eastAsia="Tahoma" w:hAnsi="Tahoma" w:cs="Tahoma"/>
          <w:b/>
          <w:bCs/>
          <w:color w:val="000000"/>
        </w:rPr>
        <w:tab/>
        <w:t xml:space="preserve">          </w:t>
      </w:r>
      <w:r w:rsidRPr="00A10B13">
        <w:rPr>
          <w:rFonts w:ascii="Tahoma" w:eastAsia="Tahoma" w:hAnsi="Tahoma" w:cs="Tahoma"/>
          <w:b/>
          <w:bCs/>
          <w:color w:val="000000"/>
        </w:rPr>
        <w:tab/>
      </w:r>
      <w:r w:rsidR="00387CA2" w:rsidRPr="00387CA2">
        <w:rPr>
          <w:rFonts w:ascii="Tahoma" w:hAnsi="Tahoma" w:cs="Tahoma"/>
          <w:b/>
          <w:bCs/>
        </w:rPr>
        <w:t>2 220 350</w:t>
      </w:r>
      <w:r w:rsidR="00A10B13" w:rsidRPr="00A10B13">
        <w:rPr>
          <w:rFonts w:ascii="Tahoma" w:hAnsi="Tahoma" w:cs="Tahoma"/>
          <w:b/>
          <w:bCs/>
        </w:rPr>
        <w:t>,</w:t>
      </w:r>
      <w:r w:rsidR="00387CA2">
        <w:rPr>
          <w:rFonts w:ascii="Tahoma" w:hAnsi="Tahoma" w:cs="Tahoma"/>
          <w:b/>
          <w:bCs/>
        </w:rPr>
        <w:t>00</w:t>
      </w:r>
      <w:r w:rsidR="00A10B13" w:rsidRPr="00A10B13">
        <w:rPr>
          <w:rFonts w:ascii="Tahoma" w:hAnsi="Tahoma" w:cs="Tahoma"/>
          <w:b/>
          <w:bCs/>
        </w:rPr>
        <w:t xml:space="preserve"> </w:t>
      </w:r>
      <w:r w:rsidR="001271CE" w:rsidRPr="00A10B13">
        <w:rPr>
          <w:rFonts w:ascii="Tahoma" w:eastAsia="Tahoma" w:hAnsi="Tahoma" w:cs="Tahoma"/>
          <w:b/>
          <w:bCs/>
          <w:color w:val="000000"/>
        </w:rPr>
        <w:t>Kč včetně DPH</w:t>
      </w:r>
    </w:p>
    <w:bookmarkEnd w:id="3"/>
    <w:p w14:paraId="581EB58D" w14:textId="77777777" w:rsidR="00A10B13" w:rsidRPr="00A12793" w:rsidRDefault="00A10B13"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p>
    <w:p w14:paraId="552D2E34" w14:textId="6B6307E4" w:rsidR="00993466" w:rsidRPr="00895297"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Kupní cena je stanovena dohodou smluvních stran jako cena nejvýše přípustná, která zahrnuje veškeré náklady prodávajícího spojené s plněním předmětu této smlouvy (zejm. náklady na celní odbavení pro vývoz zařízení ze země výrobce či prodávajícího a pro dovoz do České republiky, náklady na</w:t>
      </w:r>
      <w:r w:rsidR="0034342A" w:rsidRPr="00895297">
        <w:rPr>
          <w:rFonts w:ascii="Tahoma" w:eastAsia="Tahoma" w:hAnsi="Tahoma" w:cs="Tahoma"/>
          <w:color w:val="000000"/>
        </w:rPr>
        <w:t> </w:t>
      </w:r>
      <w:r w:rsidRPr="00895297">
        <w:rPr>
          <w:rFonts w:ascii="Tahoma" w:eastAsia="Tahoma" w:hAnsi="Tahoma" w:cs="Tahoma"/>
          <w:color w:val="000000"/>
        </w:rPr>
        <w:t>balné, skladné, dopravu, pojištění zařízení při přepravě na místo plnění, zaškolení obsluhy v místě plnění, aj.). 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1DC5E743" w:rsidR="006B093E" w:rsidRPr="00452B9E" w:rsidRDefault="009B6205"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 xml:space="preserve">Kupní cena bude uhrazena na základě daňového dokladu vystaveného prodávajícím po řádném dodání zboží </w:t>
      </w:r>
      <w:r w:rsidR="003A2D6C">
        <w:rPr>
          <w:rFonts w:ascii="Tahoma" w:eastAsia="Tahoma" w:hAnsi="Tahoma" w:cs="Tahoma"/>
          <w:color w:val="000000"/>
        </w:rPr>
        <w:t xml:space="preserve">a uvedením zboží do provozu </w:t>
      </w:r>
      <w:r w:rsidR="00E01232">
        <w:rPr>
          <w:rFonts w:ascii="Tahoma" w:eastAsia="Tahoma" w:hAnsi="Tahoma" w:cs="Tahoma"/>
          <w:color w:val="000000"/>
        </w:rPr>
        <w:t>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lastRenderedPageBreak/>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w:t>
      </w:r>
      <w:proofErr w:type="spellStart"/>
      <w:r w:rsidR="00A86A5C">
        <w:rPr>
          <w:rFonts w:ascii="Tahoma" w:eastAsia="Tahoma" w:hAnsi="Tahoma" w:cs="Tahoma"/>
          <w:color w:val="000000"/>
        </w:rPr>
        <w:t>li</w:t>
      </w:r>
      <w:proofErr w:type="spellEnd"/>
      <w:r w:rsidR="00A86A5C">
        <w:rPr>
          <w:rFonts w:ascii="Tahoma" w:eastAsia="Tahoma" w:hAnsi="Tahoma" w:cs="Tahoma"/>
          <w:color w:val="000000"/>
        </w:rPr>
        <w:t xml:space="preserve">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0446CFCE"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5A3B95">
        <w:rPr>
          <w:rFonts w:ascii="Tahoma" w:hAnsi="Tahoma" w:cs="Tahoma"/>
          <w:b/>
        </w:rPr>
        <w:t>2</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bude nainstalované a uvedené do provozu.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902FD27" w14:textId="0D702CDC" w:rsidR="00935D1C" w:rsidRPr="00935D1C" w:rsidRDefault="00935D1C" w:rsidP="00935D1C">
      <w:pPr>
        <w:numPr>
          <w:ilvl w:val="0"/>
          <w:numId w:val="7"/>
        </w:numPr>
        <w:pBdr>
          <w:top w:val="nil"/>
          <w:left w:val="nil"/>
          <w:bottom w:val="nil"/>
          <w:right w:val="nil"/>
          <w:between w:val="nil"/>
        </w:pBdr>
        <w:spacing w:line="240" w:lineRule="auto"/>
        <w:ind w:left="-2" w:firstLineChars="0" w:firstLine="1"/>
        <w:jc w:val="both"/>
        <w:textDirection w:val="lrTb"/>
        <w:rPr>
          <w:rFonts w:ascii="Tahoma" w:eastAsia="Tahoma" w:hAnsi="Tahoma" w:cs="Tahoma"/>
          <w:color w:val="000000"/>
        </w:rPr>
      </w:pPr>
      <w:r w:rsidRPr="00935D1C">
        <w:rPr>
          <w:rFonts w:ascii="Tahoma" w:eastAsia="Tahoma" w:hAnsi="Tahoma" w:cs="Tahoma"/>
          <w:color w:val="000000"/>
        </w:rPr>
        <w:t>M</w:t>
      </w:r>
      <w:r w:rsidR="004A2052" w:rsidRPr="00935D1C">
        <w:rPr>
          <w:rFonts w:ascii="Tahoma" w:eastAsia="Tahoma" w:hAnsi="Tahoma" w:cs="Tahoma"/>
          <w:color w:val="000000"/>
        </w:rPr>
        <w:t>ístem dodání, instalace, uvedení zboží do provozu a předvedení funkčnosti zboží, zaškolení obsluhy j</w:t>
      </w:r>
      <w:r w:rsidR="00860AEA" w:rsidRPr="00935D1C">
        <w:rPr>
          <w:rFonts w:ascii="Tahoma" w:eastAsia="Tahoma" w:hAnsi="Tahoma" w:cs="Tahoma"/>
          <w:color w:val="000000"/>
        </w:rPr>
        <w:t>e</w:t>
      </w:r>
      <w:r w:rsidR="00C2340F" w:rsidRPr="00935D1C">
        <w:rPr>
          <w:rFonts w:ascii="Tahoma" w:eastAsia="Tahoma" w:hAnsi="Tahoma" w:cs="Tahoma"/>
          <w:color w:val="000000"/>
        </w:rPr>
        <w:t xml:space="preserve"> </w:t>
      </w:r>
      <w:r w:rsidRPr="00935D1C">
        <w:rPr>
          <w:rFonts w:ascii="Tahoma" w:eastAsia="Tahoma" w:hAnsi="Tahoma" w:cs="Tahoma"/>
          <w:color w:val="000000"/>
        </w:rPr>
        <w:t>společné pracoviště katedry jaderné chemie FJFI ČVUT a firmy NUVIA na adrese Trojanova 117, 278 01 Kralupy nad Vltavou 1</w:t>
      </w:r>
    </w:p>
    <w:p w14:paraId="794964CD" w14:textId="77777777" w:rsidR="002D39AE" w:rsidRPr="00935D1C" w:rsidRDefault="002D39AE" w:rsidP="00935D1C">
      <w:pPr>
        <w:pBdr>
          <w:top w:val="nil"/>
          <w:left w:val="nil"/>
          <w:bottom w:val="nil"/>
          <w:right w:val="nil"/>
          <w:between w:val="nil"/>
        </w:pBdr>
        <w:spacing w:line="240" w:lineRule="auto"/>
        <w:ind w:leftChars="0" w:left="0" w:firstLineChars="0" w:firstLine="0"/>
        <w:jc w:val="both"/>
        <w:rPr>
          <w:rFonts w:ascii="Tahoma" w:hAnsi="Tahoma" w:cs="Tahoma"/>
          <w:b/>
          <w:bCs/>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95297"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26716319" w14:textId="77777777" w:rsidR="00872F1C" w:rsidRPr="00895297"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1B47A32C" w14:textId="19A686C7" w:rsidR="00993466" w:rsidRPr="00895297" w:rsidRDefault="00AE5E74" w:rsidP="004B78F2">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 xml:space="preserve">Prodávající je povinen </w:t>
      </w:r>
      <w:r w:rsidR="00EB46F9" w:rsidRPr="00895297">
        <w:rPr>
          <w:rFonts w:ascii="Tahoma" w:eastAsia="Tahoma" w:hAnsi="Tahoma" w:cs="Tahoma"/>
          <w:color w:val="000000"/>
        </w:rPr>
        <w:t>při</w:t>
      </w:r>
      <w:r w:rsidRPr="00895297">
        <w:rPr>
          <w:rFonts w:ascii="Tahoma" w:eastAsia="Tahoma" w:hAnsi="Tahoma" w:cs="Tahoma"/>
          <w:color w:val="000000"/>
        </w:rPr>
        <w:t xml:space="preserve"> dodání a převzetí zboží zaškolit v dostatečném rozsahu pro bezpečné ovládání a základní údržbu zboží jeho obsluhu</w:t>
      </w:r>
      <w:r w:rsidR="0040458D" w:rsidRPr="00895297">
        <w:rPr>
          <w:rFonts w:ascii="Tahoma" w:eastAsia="Tahoma" w:hAnsi="Tahoma" w:cs="Tahoma"/>
          <w:color w:val="000000"/>
        </w:rPr>
        <w:t xml:space="preserve"> v počtu </w:t>
      </w:r>
      <w:r w:rsidR="0040458D" w:rsidRPr="00935D1C">
        <w:rPr>
          <w:rFonts w:ascii="Tahoma" w:eastAsia="Tahoma" w:hAnsi="Tahoma" w:cs="Tahoma"/>
          <w:color w:val="000000"/>
        </w:rPr>
        <w:t xml:space="preserve">min. </w:t>
      </w:r>
      <w:r w:rsidR="00A66775" w:rsidRPr="00935D1C">
        <w:rPr>
          <w:rFonts w:ascii="Tahoma" w:eastAsia="Tahoma" w:hAnsi="Tahoma" w:cs="Tahoma"/>
          <w:color w:val="000000"/>
        </w:rPr>
        <w:t xml:space="preserve">3 </w:t>
      </w:r>
      <w:r w:rsidR="00E21A66" w:rsidRPr="00935D1C">
        <w:rPr>
          <w:rFonts w:ascii="Tahoma" w:eastAsia="Tahoma" w:hAnsi="Tahoma" w:cs="Tahoma"/>
          <w:color w:val="000000"/>
        </w:rPr>
        <w:t>osob</w:t>
      </w:r>
      <w:r w:rsidR="0042232B" w:rsidRPr="00895297">
        <w:rPr>
          <w:rFonts w:ascii="Tahoma" w:eastAsia="Tahoma" w:hAnsi="Tahoma" w:cs="Tahoma"/>
          <w:color w:val="000000"/>
        </w:rPr>
        <w:t>.</w:t>
      </w: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Smluvní strany jsou povinny vyvíjet veškeré úsilí k vytvoření potřebných podmínek pro realizaci předmětu smlouvy, které vyplývají z jejich smluvního postavení. To platí i v případech, kde to není výslovně </w:t>
      </w:r>
      <w:r>
        <w:rPr>
          <w:rFonts w:ascii="Tahoma" w:eastAsia="Tahoma" w:hAnsi="Tahoma" w:cs="Tahoma"/>
          <w:color w:val="000000"/>
        </w:rPr>
        <w:lastRenderedPageBreak/>
        <w:t>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4644A400" w14:textId="012CB239" w:rsidR="006B093E" w:rsidRDefault="006041A3" w:rsidP="009D4F83">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4FAF8A2" w14:textId="77777777" w:rsidR="004B78F2" w:rsidRDefault="004B78F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41F10E41" w14:textId="77777777" w:rsidR="009B6205" w:rsidRDefault="009B6205"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79F88819" w14:textId="77777777" w:rsidR="009B6205" w:rsidRDefault="009B6205"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2315243C" w14:textId="77777777" w:rsidR="009B6205" w:rsidRDefault="009B6205"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lastRenderedPageBreak/>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4E75F2A9"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387CA2" w:rsidRPr="00387CA2">
        <w:rPr>
          <w:rFonts w:ascii="Tahoma" w:eastAsia="Tahoma" w:hAnsi="Tahoma" w:cs="Tahoma"/>
          <w:b/>
          <w:bCs/>
          <w:color w:val="000000"/>
        </w:rPr>
        <w:t>3 roky</w:t>
      </w:r>
      <w:r w:rsidR="00F91416" w:rsidRPr="00387CA2">
        <w:rPr>
          <w:rFonts w:ascii="Tahoma" w:eastAsia="Tahoma" w:hAnsi="Tahoma" w:cs="Tahoma"/>
          <w:b/>
          <w:bCs/>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7040CC26" w14:textId="77777777" w:rsidR="00935D1C" w:rsidRPr="004540F2"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00E4BC2E" w14:textId="77777777" w:rsidR="00935D1C" w:rsidRPr="004540F2"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w:t>
      </w:r>
      <w:r>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6213D340" w14:textId="77777777" w:rsidR="00935D1C" w:rsidRPr="004540F2"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 xml:space="preserve">na místě dodání s reakcí nejpozději do </w:t>
      </w:r>
      <w:r>
        <w:rPr>
          <w:rFonts w:ascii="Tahoma" w:eastAsia="Tahoma" w:hAnsi="Tahoma" w:cs="Tahoma"/>
          <w:b/>
          <w:bCs/>
          <w:color w:val="000000"/>
        </w:rPr>
        <w:t>jednoho týdne</w:t>
      </w:r>
      <w:r w:rsidRPr="004540F2">
        <w:rPr>
          <w:rFonts w:ascii="Tahoma" w:eastAsia="Tahoma" w:hAnsi="Tahoma" w:cs="Tahoma"/>
          <w:b/>
          <w:bCs/>
          <w:color w:val="000000"/>
        </w:rPr>
        <w:t xml:space="preserve"> od nahlášení vady.</w:t>
      </w:r>
    </w:p>
    <w:p w14:paraId="2D9C3457" w14:textId="77777777" w:rsidR="00935D1C" w:rsidRPr="004540F2"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5C90B6BC" w14:textId="77777777" w:rsidR="00935D1C" w:rsidRPr="009D32D5"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w:t>
      </w:r>
      <w:r>
        <w:rPr>
          <w:rFonts w:ascii="Tahoma" w:eastAsia="Tahoma" w:hAnsi="Tahoma" w:cs="Tahoma"/>
          <w:color w:val="000000"/>
        </w:rPr>
        <w:t>,</w:t>
      </w:r>
      <w:r w:rsidRPr="004540F2">
        <w:rPr>
          <w:rFonts w:ascii="Tahoma" w:eastAsia="Tahoma" w:hAnsi="Tahoma" w:cs="Tahoma"/>
          <w:color w:val="000000"/>
        </w:rPr>
        <w:t xml:space="preserve"> respektive nových dílů nebo zboží až do místa plnění. Při odstranění vady výměnou vadného dílu bude dodán vždy nový </w:t>
      </w:r>
      <w:r w:rsidRPr="009D32D5">
        <w:rPr>
          <w:rFonts w:ascii="Tahoma" w:eastAsia="Tahoma" w:hAnsi="Tahoma" w:cs="Tahoma"/>
          <w:color w:val="000000"/>
        </w:rPr>
        <w:t>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5F7811C3" w14:textId="77777777" w:rsidR="00935D1C" w:rsidRPr="009D32D5"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9D32D5">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1C4E539D" w14:textId="77777777" w:rsidR="00935D1C" w:rsidRPr="004540F2" w:rsidRDefault="00935D1C" w:rsidP="00935D1C">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9D32D5">
        <w:rPr>
          <w:rFonts w:ascii="Tahoma" w:eastAsia="Tahoma" w:hAnsi="Tahoma" w:cs="Tahoma"/>
          <w:color w:val="000000"/>
        </w:rPr>
        <w:t>V období posledního měsíce záruční lhůty je prodávající povinen provést s kupujícím výstupní prohlídku předmětu kupní smlouvy. Na základě této prohlídky bude</w:t>
      </w:r>
      <w:r w:rsidRPr="004540F2">
        <w:rPr>
          <w:rFonts w:ascii="Tahoma" w:eastAsia="Tahoma" w:hAnsi="Tahoma" w:cs="Tahoma"/>
          <w:color w:val="000000"/>
        </w:rPr>
        <w:t xml:space="preserve"> sepsán protokol o splnění záručních podmínek, popřípadě budou vyjmenovány zjištěné záruční vady a stanoven režim jejich odstranění.</w:t>
      </w:r>
    </w:p>
    <w:p w14:paraId="03EA657C" w14:textId="77777777" w:rsidR="00935D1C" w:rsidRPr="004540F2" w:rsidRDefault="00935D1C" w:rsidP="00935D1C">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Nároky z odpovědnosti za vady se nedotýkají nároků na náhradu škody nebo na smluvní pokutu.</w:t>
      </w:r>
    </w:p>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w:t>
      </w:r>
      <w:r>
        <w:rPr>
          <w:rFonts w:ascii="Tahoma" w:eastAsia="Tahoma" w:hAnsi="Tahoma" w:cs="Tahoma"/>
          <w:color w:val="000000"/>
        </w:rPr>
        <w:lastRenderedPageBreak/>
        <w:t>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39E4A22" w14:textId="77777777" w:rsidR="00E54462" w:rsidRDefault="00E54462" w:rsidP="00FD6D77">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56CB6748" w14:textId="04C4CFAA" w:rsidR="006041A3" w:rsidRPr="00387CA2" w:rsidRDefault="006041A3" w:rsidP="00387CA2">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Tato smlouva je sepsána v jednom vyhotovení v elektronické podobě.</w:t>
      </w:r>
    </w:p>
    <w:p w14:paraId="2577BF3F" w14:textId="77777777" w:rsidR="00331CB8" w:rsidRDefault="00331CB8" w:rsidP="00387CA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Pr="00387CA2"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6939A2CD"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 xml:space="preserve">Minimální technické požadavky </w:t>
      </w:r>
      <w:r w:rsidR="005A3B95">
        <w:rPr>
          <w:rFonts w:ascii="Tahoma" w:hAnsi="Tahoma" w:cs="Tahoma"/>
          <w:spacing w:val="-4"/>
        </w:rPr>
        <w:t xml:space="preserve">a hodnocení </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69FBEFD5"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xml:space="preserve">: Seznam </w:t>
      </w:r>
      <w:r w:rsidR="009D4F83">
        <w:rPr>
          <w:rFonts w:ascii="Tahoma" w:eastAsia="Tahoma" w:hAnsi="Tahoma" w:cs="Tahoma"/>
          <w:color w:val="000000"/>
        </w:rPr>
        <w:t>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15D1A0FC"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V Praze dne</w:t>
      </w:r>
      <w:r w:rsidR="00387CA2">
        <w:rPr>
          <w:rFonts w:ascii="Tahoma" w:eastAsia="Tahoma" w:hAnsi="Tahoma" w:cs="Tahoma"/>
          <w:color w:val="000000"/>
        </w:rPr>
        <w:t xml:space="preserve"> </w:t>
      </w:r>
      <w:r w:rsidR="00FD6D77">
        <w:rPr>
          <w:rFonts w:ascii="Tahoma" w:eastAsia="Tahoma" w:hAnsi="Tahoma" w:cs="Tahoma"/>
          <w:color w:val="000000"/>
        </w:rPr>
        <w:t xml:space="preserve">viz </w:t>
      </w:r>
      <w:proofErr w:type="gramStart"/>
      <w:r w:rsidR="009B6205">
        <w:rPr>
          <w:rFonts w:ascii="Tahoma" w:eastAsia="Tahoma" w:hAnsi="Tahoma" w:cs="Tahoma"/>
          <w:color w:val="000000"/>
        </w:rPr>
        <w:t xml:space="preserve">24.3.2025 </w:t>
      </w:r>
      <w:r w:rsidR="00FD6D77">
        <w:rPr>
          <w:rFonts w:ascii="Tahoma" w:eastAsia="Tahoma" w:hAnsi="Tahoma" w:cs="Tahoma"/>
          <w:color w:val="000000"/>
        </w:rPr>
        <w:t xml:space="preserve"> </w:t>
      </w:r>
      <w:r>
        <w:rPr>
          <w:rFonts w:ascii="Tahoma" w:eastAsia="Tahoma" w:hAnsi="Tahoma" w:cs="Tahoma"/>
          <w:color w:val="000000"/>
        </w:rPr>
        <w:tab/>
      </w:r>
      <w:proofErr w:type="gramEnd"/>
      <w:r>
        <w:rPr>
          <w:rFonts w:ascii="Tahoma" w:eastAsia="Tahoma" w:hAnsi="Tahoma" w:cs="Tahoma"/>
          <w:color w:val="000000"/>
        </w:rPr>
        <w:tab/>
      </w:r>
      <w:r w:rsidR="00387CA2">
        <w:rPr>
          <w:rFonts w:ascii="Tahoma" w:eastAsia="Tahoma" w:hAnsi="Tahoma" w:cs="Tahoma"/>
          <w:color w:val="000000"/>
        </w:rPr>
        <w:t xml:space="preserve">V Praze dne </w:t>
      </w:r>
      <w:r w:rsidR="009B6205">
        <w:rPr>
          <w:rFonts w:ascii="Tahoma" w:eastAsia="Tahoma" w:hAnsi="Tahoma" w:cs="Tahoma"/>
          <w:color w:val="000000"/>
        </w:rPr>
        <w:t>2</w:t>
      </w:r>
      <w:r w:rsidR="009B6205">
        <w:rPr>
          <w:rFonts w:ascii="Tahoma" w:eastAsia="Tahoma" w:hAnsi="Tahoma" w:cs="Tahoma"/>
          <w:color w:val="000000"/>
        </w:rPr>
        <w:t>1</w:t>
      </w:r>
      <w:r w:rsidR="009B6205">
        <w:rPr>
          <w:rFonts w:ascii="Tahoma" w:eastAsia="Tahoma" w:hAnsi="Tahoma" w:cs="Tahoma"/>
          <w:color w:val="000000"/>
        </w:rPr>
        <w:t xml:space="preserve">.3.2025  </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DCBCE82" w14:textId="77777777" w:rsidR="003119A9" w:rsidRDefault="003119A9"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5FA3E710" w14:textId="77777777" w:rsidR="003119A9" w:rsidRDefault="003119A9"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8027AC9" w14:textId="77777777" w:rsidR="003119A9" w:rsidRDefault="003119A9"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Pr="00387CA2" w:rsidRDefault="00E01232"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387CA2">
        <w:rPr>
          <w:rFonts w:ascii="Tahoma" w:eastAsia="Tahoma" w:hAnsi="Tahoma" w:cs="Tahoma"/>
          <w:color w:val="000000"/>
        </w:rPr>
        <w:t>___________________________</w:t>
      </w:r>
      <w:r w:rsidRPr="00387CA2">
        <w:rPr>
          <w:rFonts w:ascii="Tahoma" w:eastAsia="Tahoma" w:hAnsi="Tahoma" w:cs="Tahoma"/>
          <w:color w:val="000000"/>
        </w:rPr>
        <w:tab/>
      </w:r>
      <w:r w:rsidRPr="00387CA2">
        <w:rPr>
          <w:rFonts w:ascii="Tahoma" w:eastAsia="Tahoma" w:hAnsi="Tahoma" w:cs="Tahoma"/>
          <w:color w:val="000000"/>
        </w:rPr>
        <w:tab/>
        <w:t>___________________________</w:t>
      </w:r>
    </w:p>
    <w:p w14:paraId="043E0435" w14:textId="535579C9" w:rsidR="006B093E" w:rsidRPr="00387CA2"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387CA2">
        <w:rPr>
          <w:rFonts w:ascii="Tahoma" w:eastAsia="Tahoma" w:hAnsi="Tahoma" w:cs="Tahoma"/>
          <w:color w:val="000000"/>
        </w:rPr>
        <w:t xml:space="preserve">     </w:t>
      </w:r>
      <w:r w:rsidR="00387CA2" w:rsidRPr="00387CA2">
        <w:rPr>
          <w:rFonts w:ascii="Tahoma" w:eastAsia="Tahoma" w:hAnsi="Tahoma" w:cs="Tahoma"/>
          <w:color w:val="000000"/>
        </w:rPr>
        <w:t xml:space="preserve">Anton </w:t>
      </w:r>
      <w:proofErr w:type="spellStart"/>
      <w:r w:rsidR="00387CA2" w:rsidRPr="00387CA2">
        <w:rPr>
          <w:rFonts w:ascii="Tahoma" w:eastAsia="Tahoma" w:hAnsi="Tahoma" w:cs="Tahoma"/>
          <w:color w:val="000000"/>
        </w:rPr>
        <w:t>Paar</w:t>
      </w:r>
      <w:proofErr w:type="spellEnd"/>
      <w:r w:rsidR="00387CA2" w:rsidRPr="00387CA2">
        <w:rPr>
          <w:rFonts w:ascii="Tahoma" w:eastAsia="Tahoma" w:hAnsi="Tahoma" w:cs="Tahoma"/>
          <w:color w:val="000000"/>
        </w:rPr>
        <w:t xml:space="preserve"> Czech Republic s.r.o.</w:t>
      </w:r>
    </w:p>
    <w:p w14:paraId="5A342A90" w14:textId="69D14FE3" w:rsidR="006B093E" w:rsidRPr="00387CA2"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387CA2">
        <w:rPr>
          <w:rFonts w:ascii="Tahoma" w:eastAsia="Tahoma" w:hAnsi="Tahoma" w:cs="Tahoma"/>
          <w:color w:val="000000"/>
        </w:rPr>
        <w:t xml:space="preserve">               </w:t>
      </w:r>
      <w:r w:rsidR="00387CA2" w:rsidRPr="00387CA2">
        <w:rPr>
          <w:rFonts w:ascii="Tahoma" w:eastAsia="Tahoma" w:hAnsi="Tahoma" w:cs="Tahoma"/>
          <w:color w:val="000000"/>
        </w:rPr>
        <w:t>Martin Červinka</w:t>
      </w:r>
    </w:p>
    <w:p w14:paraId="1E51B0D4" w14:textId="48F7C98C"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r w:rsidR="00387CA2">
        <w:rPr>
          <w:rFonts w:ascii="Tahoma" w:eastAsia="Tahoma" w:hAnsi="Tahoma" w:cs="Tahoma"/>
          <w:color w:val="000000"/>
        </w:rPr>
        <w:t xml:space="preserve">           </w:t>
      </w:r>
      <w:r w:rsidR="00387CA2" w:rsidRPr="00387CA2">
        <w:rPr>
          <w:rFonts w:ascii="Tahoma" w:eastAsia="Tahoma" w:hAnsi="Tahoma" w:cs="Tahoma"/>
          <w:color w:val="000000"/>
        </w:rPr>
        <w:t>Jednatel společnosti</w:t>
      </w:r>
    </w:p>
    <w:sectPr w:rsidR="006B093E" w:rsidSect="004B78F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B537" w14:textId="77777777" w:rsidR="00B02D00" w:rsidRDefault="00B02D00">
      <w:pPr>
        <w:spacing w:line="240" w:lineRule="auto"/>
        <w:ind w:left="0" w:hanging="2"/>
      </w:pPr>
      <w:r>
        <w:separator/>
      </w:r>
    </w:p>
  </w:endnote>
  <w:endnote w:type="continuationSeparator" w:id="0">
    <w:p w14:paraId="481B9EAC" w14:textId="77777777" w:rsidR="00B02D00" w:rsidRDefault="00B02D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Times New Roman"/>
    <w:panose1 w:val="00000000000000000000"/>
    <w:charset w:val="00"/>
    <w:family w:val="roman"/>
    <w:notTrueType/>
    <w:pitch w:val="default"/>
  </w:font>
  <w:font w:name="StarSymbol">
    <w:altName w:val="Arial Unicode MS"/>
    <w:charset w:val="01"/>
    <w:family w:val="roman"/>
    <w:pitch w:val="variable"/>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Nimbus Sans L">
    <w:altName w:val="Arial"/>
    <w:charset w:val="01"/>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68820854"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F2004">
      <w:rPr>
        <w:noProof/>
        <w:color w:val="000000"/>
      </w:rPr>
      <w:t>5</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A5E7" w14:textId="77777777" w:rsidR="00B02D00" w:rsidRDefault="00B02D00">
      <w:pPr>
        <w:spacing w:line="240" w:lineRule="auto"/>
        <w:ind w:left="0" w:hanging="2"/>
      </w:pPr>
      <w:r>
        <w:separator/>
      </w:r>
    </w:p>
  </w:footnote>
  <w:footnote w:type="continuationSeparator" w:id="0">
    <w:p w14:paraId="65123F2C" w14:textId="77777777" w:rsidR="00B02D00" w:rsidRDefault="00B02D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8F5E05"/>
    <w:multiLevelType w:val="multilevel"/>
    <w:tmpl w:val="678263D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1"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8"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3"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4"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3"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14235418">
    <w:abstractNumId w:val="34"/>
  </w:num>
  <w:num w:numId="2" w16cid:durableId="1882859500">
    <w:abstractNumId w:val="33"/>
  </w:num>
  <w:num w:numId="3" w16cid:durableId="1662394685">
    <w:abstractNumId w:val="25"/>
  </w:num>
  <w:num w:numId="4" w16cid:durableId="2032414566">
    <w:abstractNumId w:val="24"/>
  </w:num>
  <w:num w:numId="5" w16cid:durableId="507406696">
    <w:abstractNumId w:val="18"/>
  </w:num>
  <w:num w:numId="6" w16cid:durableId="603541134">
    <w:abstractNumId w:val="31"/>
  </w:num>
  <w:num w:numId="7" w16cid:durableId="982273954">
    <w:abstractNumId w:val="9"/>
  </w:num>
  <w:num w:numId="8" w16cid:durableId="1851289488">
    <w:abstractNumId w:val="15"/>
  </w:num>
  <w:num w:numId="9" w16cid:durableId="1650090327">
    <w:abstractNumId w:val="14"/>
  </w:num>
  <w:num w:numId="10" w16cid:durableId="541946074">
    <w:abstractNumId w:val="6"/>
  </w:num>
  <w:num w:numId="11" w16cid:durableId="789982696">
    <w:abstractNumId w:val="26"/>
  </w:num>
  <w:num w:numId="12" w16cid:durableId="422730620">
    <w:abstractNumId w:val="12"/>
  </w:num>
  <w:num w:numId="13" w16cid:durableId="519317069">
    <w:abstractNumId w:val="5"/>
  </w:num>
  <w:num w:numId="14" w16cid:durableId="1374190592">
    <w:abstractNumId w:val="27"/>
  </w:num>
  <w:num w:numId="15" w16cid:durableId="592125298">
    <w:abstractNumId w:val="16"/>
  </w:num>
  <w:num w:numId="16" w16cid:durableId="1674063934">
    <w:abstractNumId w:val="2"/>
  </w:num>
  <w:num w:numId="17" w16cid:durableId="608703271">
    <w:abstractNumId w:val="35"/>
  </w:num>
  <w:num w:numId="18" w16cid:durableId="785268767">
    <w:abstractNumId w:val="22"/>
  </w:num>
  <w:num w:numId="19" w16cid:durableId="1737975296">
    <w:abstractNumId w:val="30"/>
  </w:num>
  <w:num w:numId="20" w16cid:durableId="1293945718">
    <w:abstractNumId w:val="28"/>
  </w:num>
  <w:num w:numId="21" w16cid:durableId="65886172">
    <w:abstractNumId w:val="20"/>
  </w:num>
  <w:num w:numId="22" w16cid:durableId="996230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551389">
    <w:abstractNumId w:val="21"/>
  </w:num>
  <w:num w:numId="24" w16cid:durableId="1723140552">
    <w:abstractNumId w:val="23"/>
  </w:num>
  <w:num w:numId="25" w16cid:durableId="379019440">
    <w:abstractNumId w:val="0"/>
  </w:num>
  <w:num w:numId="26" w16cid:durableId="1528906867">
    <w:abstractNumId w:val="3"/>
  </w:num>
  <w:num w:numId="27" w16cid:durableId="567961762">
    <w:abstractNumId w:val="8"/>
  </w:num>
  <w:num w:numId="28" w16cid:durableId="351734741">
    <w:abstractNumId w:val="13"/>
  </w:num>
  <w:num w:numId="29" w16cid:durableId="965887794">
    <w:abstractNumId w:val="29"/>
  </w:num>
  <w:num w:numId="30" w16cid:durableId="1809979600">
    <w:abstractNumId w:val="17"/>
  </w:num>
  <w:num w:numId="31" w16cid:durableId="1458374408">
    <w:abstractNumId w:val="4"/>
  </w:num>
  <w:num w:numId="32" w16cid:durableId="349140175">
    <w:abstractNumId w:val="19"/>
  </w:num>
  <w:num w:numId="33" w16cid:durableId="345208509">
    <w:abstractNumId w:val="1"/>
  </w:num>
  <w:num w:numId="34" w16cid:durableId="533425308">
    <w:abstractNumId w:val="11"/>
  </w:num>
  <w:num w:numId="35" w16cid:durableId="322124445">
    <w:abstractNumId w:val="32"/>
  </w:num>
  <w:num w:numId="36" w16cid:durableId="1583220680">
    <w:abstractNumId w:val="7"/>
  </w:num>
  <w:num w:numId="37" w16cid:durableId="1967465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628A"/>
    <w:rsid w:val="00012ED3"/>
    <w:rsid w:val="0001453B"/>
    <w:rsid w:val="00014739"/>
    <w:rsid w:val="0001622A"/>
    <w:rsid w:val="00020108"/>
    <w:rsid w:val="00026B7D"/>
    <w:rsid w:val="00030DE5"/>
    <w:rsid w:val="0003348F"/>
    <w:rsid w:val="00064F66"/>
    <w:rsid w:val="000660DE"/>
    <w:rsid w:val="00073586"/>
    <w:rsid w:val="000749AC"/>
    <w:rsid w:val="00082F0D"/>
    <w:rsid w:val="00090850"/>
    <w:rsid w:val="000A47F1"/>
    <w:rsid w:val="000B6677"/>
    <w:rsid w:val="000C135F"/>
    <w:rsid w:val="000F2436"/>
    <w:rsid w:val="0011396C"/>
    <w:rsid w:val="001262E3"/>
    <w:rsid w:val="001271CE"/>
    <w:rsid w:val="001319FF"/>
    <w:rsid w:val="00143251"/>
    <w:rsid w:val="00157463"/>
    <w:rsid w:val="00167770"/>
    <w:rsid w:val="001778EF"/>
    <w:rsid w:val="00180EEA"/>
    <w:rsid w:val="001844B5"/>
    <w:rsid w:val="00187991"/>
    <w:rsid w:val="001935AF"/>
    <w:rsid w:val="0019576D"/>
    <w:rsid w:val="001A626F"/>
    <w:rsid w:val="001D389A"/>
    <w:rsid w:val="001E1020"/>
    <w:rsid w:val="001E710C"/>
    <w:rsid w:val="001F39F6"/>
    <w:rsid w:val="0020449F"/>
    <w:rsid w:val="00220E63"/>
    <w:rsid w:val="002237FE"/>
    <w:rsid w:val="00231BC0"/>
    <w:rsid w:val="00235211"/>
    <w:rsid w:val="0024427D"/>
    <w:rsid w:val="00245AFA"/>
    <w:rsid w:val="00254CC2"/>
    <w:rsid w:val="00254F4C"/>
    <w:rsid w:val="00261F9B"/>
    <w:rsid w:val="002819D2"/>
    <w:rsid w:val="00286201"/>
    <w:rsid w:val="0029195D"/>
    <w:rsid w:val="00293E51"/>
    <w:rsid w:val="00295AC3"/>
    <w:rsid w:val="00296C2F"/>
    <w:rsid w:val="002B0DBF"/>
    <w:rsid w:val="002B2690"/>
    <w:rsid w:val="002D39AE"/>
    <w:rsid w:val="002E5417"/>
    <w:rsid w:val="002F0D4F"/>
    <w:rsid w:val="003064AF"/>
    <w:rsid w:val="00307AED"/>
    <w:rsid w:val="003119A9"/>
    <w:rsid w:val="00327822"/>
    <w:rsid w:val="00331CB8"/>
    <w:rsid w:val="0034342A"/>
    <w:rsid w:val="0035699E"/>
    <w:rsid w:val="00387CA2"/>
    <w:rsid w:val="00392B91"/>
    <w:rsid w:val="003961BE"/>
    <w:rsid w:val="003A0769"/>
    <w:rsid w:val="003A2D6C"/>
    <w:rsid w:val="003A4EA9"/>
    <w:rsid w:val="003B11E9"/>
    <w:rsid w:val="003B777F"/>
    <w:rsid w:val="003D0AF1"/>
    <w:rsid w:val="003D2E54"/>
    <w:rsid w:val="003E59B4"/>
    <w:rsid w:val="003F2004"/>
    <w:rsid w:val="0040458D"/>
    <w:rsid w:val="00413356"/>
    <w:rsid w:val="0041532B"/>
    <w:rsid w:val="00421653"/>
    <w:rsid w:val="0042232B"/>
    <w:rsid w:val="00452B9E"/>
    <w:rsid w:val="004540F2"/>
    <w:rsid w:val="00461241"/>
    <w:rsid w:val="0047444E"/>
    <w:rsid w:val="004800F0"/>
    <w:rsid w:val="004802D1"/>
    <w:rsid w:val="0049023A"/>
    <w:rsid w:val="004A2052"/>
    <w:rsid w:val="004A793B"/>
    <w:rsid w:val="004B1088"/>
    <w:rsid w:val="004B78F2"/>
    <w:rsid w:val="004C0E7F"/>
    <w:rsid w:val="004C4161"/>
    <w:rsid w:val="004C7A1F"/>
    <w:rsid w:val="004D5544"/>
    <w:rsid w:val="004D790A"/>
    <w:rsid w:val="004F1482"/>
    <w:rsid w:val="004F33B3"/>
    <w:rsid w:val="0051135A"/>
    <w:rsid w:val="00520E55"/>
    <w:rsid w:val="0052500B"/>
    <w:rsid w:val="005368E8"/>
    <w:rsid w:val="00565495"/>
    <w:rsid w:val="00595AAA"/>
    <w:rsid w:val="005A1EFA"/>
    <w:rsid w:val="005A3B95"/>
    <w:rsid w:val="005A6E45"/>
    <w:rsid w:val="005B6756"/>
    <w:rsid w:val="005D559D"/>
    <w:rsid w:val="005E41D3"/>
    <w:rsid w:val="006041A3"/>
    <w:rsid w:val="00607F81"/>
    <w:rsid w:val="00614538"/>
    <w:rsid w:val="006275BB"/>
    <w:rsid w:val="006276C4"/>
    <w:rsid w:val="00627F04"/>
    <w:rsid w:val="00637A4D"/>
    <w:rsid w:val="00641227"/>
    <w:rsid w:val="006523F6"/>
    <w:rsid w:val="00655C31"/>
    <w:rsid w:val="00656F1E"/>
    <w:rsid w:val="0066127B"/>
    <w:rsid w:val="00662B97"/>
    <w:rsid w:val="0067272A"/>
    <w:rsid w:val="00680C46"/>
    <w:rsid w:val="0068338E"/>
    <w:rsid w:val="00687E80"/>
    <w:rsid w:val="006932DA"/>
    <w:rsid w:val="00695B69"/>
    <w:rsid w:val="006A6988"/>
    <w:rsid w:val="006A75F5"/>
    <w:rsid w:val="006B093E"/>
    <w:rsid w:val="006F1659"/>
    <w:rsid w:val="006F2E5D"/>
    <w:rsid w:val="006F3003"/>
    <w:rsid w:val="0073079D"/>
    <w:rsid w:val="00730C48"/>
    <w:rsid w:val="00734B48"/>
    <w:rsid w:val="00745952"/>
    <w:rsid w:val="007467F3"/>
    <w:rsid w:val="00771AC3"/>
    <w:rsid w:val="007735E0"/>
    <w:rsid w:val="007946DB"/>
    <w:rsid w:val="007A1EA3"/>
    <w:rsid w:val="007A6BF8"/>
    <w:rsid w:val="007C767D"/>
    <w:rsid w:val="007D6204"/>
    <w:rsid w:val="007F2AC5"/>
    <w:rsid w:val="008046DD"/>
    <w:rsid w:val="00830246"/>
    <w:rsid w:val="00860AEA"/>
    <w:rsid w:val="00860E0A"/>
    <w:rsid w:val="00861A0A"/>
    <w:rsid w:val="00863F0F"/>
    <w:rsid w:val="0087171B"/>
    <w:rsid w:val="00872F1C"/>
    <w:rsid w:val="00873D34"/>
    <w:rsid w:val="00883017"/>
    <w:rsid w:val="00895297"/>
    <w:rsid w:val="008A14EF"/>
    <w:rsid w:val="008A2F54"/>
    <w:rsid w:val="008A3288"/>
    <w:rsid w:val="008D29DA"/>
    <w:rsid w:val="008D633F"/>
    <w:rsid w:val="008D784A"/>
    <w:rsid w:val="008E5BB8"/>
    <w:rsid w:val="008E746C"/>
    <w:rsid w:val="008F62DD"/>
    <w:rsid w:val="009135B0"/>
    <w:rsid w:val="009138B6"/>
    <w:rsid w:val="009217B1"/>
    <w:rsid w:val="00930AC6"/>
    <w:rsid w:val="00935D1C"/>
    <w:rsid w:val="00952430"/>
    <w:rsid w:val="009658AC"/>
    <w:rsid w:val="0096706E"/>
    <w:rsid w:val="00977CE4"/>
    <w:rsid w:val="00993466"/>
    <w:rsid w:val="00997B58"/>
    <w:rsid w:val="009B1057"/>
    <w:rsid w:val="009B53EF"/>
    <w:rsid w:val="009B60FB"/>
    <w:rsid w:val="009B6205"/>
    <w:rsid w:val="009D32D5"/>
    <w:rsid w:val="009D4F83"/>
    <w:rsid w:val="00A067CF"/>
    <w:rsid w:val="00A10B13"/>
    <w:rsid w:val="00A12793"/>
    <w:rsid w:val="00A153DB"/>
    <w:rsid w:val="00A25494"/>
    <w:rsid w:val="00A27502"/>
    <w:rsid w:val="00A66775"/>
    <w:rsid w:val="00A701D9"/>
    <w:rsid w:val="00A72F60"/>
    <w:rsid w:val="00A730C9"/>
    <w:rsid w:val="00A86A5C"/>
    <w:rsid w:val="00A96A0B"/>
    <w:rsid w:val="00AB11CF"/>
    <w:rsid w:val="00AE4B1F"/>
    <w:rsid w:val="00AE5E74"/>
    <w:rsid w:val="00AF083B"/>
    <w:rsid w:val="00B02D00"/>
    <w:rsid w:val="00B143F3"/>
    <w:rsid w:val="00B164F1"/>
    <w:rsid w:val="00B255A3"/>
    <w:rsid w:val="00B40993"/>
    <w:rsid w:val="00B4606E"/>
    <w:rsid w:val="00B53432"/>
    <w:rsid w:val="00B55D3E"/>
    <w:rsid w:val="00B611D5"/>
    <w:rsid w:val="00B772C6"/>
    <w:rsid w:val="00B81340"/>
    <w:rsid w:val="00B94D3A"/>
    <w:rsid w:val="00BA6577"/>
    <w:rsid w:val="00BA7D1A"/>
    <w:rsid w:val="00BB5E87"/>
    <w:rsid w:val="00BC266B"/>
    <w:rsid w:val="00BC4182"/>
    <w:rsid w:val="00BC585C"/>
    <w:rsid w:val="00BC6023"/>
    <w:rsid w:val="00BC63D2"/>
    <w:rsid w:val="00C12E0C"/>
    <w:rsid w:val="00C16DA9"/>
    <w:rsid w:val="00C216C4"/>
    <w:rsid w:val="00C2340F"/>
    <w:rsid w:val="00C42820"/>
    <w:rsid w:val="00C71875"/>
    <w:rsid w:val="00C94CF6"/>
    <w:rsid w:val="00C952C4"/>
    <w:rsid w:val="00CC4254"/>
    <w:rsid w:val="00CC6045"/>
    <w:rsid w:val="00CD7612"/>
    <w:rsid w:val="00D01E18"/>
    <w:rsid w:val="00D437AB"/>
    <w:rsid w:val="00D56F21"/>
    <w:rsid w:val="00D63769"/>
    <w:rsid w:val="00D64422"/>
    <w:rsid w:val="00D92F5B"/>
    <w:rsid w:val="00D936B2"/>
    <w:rsid w:val="00D95178"/>
    <w:rsid w:val="00DA1F6C"/>
    <w:rsid w:val="00DC4C91"/>
    <w:rsid w:val="00DD0B41"/>
    <w:rsid w:val="00DD1877"/>
    <w:rsid w:val="00E01232"/>
    <w:rsid w:val="00E036FB"/>
    <w:rsid w:val="00E21A66"/>
    <w:rsid w:val="00E21D5C"/>
    <w:rsid w:val="00E25244"/>
    <w:rsid w:val="00E54462"/>
    <w:rsid w:val="00E567A3"/>
    <w:rsid w:val="00E65D57"/>
    <w:rsid w:val="00E66FA4"/>
    <w:rsid w:val="00EA2A30"/>
    <w:rsid w:val="00EB46F9"/>
    <w:rsid w:val="00EB6FF8"/>
    <w:rsid w:val="00EC6126"/>
    <w:rsid w:val="00EC7931"/>
    <w:rsid w:val="00ED04C8"/>
    <w:rsid w:val="00ED3EC3"/>
    <w:rsid w:val="00ED7F06"/>
    <w:rsid w:val="00EE44AB"/>
    <w:rsid w:val="00EE564F"/>
    <w:rsid w:val="00EE5EDC"/>
    <w:rsid w:val="00EF2B5A"/>
    <w:rsid w:val="00F01F8F"/>
    <w:rsid w:val="00F05171"/>
    <w:rsid w:val="00F12FA7"/>
    <w:rsid w:val="00F4134E"/>
    <w:rsid w:val="00F44A34"/>
    <w:rsid w:val="00F55BD8"/>
    <w:rsid w:val="00F5647C"/>
    <w:rsid w:val="00F6471C"/>
    <w:rsid w:val="00F70F2C"/>
    <w:rsid w:val="00F76F52"/>
    <w:rsid w:val="00F83781"/>
    <w:rsid w:val="00F86437"/>
    <w:rsid w:val="00F91416"/>
    <w:rsid w:val="00F934CC"/>
    <w:rsid w:val="00FA2178"/>
    <w:rsid w:val="00FD6D77"/>
    <w:rsid w:val="00FE3DF0"/>
    <w:rsid w:val="00FF2324"/>
    <w:rsid w:val="00FF2E92"/>
    <w:rsid w:val="00FF5EF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60DE"/>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2B1158A0-20B9-4D6B-9FAA-07AC1AFEAB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3341</Words>
  <Characters>19715</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11</cp:revision>
  <cp:lastPrinted>2024-11-08T07:37:00Z</cp:lastPrinted>
  <dcterms:created xsi:type="dcterms:W3CDTF">2024-11-21T12:39:00Z</dcterms:created>
  <dcterms:modified xsi:type="dcterms:W3CDTF">2025-03-24T12:18:00Z</dcterms:modified>
</cp:coreProperties>
</file>