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EF6D" w14:textId="77777777" w:rsidR="00A76CB4" w:rsidRDefault="002230E7">
      <w:pPr>
        <w:spacing w:after="0" w:line="259" w:lineRule="auto"/>
        <w:ind w:left="360" w:firstLine="0"/>
        <w:jc w:val="center"/>
      </w:pPr>
      <w:r>
        <w:rPr>
          <w:b/>
          <w:sz w:val="30"/>
        </w:rPr>
        <w:t>KUPNÍ SMLOUVA</w:t>
      </w:r>
    </w:p>
    <w:p w14:paraId="74EED793" w14:textId="77777777" w:rsidR="00A76CB4" w:rsidRDefault="002230E7">
      <w:pPr>
        <w:spacing w:after="5" w:line="265" w:lineRule="auto"/>
        <w:ind w:left="1997" w:right="1628" w:hanging="10"/>
        <w:jc w:val="center"/>
      </w:pPr>
      <w:r>
        <w:rPr>
          <w:sz w:val="18"/>
        </w:rPr>
        <w:t>QUO-</w:t>
      </w:r>
      <w:proofErr w:type="gramStart"/>
      <w:r>
        <w:rPr>
          <w:sz w:val="18"/>
        </w:rPr>
        <w:t>463947-G6Y8T9</w:t>
      </w:r>
      <w:proofErr w:type="gramEnd"/>
      <w:r>
        <w:rPr>
          <w:sz w:val="18"/>
        </w:rPr>
        <w:t xml:space="preserve">/0 - celoroční - </w:t>
      </w:r>
      <w:proofErr w:type="spellStart"/>
      <w:r>
        <w:rPr>
          <w:sz w:val="18"/>
        </w:rPr>
        <w:t>EVrzalova</w:t>
      </w:r>
      <w:proofErr w:type="spellEnd"/>
      <w:r>
        <w:rPr>
          <w:sz w:val="18"/>
        </w:rPr>
        <w:t>/Správa a údržba silnic uzavřená podle § 2079 Občanského zákoníku (zákona č. 89/2012 Sb.)</w:t>
      </w:r>
    </w:p>
    <w:p w14:paraId="09D11E56" w14:textId="392BC353" w:rsidR="00A76CB4" w:rsidRDefault="002230E7">
      <w:pPr>
        <w:spacing w:after="539" w:line="265" w:lineRule="auto"/>
        <w:ind w:left="1997" w:right="1628" w:hanging="10"/>
        <w:jc w:val="center"/>
      </w:pPr>
      <w:r>
        <w:rPr>
          <w:sz w:val="18"/>
        </w:rPr>
        <w:t xml:space="preserve">A </w:t>
      </w:r>
      <w:r w:rsidR="00F575FE">
        <w:rPr>
          <w:sz w:val="18"/>
        </w:rPr>
        <w:t>18</w:t>
      </w:r>
      <w:r>
        <w:rPr>
          <w:sz w:val="18"/>
        </w:rPr>
        <w:t>/202</w:t>
      </w:r>
      <w:r w:rsidR="00F575FE">
        <w:rPr>
          <w:sz w:val="18"/>
        </w:rPr>
        <w:t>5</w:t>
      </w:r>
    </w:p>
    <w:p w14:paraId="36858D81" w14:textId="77777777" w:rsidR="00A76CB4" w:rsidRDefault="002230E7">
      <w:pPr>
        <w:tabs>
          <w:tab w:val="center" w:pos="1287"/>
          <w:tab w:val="center" w:pos="5888"/>
        </w:tabs>
        <w:spacing w:after="2" w:line="265" w:lineRule="auto"/>
        <w:ind w:left="0" w:firstLine="0"/>
        <w:jc w:val="left"/>
      </w:pPr>
      <w:r>
        <w:rPr>
          <w:rFonts w:ascii="Calibri" w:eastAsia="Calibri" w:hAnsi="Calibri" w:cs="Calibri"/>
        </w:rPr>
        <w:tab/>
      </w:r>
      <w:r>
        <w:rPr>
          <w:sz w:val="18"/>
        </w:rPr>
        <w:t>Kupující:</w:t>
      </w:r>
      <w:r>
        <w:rPr>
          <w:sz w:val="18"/>
        </w:rPr>
        <w:tab/>
        <w:t>Prodávající:</w:t>
      </w:r>
    </w:p>
    <w:p w14:paraId="3C92538C" w14:textId="77777777" w:rsidR="00A76CB4" w:rsidRDefault="002230E7">
      <w:pPr>
        <w:tabs>
          <w:tab w:val="center" w:pos="2832"/>
          <w:tab w:val="center" w:pos="6917"/>
        </w:tabs>
        <w:spacing w:after="0" w:line="265" w:lineRule="auto"/>
        <w:ind w:left="0" w:firstLine="0"/>
        <w:jc w:val="left"/>
      </w:pPr>
      <w:r>
        <w:rPr>
          <w:rFonts w:ascii="Calibri" w:eastAsia="Calibri" w:hAnsi="Calibri" w:cs="Calibri"/>
        </w:rPr>
        <w:tab/>
      </w:r>
      <w:r>
        <w:rPr>
          <w:b/>
        </w:rPr>
        <w:t>Správa a údržba silnic Zlínska, s.r.o.</w:t>
      </w:r>
      <w:r>
        <w:rPr>
          <w:b/>
        </w:rPr>
        <w:tab/>
      </w:r>
      <w:proofErr w:type="spellStart"/>
      <w:r>
        <w:rPr>
          <w:b/>
        </w:rPr>
        <w:t>Cemex</w:t>
      </w:r>
      <w:proofErr w:type="spellEnd"/>
      <w:r>
        <w:rPr>
          <w:b/>
        </w:rPr>
        <w:t xml:space="preserve"> Czech Republic s.r.o.</w:t>
      </w:r>
    </w:p>
    <w:p w14:paraId="549BF8DA" w14:textId="77777777" w:rsidR="00A76CB4" w:rsidRDefault="002230E7">
      <w:pPr>
        <w:tabs>
          <w:tab w:val="center" w:pos="1690"/>
          <w:tab w:val="center" w:pos="6862"/>
        </w:tabs>
        <w:spacing w:after="0" w:line="265" w:lineRule="auto"/>
        <w:ind w:left="0" w:firstLine="0"/>
        <w:jc w:val="left"/>
      </w:pPr>
      <w:r>
        <w:rPr>
          <w:rFonts w:ascii="Calibri" w:eastAsia="Calibri" w:hAnsi="Calibri" w:cs="Calibri"/>
        </w:rPr>
        <w:tab/>
      </w:r>
      <w:r>
        <w:rPr>
          <w:b/>
        </w:rPr>
        <w:t>K Majáku</w:t>
      </w:r>
      <w:r>
        <w:rPr>
          <w:sz w:val="18"/>
        </w:rPr>
        <w:t xml:space="preserve"> </w:t>
      </w:r>
      <w:r>
        <w:rPr>
          <w:b/>
        </w:rPr>
        <w:t xml:space="preserve">5001 </w:t>
      </w:r>
      <w:r>
        <w:rPr>
          <w:b/>
        </w:rPr>
        <w:tab/>
        <w:t>Plzeňská 3217/16, Smíchov,</w:t>
      </w:r>
    </w:p>
    <w:p w14:paraId="7EA6989C" w14:textId="77777777" w:rsidR="00A76CB4" w:rsidRDefault="002230E7">
      <w:pPr>
        <w:tabs>
          <w:tab w:val="center" w:pos="1530"/>
          <w:tab w:val="center" w:pos="6177"/>
        </w:tabs>
        <w:spacing w:after="268" w:line="265" w:lineRule="auto"/>
        <w:ind w:left="0" w:firstLine="0"/>
        <w:jc w:val="left"/>
      </w:pPr>
      <w:r>
        <w:rPr>
          <w:rFonts w:ascii="Calibri" w:eastAsia="Calibri" w:hAnsi="Calibri" w:cs="Calibri"/>
        </w:rPr>
        <w:tab/>
      </w:r>
      <w:r>
        <w:rPr>
          <w:b/>
        </w:rPr>
        <w:t xml:space="preserve">760 </w:t>
      </w:r>
      <w:proofErr w:type="gramStart"/>
      <w:r>
        <w:rPr>
          <w:b/>
        </w:rPr>
        <w:t>01  Zlín</w:t>
      </w:r>
      <w:proofErr w:type="gramEnd"/>
      <w:r>
        <w:rPr>
          <w:b/>
        </w:rPr>
        <w:t xml:space="preserve"> </w:t>
      </w:r>
      <w:r>
        <w:rPr>
          <w:b/>
        </w:rPr>
        <w:tab/>
        <w:t>150 00 Praha 5</w:t>
      </w:r>
    </w:p>
    <w:p w14:paraId="58399B92" w14:textId="77777777" w:rsidR="00A76CB4" w:rsidRDefault="002230E7">
      <w:pPr>
        <w:tabs>
          <w:tab w:val="center" w:pos="1566"/>
          <w:tab w:val="center" w:pos="6048"/>
        </w:tabs>
        <w:ind w:left="0" w:firstLine="0"/>
        <w:jc w:val="left"/>
      </w:pPr>
      <w:r>
        <w:rPr>
          <w:rFonts w:ascii="Calibri" w:eastAsia="Calibri" w:hAnsi="Calibri" w:cs="Calibri"/>
        </w:rPr>
        <w:tab/>
      </w:r>
      <w:r>
        <w:rPr>
          <w:sz w:val="18"/>
        </w:rPr>
        <w:t xml:space="preserve">IČ: </w:t>
      </w:r>
      <w:r>
        <w:t>26913453</w:t>
      </w:r>
      <w:r>
        <w:tab/>
      </w:r>
      <w:r>
        <w:rPr>
          <w:sz w:val="28"/>
          <w:vertAlign w:val="subscript"/>
        </w:rPr>
        <w:t>IČ:</w:t>
      </w:r>
      <w:r>
        <w:t xml:space="preserve"> 27892638</w:t>
      </w:r>
    </w:p>
    <w:p w14:paraId="35121678" w14:textId="77777777" w:rsidR="00A76CB4" w:rsidRDefault="002230E7">
      <w:pPr>
        <w:tabs>
          <w:tab w:val="center" w:pos="1778"/>
          <w:tab w:val="center" w:pos="6260"/>
        </w:tabs>
        <w:spacing w:after="344"/>
        <w:ind w:left="0" w:firstLine="0"/>
        <w:jc w:val="left"/>
      </w:pPr>
      <w:r>
        <w:rPr>
          <w:rFonts w:ascii="Calibri" w:eastAsia="Calibri" w:hAnsi="Calibri" w:cs="Calibri"/>
        </w:rPr>
        <w:tab/>
      </w:r>
      <w:r>
        <w:rPr>
          <w:sz w:val="18"/>
        </w:rPr>
        <w:t xml:space="preserve">DIČ: </w:t>
      </w:r>
      <w:r>
        <w:t>CZ26913453</w:t>
      </w:r>
      <w:r>
        <w:tab/>
      </w:r>
      <w:r>
        <w:rPr>
          <w:sz w:val="18"/>
        </w:rPr>
        <w:t>DIČ:</w:t>
      </w:r>
      <w:r>
        <w:t xml:space="preserve"> CZ27892638</w:t>
      </w:r>
    </w:p>
    <w:p w14:paraId="11F4B8B0" w14:textId="77777777" w:rsidR="00A76CB4" w:rsidRDefault="002230E7">
      <w:pPr>
        <w:tabs>
          <w:tab w:val="center" w:pos="2393"/>
          <w:tab w:val="center" w:pos="6869"/>
        </w:tabs>
        <w:spacing w:after="0" w:line="259" w:lineRule="auto"/>
        <w:ind w:left="0" w:firstLine="0"/>
        <w:jc w:val="left"/>
      </w:pPr>
      <w:r>
        <w:rPr>
          <w:rFonts w:ascii="Calibri" w:eastAsia="Calibri" w:hAnsi="Calibri" w:cs="Calibri"/>
        </w:rPr>
        <w:tab/>
      </w:r>
      <w:r>
        <w:rPr>
          <w:sz w:val="20"/>
        </w:rPr>
        <w:t xml:space="preserve">Zastoupen ve věcech smluvních: </w:t>
      </w:r>
      <w:r>
        <w:rPr>
          <w:sz w:val="20"/>
        </w:rPr>
        <w:tab/>
        <w:t>Zastoupen ve věcech smluvních:</w:t>
      </w:r>
    </w:p>
    <w:p w14:paraId="745DE92A" w14:textId="77777777" w:rsidR="00A76CB4" w:rsidRDefault="002230E7">
      <w:pPr>
        <w:tabs>
          <w:tab w:val="center" w:pos="1454"/>
          <w:tab w:val="center" w:pos="6097"/>
        </w:tabs>
        <w:spacing w:after="0" w:line="259" w:lineRule="auto"/>
        <w:ind w:left="0" w:firstLine="0"/>
        <w:jc w:val="left"/>
      </w:pPr>
      <w:r>
        <w:rPr>
          <w:rFonts w:ascii="Calibri" w:eastAsia="Calibri" w:hAnsi="Calibri" w:cs="Calibri"/>
        </w:rPr>
        <w:tab/>
      </w:r>
      <w:r>
        <w:rPr>
          <w:sz w:val="20"/>
        </w:rPr>
        <w:t>Libor Lukáš</w:t>
      </w:r>
      <w:r>
        <w:rPr>
          <w:sz w:val="20"/>
        </w:rPr>
        <w:tab/>
        <w:t>Eliška Vrzalová</w:t>
      </w:r>
    </w:p>
    <w:p w14:paraId="51C6D70F" w14:textId="77777777" w:rsidR="00A76CB4" w:rsidRDefault="002230E7">
      <w:pPr>
        <w:spacing w:after="0" w:line="259" w:lineRule="auto"/>
        <w:ind w:left="2551" w:firstLine="0"/>
        <w:jc w:val="center"/>
      </w:pPr>
      <w:r>
        <w:rPr>
          <w:sz w:val="20"/>
        </w:rPr>
        <w:t>Obchodní zástupce</w:t>
      </w:r>
    </w:p>
    <w:p w14:paraId="54353C61" w14:textId="5391EE07" w:rsidR="00A76CB4" w:rsidRDefault="002230E7">
      <w:pPr>
        <w:tabs>
          <w:tab w:val="center" w:pos="1778"/>
          <w:tab w:val="center" w:pos="6682"/>
        </w:tabs>
        <w:spacing w:after="218" w:line="259" w:lineRule="auto"/>
        <w:ind w:left="0" w:firstLine="0"/>
        <w:jc w:val="left"/>
      </w:pPr>
      <w:r>
        <w:rPr>
          <w:rFonts w:ascii="Calibri" w:eastAsia="Calibri" w:hAnsi="Calibri" w:cs="Calibri"/>
        </w:rPr>
        <w:tab/>
      </w:r>
      <w:r w:rsidR="00F575FE">
        <w:rPr>
          <w:sz w:val="20"/>
        </w:rPr>
        <w:t>XXXXXXXXXXXX</w:t>
      </w:r>
      <w:r>
        <w:rPr>
          <w:sz w:val="20"/>
        </w:rPr>
        <w:tab/>
      </w:r>
      <w:r w:rsidR="00F575FE">
        <w:rPr>
          <w:sz w:val="20"/>
        </w:rPr>
        <w:t>XXXXXXXXXXXXX</w:t>
      </w:r>
    </w:p>
    <w:p w14:paraId="195A3E97" w14:textId="77777777" w:rsidR="00A76CB4" w:rsidRDefault="002230E7">
      <w:pPr>
        <w:tabs>
          <w:tab w:val="center" w:pos="2466"/>
          <w:tab w:val="center" w:pos="6954"/>
        </w:tabs>
        <w:spacing w:after="2" w:line="265" w:lineRule="auto"/>
        <w:ind w:left="0" w:firstLine="0"/>
        <w:jc w:val="left"/>
      </w:pPr>
      <w:r>
        <w:rPr>
          <w:rFonts w:ascii="Calibri" w:eastAsia="Calibri" w:hAnsi="Calibri" w:cs="Calibri"/>
        </w:rPr>
        <w:tab/>
      </w:r>
      <w:r>
        <w:rPr>
          <w:sz w:val="20"/>
        </w:rPr>
        <w:t>Zastoupen ve věcech technických:</w:t>
      </w:r>
      <w:r>
        <w:rPr>
          <w:sz w:val="20"/>
        </w:rPr>
        <w:tab/>
      </w:r>
      <w:r>
        <w:rPr>
          <w:sz w:val="18"/>
        </w:rPr>
        <w:t>Bank spojení: RAIFFEISENBANK A.S.</w:t>
      </w:r>
    </w:p>
    <w:p w14:paraId="361FE92B" w14:textId="1F1B3AEF" w:rsidR="00A76CB4" w:rsidRDefault="002230E7">
      <w:pPr>
        <w:tabs>
          <w:tab w:val="center" w:pos="1454"/>
          <w:tab w:val="center" w:pos="6639"/>
        </w:tabs>
        <w:spacing w:after="2" w:line="265" w:lineRule="auto"/>
        <w:ind w:left="0" w:firstLine="0"/>
        <w:jc w:val="left"/>
      </w:pPr>
      <w:r>
        <w:rPr>
          <w:rFonts w:ascii="Calibri" w:eastAsia="Calibri" w:hAnsi="Calibri" w:cs="Calibri"/>
        </w:rPr>
        <w:tab/>
      </w:r>
      <w:r>
        <w:rPr>
          <w:sz w:val="20"/>
        </w:rPr>
        <w:t>Libor Lukáš</w:t>
      </w:r>
      <w:r>
        <w:rPr>
          <w:sz w:val="20"/>
        </w:rPr>
        <w:tab/>
      </w:r>
      <w:r>
        <w:rPr>
          <w:sz w:val="18"/>
        </w:rPr>
        <w:t xml:space="preserve">Číslo účtu: </w:t>
      </w:r>
      <w:r w:rsidR="00F575FE">
        <w:rPr>
          <w:sz w:val="18"/>
        </w:rPr>
        <w:t>XXXXXXXXXXXXX</w:t>
      </w:r>
    </w:p>
    <w:p w14:paraId="0140E6F3" w14:textId="2D85918E" w:rsidR="00A76CB4" w:rsidRDefault="002230E7">
      <w:pPr>
        <w:tabs>
          <w:tab w:val="center" w:pos="1778"/>
          <w:tab w:val="center" w:pos="7209"/>
        </w:tabs>
        <w:spacing w:after="2" w:line="265" w:lineRule="auto"/>
        <w:ind w:left="0" w:firstLine="0"/>
        <w:jc w:val="left"/>
      </w:pPr>
      <w:r>
        <w:rPr>
          <w:rFonts w:ascii="Calibri" w:eastAsia="Calibri" w:hAnsi="Calibri" w:cs="Calibri"/>
        </w:rPr>
        <w:tab/>
      </w:r>
      <w:r w:rsidR="00F575FE">
        <w:rPr>
          <w:sz w:val="20"/>
        </w:rPr>
        <w:t>XXXXXXXXXXX</w:t>
      </w:r>
      <w:r>
        <w:rPr>
          <w:sz w:val="20"/>
        </w:rPr>
        <w:tab/>
      </w:r>
      <w:r>
        <w:rPr>
          <w:sz w:val="18"/>
        </w:rPr>
        <w:t>Zapsáno u: Městský soud v Praze, C 124693</w:t>
      </w:r>
    </w:p>
    <w:p w14:paraId="31E8A0F7" w14:textId="77777777" w:rsidR="00A76CB4" w:rsidRDefault="002230E7">
      <w:pPr>
        <w:spacing w:after="186" w:line="265" w:lineRule="auto"/>
        <w:ind w:left="3088" w:hanging="10"/>
        <w:jc w:val="center"/>
      </w:pPr>
      <w:r>
        <w:rPr>
          <w:sz w:val="18"/>
        </w:rPr>
        <w:t xml:space="preserve">ID datové schránky: </w:t>
      </w:r>
      <w:proofErr w:type="spellStart"/>
      <w:r>
        <w:rPr>
          <w:sz w:val="18"/>
        </w:rPr>
        <w:t>vrkvcuz</w:t>
      </w:r>
      <w:proofErr w:type="spellEnd"/>
    </w:p>
    <w:p w14:paraId="4473EF69" w14:textId="77777777" w:rsidR="00A76CB4" w:rsidRDefault="002230E7">
      <w:pPr>
        <w:tabs>
          <w:tab w:val="center" w:pos="1647"/>
          <w:tab w:val="center" w:pos="6253"/>
        </w:tabs>
        <w:spacing w:after="873" w:line="265" w:lineRule="auto"/>
        <w:ind w:left="0" w:firstLine="0"/>
        <w:jc w:val="left"/>
      </w:pPr>
      <w:r>
        <w:rPr>
          <w:rFonts w:ascii="Calibri" w:eastAsia="Calibri" w:hAnsi="Calibri" w:cs="Calibri"/>
        </w:rPr>
        <w:tab/>
      </w:r>
      <w:r>
        <w:rPr>
          <w:sz w:val="18"/>
        </w:rPr>
        <w:t>(dále jen kupující)</w:t>
      </w:r>
      <w:r>
        <w:rPr>
          <w:sz w:val="18"/>
        </w:rPr>
        <w:tab/>
        <w:t>(dále jen prodávající)</w:t>
      </w:r>
    </w:p>
    <w:p w14:paraId="2EB45FA8" w14:textId="77777777" w:rsidR="00A76CB4" w:rsidRDefault="002230E7">
      <w:pPr>
        <w:tabs>
          <w:tab w:val="center" w:pos="1472"/>
        </w:tabs>
        <w:spacing w:after="553" w:line="265" w:lineRule="auto"/>
        <w:ind w:left="-15" w:firstLine="0"/>
        <w:jc w:val="left"/>
      </w:pPr>
      <w:r>
        <w:rPr>
          <w:b/>
        </w:rPr>
        <w:t>I.</w:t>
      </w:r>
      <w:r>
        <w:rPr>
          <w:b/>
        </w:rPr>
        <w:tab/>
        <w:t>PŘEDMĚT SMLOUVY</w:t>
      </w:r>
    </w:p>
    <w:p w14:paraId="58C67D5B" w14:textId="77777777" w:rsidR="00A76CB4" w:rsidRDefault="002230E7">
      <w:pPr>
        <w:numPr>
          <w:ilvl w:val="0"/>
          <w:numId w:val="1"/>
        </w:numPr>
        <w:spacing w:after="549"/>
        <w:ind w:hanging="360"/>
      </w:pPr>
      <w:r>
        <w:t xml:space="preserve">Předmětem této smlouvy je závazek prodávajícího dodat kupujícímu movitou </w:t>
      </w:r>
      <w:proofErr w:type="gramStart"/>
      <w:r>
        <w:t>věc - zboží</w:t>
      </w:r>
      <w:proofErr w:type="gramEnd"/>
      <w:r>
        <w:t xml:space="preserve"> dle níže uvedené specifikace (dále jen "zboží") a převést na něho vlastnické právo ke zboží a závazek kupujícího zboží převzít a zaplatit kupní cenu. Dále je předmětem této smlouvy závazek prodávajícího poskytnout kupujícímu některé, dále v textu smlouvy přesně specifikované, služby spojené s dodávkou zboží a závazek kupujícího poskytnuté služby převzít a zaplatit cenu za poskytnutí těchto služeb.</w:t>
      </w:r>
    </w:p>
    <w:p w14:paraId="51C3F748" w14:textId="77777777" w:rsidR="00A76CB4" w:rsidRDefault="002230E7">
      <w:pPr>
        <w:numPr>
          <w:ilvl w:val="0"/>
          <w:numId w:val="1"/>
        </w:numPr>
        <w:spacing w:after="277"/>
        <w:ind w:hanging="360"/>
      </w:pPr>
      <w:r>
        <w:t>Dodávky zboží budou realizovány ze závodu prodávajícího:</w:t>
      </w:r>
    </w:p>
    <w:p w14:paraId="65F25C39" w14:textId="77777777" w:rsidR="00A76CB4" w:rsidRDefault="002230E7">
      <w:pPr>
        <w:spacing w:after="0" w:line="265" w:lineRule="auto"/>
        <w:ind w:left="370" w:hanging="10"/>
        <w:jc w:val="left"/>
      </w:pPr>
      <w:r>
        <w:rPr>
          <w:b/>
        </w:rPr>
        <w:t>Betonárna Otrokovice N601</w:t>
      </w:r>
    </w:p>
    <w:p w14:paraId="1DC8D319" w14:textId="77777777" w:rsidR="00A76CB4" w:rsidRDefault="002230E7">
      <w:pPr>
        <w:spacing w:after="0" w:line="265" w:lineRule="auto"/>
        <w:ind w:left="370" w:hanging="10"/>
        <w:jc w:val="left"/>
      </w:pPr>
      <w:r>
        <w:rPr>
          <w:b/>
        </w:rPr>
        <w:t>Kunovice (N604)</w:t>
      </w:r>
    </w:p>
    <w:p w14:paraId="3C571822" w14:textId="77777777" w:rsidR="00A76CB4" w:rsidRDefault="002230E7">
      <w:pPr>
        <w:spacing w:after="0" w:line="265" w:lineRule="auto"/>
        <w:ind w:left="370" w:hanging="10"/>
        <w:jc w:val="left"/>
      </w:pPr>
      <w:r>
        <w:rPr>
          <w:b/>
        </w:rPr>
        <w:t>Uherský Brod (N608)</w:t>
      </w:r>
    </w:p>
    <w:p w14:paraId="7445B713" w14:textId="77777777" w:rsidR="00A76CB4" w:rsidRDefault="002230E7">
      <w:pPr>
        <w:spacing w:after="456" w:line="265" w:lineRule="auto"/>
        <w:ind w:left="370" w:hanging="10"/>
        <w:jc w:val="left"/>
      </w:pPr>
      <w:r>
        <w:rPr>
          <w:b/>
        </w:rPr>
        <w:t>Zlín (N611)</w:t>
      </w:r>
    </w:p>
    <w:p w14:paraId="318D553B" w14:textId="77777777" w:rsidR="00A76CB4" w:rsidRDefault="002230E7">
      <w:pPr>
        <w:numPr>
          <w:ilvl w:val="0"/>
          <w:numId w:val="1"/>
        </w:numPr>
        <w:spacing w:after="533" w:line="251" w:lineRule="auto"/>
        <w:ind w:hanging="360"/>
      </w:pPr>
      <w:r>
        <w:rPr>
          <w:sz w:val="24"/>
        </w:rPr>
        <w:t xml:space="preserve">V případě realizace dodávky zboží a/nebo služeb závodu prodávajícího, který není výslovně uveden v této smlouvě, bude tato dodávka kupujícímu účtována dle aktuálně platného </w:t>
      </w:r>
      <w:r>
        <w:rPr>
          <w:sz w:val="24"/>
        </w:rPr>
        <w:lastRenderedPageBreak/>
        <w:t>ceníku prodávajícího. Ceníkem prodávajícího se rozumí ceník platný v den odběru zboží a/nebo služeb (dále jen „ceník“).</w:t>
      </w:r>
    </w:p>
    <w:p w14:paraId="160B7FB1" w14:textId="77777777" w:rsidR="00A76CB4" w:rsidRDefault="002230E7">
      <w:pPr>
        <w:spacing w:after="270" w:line="265" w:lineRule="auto"/>
        <w:ind w:left="-5" w:hanging="10"/>
        <w:jc w:val="left"/>
      </w:pPr>
      <w:r>
        <w:rPr>
          <w:b/>
        </w:rPr>
        <w:t>II. SPECIFIKACE A CENA ZBOŽÍ</w:t>
      </w:r>
    </w:p>
    <w:p w14:paraId="522E792C" w14:textId="77777777" w:rsidR="00A76CB4" w:rsidRDefault="002230E7">
      <w:pPr>
        <w:numPr>
          <w:ilvl w:val="0"/>
          <w:numId w:val="2"/>
        </w:numPr>
        <w:spacing w:after="279"/>
      </w:pPr>
      <w:r>
        <w:t>Tato smlouva se uzavírá na dobu určitou:</w:t>
      </w:r>
      <w:r>
        <w:rPr>
          <w:rFonts w:ascii="Calibri" w:eastAsia="Calibri" w:hAnsi="Calibri" w:cs="Calibri"/>
        </w:rPr>
        <w:t xml:space="preserve"> </w:t>
      </w:r>
      <w:r>
        <w:t>od 16.01.25 do 22.12.25, tj. vztahuje se na dodávky uskutečněné prodávajícím pro kupujícího na stavbu na základě této smlouvy nejpozději dne 22.12.25. Prodávající se zavazuje po dobu platnosti této smlouvy na základě objednávek kupujícího dodávat zboží a služby uvedené v tomto článku nebo v příslušném ceníku prodávajícího, platného v den odběru zboží a/nebo služeb (dále jen „ceník“), to vše za podmínek stanovených v této smlouvě.</w:t>
      </w:r>
    </w:p>
    <w:p w14:paraId="5BEB7EF3" w14:textId="77777777" w:rsidR="00A76CB4" w:rsidRDefault="002230E7">
      <w:pPr>
        <w:numPr>
          <w:ilvl w:val="0"/>
          <w:numId w:val="2"/>
        </w:numPr>
      </w:pPr>
      <w:r>
        <w:t xml:space="preserve">Níže uvedené ceny zboží, včetně služeb, jsou stanoveny dohodou smluvních stran </w:t>
      </w:r>
      <w:proofErr w:type="gramStart"/>
      <w:r>
        <w:t>a  jsou</w:t>
      </w:r>
      <w:proofErr w:type="gramEnd"/>
      <w:r>
        <w:t xml:space="preserve"> platné pro všechny závody prodávajícího uvedené v čl. I. Předmět smlouvy, není-li touto smlouvou stanoveno jinak. V případě, kdy jsou níže uvedeny slevy na skupiny zboží nebo služeb, budou ceny zboží nebo služeb účtovány po celou dobu platnosti této smlouvy vždy z ceníku.</w:t>
      </w:r>
    </w:p>
    <w:p w14:paraId="747214AE" w14:textId="77777777" w:rsidR="00A76CB4" w:rsidRDefault="002230E7">
      <w:pPr>
        <w:spacing w:after="0" w:line="259" w:lineRule="auto"/>
        <w:ind w:left="1080" w:firstLine="0"/>
        <w:jc w:val="left"/>
      </w:pPr>
      <w:r>
        <w:t xml:space="preserve"> </w:t>
      </w:r>
    </w:p>
    <w:p w14:paraId="57904056" w14:textId="77777777" w:rsidR="00A76CB4" w:rsidRDefault="002230E7">
      <w:pPr>
        <w:numPr>
          <w:ilvl w:val="0"/>
          <w:numId w:val="2"/>
        </w:numPr>
      </w:pPr>
      <w:r>
        <w:t>Specifikace cen zboží a/nebo služeb.</w:t>
      </w:r>
    </w:p>
    <w:tbl>
      <w:tblPr>
        <w:tblStyle w:val="TableGrid"/>
        <w:tblW w:w="9333" w:type="dxa"/>
        <w:tblInd w:w="369" w:type="dxa"/>
        <w:tblCellMar>
          <w:top w:w="109" w:type="dxa"/>
          <w:left w:w="120" w:type="dxa"/>
          <w:bottom w:w="42" w:type="dxa"/>
          <w:right w:w="100" w:type="dxa"/>
        </w:tblCellMar>
        <w:tblLook w:val="04A0" w:firstRow="1" w:lastRow="0" w:firstColumn="1" w:lastColumn="0" w:noHBand="0" w:noVBand="1"/>
      </w:tblPr>
      <w:tblGrid>
        <w:gridCol w:w="1010"/>
        <w:gridCol w:w="3022"/>
        <w:gridCol w:w="1557"/>
        <w:gridCol w:w="982"/>
        <w:gridCol w:w="1720"/>
        <w:gridCol w:w="1042"/>
      </w:tblGrid>
      <w:tr w:rsidR="00A76CB4" w14:paraId="6EF9C2F0" w14:textId="77777777" w:rsidTr="002230E7">
        <w:trPr>
          <w:trHeight w:val="903"/>
        </w:trPr>
        <w:tc>
          <w:tcPr>
            <w:tcW w:w="101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5400F716" w14:textId="77777777" w:rsidR="00A76CB4" w:rsidRDefault="002230E7">
            <w:pPr>
              <w:spacing w:after="0" w:line="259" w:lineRule="auto"/>
              <w:ind w:left="0" w:firstLine="0"/>
              <w:jc w:val="center"/>
            </w:pPr>
            <w:r>
              <w:rPr>
                <w:b/>
                <w:sz w:val="18"/>
              </w:rPr>
              <w:t>Množství v m</w:t>
            </w:r>
            <w:r>
              <w:rPr>
                <w:b/>
                <w:sz w:val="15"/>
                <w:vertAlign w:val="superscript"/>
              </w:rPr>
              <w:t>3</w:t>
            </w:r>
          </w:p>
        </w:tc>
        <w:tc>
          <w:tcPr>
            <w:tcW w:w="3022"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413EAA6" w14:textId="77777777" w:rsidR="00A76CB4" w:rsidRDefault="002230E7">
            <w:pPr>
              <w:spacing w:after="0" w:line="259" w:lineRule="auto"/>
              <w:ind w:left="0" w:right="20" w:firstLine="0"/>
              <w:jc w:val="center"/>
            </w:pPr>
            <w:r>
              <w:rPr>
                <w:b/>
                <w:sz w:val="18"/>
              </w:rPr>
              <w:t>Druh zboží</w:t>
            </w:r>
          </w:p>
        </w:tc>
        <w:tc>
          <w:tcPr>
            <w:tcW w:w="1557"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B1DAC1C" w14:textId="77777777" w:rsidR="00A76CB4" w:rsidRDefault="002230E7">
            <w:pPr>
              <w:spacing w:after="0" w:line="259" w:lineRule="auto"/>
              <w:ind w:left="0" w:right="20" w:firstLine="0"/>
              <w:jc w:val="center"/>
            </w:pPr>
            <w:r>
              <w:rPr>
                <w:b/>
                <w:sz w:val="18"/>
              </w:rPr>
              <w:t>Poznámka</w:t>
            </w:r>
          </w:p>
        </w:tc>
        <w:tc>
          <w:tcPr>
            <w:tcW w:w="982"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C6084CA" w14:textId="77777777" w:rsidR="00A76CB4" w:rsidRDefault="002230E7">
            <w:pPr>
              <w:spacing w:after="0" w:line="259" w:lineRule="auto"/>
              <w:ind w:left="4" w:firstLine="0"/>
              <w:jc w:val="left"/>
            </w:pPr>
            <w:r>
              <w:rPr>
                <w:b/>
                <w:sz w:val="18"/>
              </w:rPr>
              <w:t>Sleva v %</w:t>
            </w:r>
          </w:p>
        </w:tc>
        <w:tc>
          <w:tcPr>
            <w:tcW w:w="1720" w:type="dxa"/>
            <w:tcBorders>
              <w:top w:val="single" w:sz="6" w:space="0" w:color="000000"/>
              <w:left w:val="single" w:sz="6" w:space="0" w:color="000000"/>
              <w:bottom w:val="single" w:sz="6" w:space="0" w:color="000000"/>
              <w:right w:val="single" w:sz="6" w:space="0" w:color="000000"/>
            </w:tcBorders>
            <w:shd w:val="clear" w:color="auto" w:fill="CCCCCC"/>
          </w:tcPr>
          <w:p w14:paraId="2DD31253" w14:textId="77777777" w:rsidR="00A76CB4" w:rsidRDefault="002230E7">
            <w:pPr>
              <w:spacing w:after="0" w:line="259" w:lineRule="auto"/>
              <w:ind w:left="52" w:right="72" w:firstLine="0"/>
              <w:jc w:val="center"/>
            </w:pPr>
            <w:r>
              <w:rPr>
                <w:b/>
                <w:sz w:val="18"/>
              </w:rPr>
              <w:t>Smluvní cena po uplatnění slevy v Kč/m</w:t>
            </w:r>
            <w:r>
              <w:rPr>
                <w:b/>
                <w:sz w:val="15"/>
                <w:vertAlign w:val="superscript"/>
              </w:rPr>
              <w:t>3</w:t>
            </w:r>
            <w:r>
              <w:rPr>
                <w:b/>
                <w:sz w:val="18"/>
              </w:rPr>
              <w:t xml:space="preserve"> (bez DPH)</w:t>
            </w:r>
          </w:p>
        </w:tc>
        <w:tc>
          <w:tcPr>
            <w:tcW w:w="1042" w:type="dxa"/>
            <w:tcBorders>
              <w:top w:val="single" w:sz="6" w:space="0" w:color="000000"/>
              <w:left w:val="single" w:sz="6" w:space="0" w:color="000000"/>
              <w:bottom w:val="single" w:sz="6" w:space="0" w:color="000000"/>
              <w:right w:val="single" w:sz="6" w:space="0" w:color="000000"/>
            </w:tcBorders>
            <w:shd w:val="clear" w:color="auto" w:fill="D0CECE"/>
            <w:vAlign w:val="bottom"/>
          </w:tcPr>
          <w:p w14:paraId="1572C4EF" w14:textId="77777777" w:rsidR="00A76CB4" w:rsidRDefault="002230E7">
            <w:pPr>
              <w:spacing w:after="0" w:line="259" w:lineRule="auto"/>
              <w:ind w:left="0" w:firstLine="0"/>
              <w:jc w:val="center"/>
            </w:pPr>
            <w:r>
              <w:rPr>
                <w:b/>
                <w:sz w:val="18"/>
              </w:rPr>
              <w:t>Cena včetně dopravy</w:t>
            </w:r>
          </w:p>
        </w:tc>
      </w:tr>
      <w:tr w:rsidR="00A76CB4" w14:paraId="55D6377F" w14:textId="77777777" w:rsidTr="002230E7">
        <w:trPr>
          <w:trHeight w:val="652"/>
        </w:trPr>
        <w:tc>
          <w:tcPr>
            <w:tcW w:w="1010" w:type="dxa"/>
            <w:tcBorders>
              <w:top w:val="single" w:sz="6" w:space="0" w:color="000000"/>
              <w:left w:val="single" w:sz="6" w:space="0" w:color="000000"/>
              <w:bottom w:val="single" w:sz="6" w:space="0" w:color="000000"/>
              <w:right w:val="single" w:sz="6" w:space="0" w:color="000000"/>
            </w:tcBorders>
          </w:tcPr>
          <w:p w14:paraId="7EB86147" w14:textId="77777777" w:rsidR="00A76CB4" w:rsidRDefault="002230E7">
            <w:pPr>
              <w:spacing w:after="0" w:line="259" w:lineRule="auto"/>
              <w:ind w:left="85" w:firstLine="0"/>
              <w:jc w:val="left"/>
            </w:pPr>
            <w:r>
              <w:rPr>
                <w:b/>
                <w:sz w:val="18"/>
              </w:rPr>
              <w:t>20,00</w:t>
            </w:r>
          </w:p>
        </w:tc>
        <w:tc>
          <w:tcPr>
            <w:tcW w:w="3022" w:type="dxa"/>
            <w:tcBorders>
              <w:top w:val="single" w:sz="6" w:space="0" w:color="000000"/>
              <w:left w:val="single" w:sz="6" w:space="0" w:color="000000"/>
              <w:bottom w:val="single" w:sz="6" w:space="0" w:color="000000"/>
              <w:right w:val="single" w:sz="6" w:space="0" w:color="000000"/>
            </w:tcBorders>
            <w:vAlign w:val="center"/>
          </w:tcPr>
          <w:p w14:paraId="0278D6CF" w14:textId="77777777" w:rsidR="00A76CB4" w:rsidRDefault="002230E7">
            <w:pPr>
              <w:spacing w:after="0" w:line="259" w:lineRule="auto"/>
              <w:ind w:left="0" w:firstLine="0"/>
              <w:jc w:val="left"/>
            </w:pPr>
            <w:r>
              <w:rPr>
                <w:b/>
                <w:sz w:val="18"/>
              </w:rPr>
              <w:t xml:space="preserve"> Cementové zboží</w:t>
            </w:r>
          </w:p>
        </w:tc>
        <w:tc>
          <w:tcPr>
            <w:tcW w:w="1557" w:type="dxa"/>
            <w:tcBorders>
              <w:top w:val="single" w:sz="6" w:space="0" w:color="000000"/>
              <w:left w:val="single" w:sz="6" w:space="0" w:color="000000"/>
              <w:bottom w:val="single" w:sz="6" w:space="0" w:color="000000"/>
              <w:right w:val="single" w:sz="6" w:space="0" w:color="000000"/>
            </w:tcBorders>
            <w:vAlign w:val="center"/>
          </w:tcPr>
          <w:p w14:paraId="70D579F8" w14:textId="77777777" w:rsidR="00A76CB4" w:rsidRDefault="002230E7">
            <w:pPr>
              <w:spacing w:after="0" w:line="259" w:lineRule="auto"/>
              <w:ind w:left="0" w:firstLine="0"/>
              <w:jc w:val="left"/>
            </w:pPr>
            <w:r>
              <w:rPr>
                <w:b/>
                <w:sz w:val="18"/>
              </w:rPr>
              <w:t xml:space="preserve"> </w:t>
            </w:r>
          </w:p>
        </w:tc>
        <w:tc>
          <w:tcPr>
            <w:tcW w:w="982" w:type="dxa"/>
            <w:tcBorders>
              <w:top w:val="single" w:sz="6" w:space="0" w:color="000000"/>
              <w:left w:val="single" w:sz="6" w:space="0" w:color="000000"/>
              <w:bottom w:val="single" w:sz="6" w:space="0" w:color="000000"/>
              <w:right w:val="single" w:sz="6" w:space="0" w:color="000000"/>
            </w:tcBorders>
          </w:tcPr>
          <w:p w14:paraId="48B516D5" w14:textId="3AD25CCD" w:rsidR="00A76CB4" w:rsidRDefault="00F575FE">
            <w:pPr>
              <w:spacing w:after="0" w:line="259" w:lineRule="auto"/>
              <w:ind w:left="37" w:firstLine="0"/>
              <w:jc w:val="left"/>
            </w:pPr>
            <w:r>
              <w:rPr>
                <w:b/>
                <w:sz w:val="18"/>
              </w:rPr>
              <w:t>XXXXX</w:t>
            </w:r>
          </w:p>
        </w:tc>
        <w:tc>
          <w:tcPr>
            <w:tcW w:w="1720" w:type="dxa"/>
            <w:tcBorders>
              <w:top w:val="single" w:sz="6" w:space="0" w:color="000000"/>
              <w:left w:val="single" w:sz="6" w:space="0" w:color="000000"/>
              <w:bottom w:val="single" w:sz="6" w:space="0" w:color="000000"/>
              <w:right w:val="single" w:sz="6" w:space="0" w:color="000000"/>
            </w:tcBorders>
          </w:tcPr>
          <w:p w14:paraId="6639BDF9" w14:textId="77777777" w:rsidR="00A76CB4" w:rsidRDefault="00A76CB4">
            <w:pPr>
              <w:spacing w:after="160" w:line="259" w:lineRule="auto"/>
              <w:ind w:left="0" w:firstLine="0"/>
              <w:jc w:val="left"/>
            </w:pPr>
          </w:p>
        </w:tc>
        <w:tc>
          <w:tcPr>
            <w:tcW w:w="1042" w:type="dxa"/>
            <w:tcBorders>
              <w:top w:val="single" w:sz="6" w:space="0" w:color="000000"/>
              <w:left w:val="single" w:sz="6" w:space="0" w:color="000000"/>
              <w:bottom w:val="single" w:sz="6" w:space="0" w:color="000000"/>
              <w:right w:val="single" w:sz="6" w:space="0" w:color="000000"/>
            </w:tcBorders>
            <w:vAlign w:val="center"/>
          </w:tcPr>
          <w:p w14:paraId="5039D611" w14:textId="77777777" w:rsidR="00A76CB4" w:rsidRDefault="002230E7">
            <w:pPr>
              <w:spacing w:after="0" w:line="259" w:lineRule="auto"/>
              <w:ind w:left="0" w:right="37" w:firstLine="0"/>
              <w:jc w:val="center"/>
            </w:pPr>
            <w:r>
              <w:rPr>
                <w:b/>
                <w:sz w:val="18"/>
              </w:rPr>
              <w:t>Ne</w:t>
            </w:r>
          </w:p>
        </w:tc>
      </w:tr>
      <w:tr w:rsidR="00A76CB4" w14:paraId="5B8FBD7B" w14:textId="77777777" w:rsidTr="002230E7">
        <w:trPr>
          <w:trHeight w:val="650"/>
        </w:trPr>
        <w:tc>
          <w:tcPr>
            <w:tcW w:w="1010" w:type="dxa"/>
            <w:tcBorders>
              <w:top w:val="single" w:sz="6" w:space="0" w:color="000000"/>
              <w:left w:val="single" w:sz="6" w:space="0" w:color="000000"/>
              <w:bottom w:val="single" w:sz="6" w:space="0" w:color="000000"/>
              <w:right w:val="single" w:sz="6" w:space="0" w:color="000000"/>
            </w:tcBorders>
          </w:tcPr>
          <w:p w14:paraId="161BDD81" w14:textId="77777777" w:rsidR="00A76CB4" w:rsidRDefault="002230E7">
            <w:pPr>
              <w:spacing w:after="0" w:line="259" w:lineRule="auto"/>
              <w:ind w:left="85" w:firstLine="0"/>
              <w:jc w:val="left"/>
            </w:pPr>
            <w:r>
              <w:rPr>
                <w:b/>
                <w:sz w:val="18"/>
              </w:rPr>
              <w:t>1,00</w:t>
            </w:r>
          </w:p>
        </w:tc>
        <w:tc>
          <w:tcPr>
            <w:tcW w:w="3022" w:type="dxa"/>
            <w:tcBorders>
              <w:top w:val="single" w:sz="6" w:space="0" w:color="000000"/>
              <w:left w:val="single" w:sz="6" w:space="0" w:color="000000"/>
              <w:bottom w:val="single" w:sz="6" w:space="0" w:color="000000"/>
              <w:right w:val="single" w:sz="6" w:space="0" w:color="000000"/>
            </w:tcBorders>
            <w:vAlign w:val="center"/>
          </w:tcPr>
          <w:p w14:paraId="460D5396" w14:textId="77777777" w:rsidR="00A76CB4" w:rsidRDefault="002230E7">
            <w:pPr>
              <w:spacing w:after="0" w:line="259" w:lineRule="auto"/>
              <w:ind w:left="0" w:firstLine="0"/>
              <w:jc w:val="left"/>
            </w:pPr>
            <w:r>
              <w:rPr>
                <w:b/>
                <w:sz w:val="18"/>
              </w:rPr>
              <w:t xml:space="preserve"> Silniční</w:t>
            </w:r>
          </w:p>
        </w:tc>
        <w:tc>
          <w:tcPr>
            <w:tcW w:w="1557" w:type="dxa"/>
            <w:tcBorders>
              <w:top w:val="single" w:sz="6" w:space="0" w:color="000000"/>
              <w:left w:val="single" w:sz="6" w:space="0" w:color="000000"/>
              <w:bottom w:val="single" w:sz="6" w:space="0" w:color="000000"/>
              <w:right w:val="single" w:sz="6" w:space="0" w:color="000000"/>
            </w:tcBorders>
            <w:vAlign w:val="center"/>
          </w:tcPr>
          <w:p w14:paraId="084C8467" w14:textId="77777777" w:rsidR="00A76CB4" w:rsidRDefault="002230E7">
            <w:pPr>
              <w:spacing w:after="0" w:line="259" w:lineRule="auto"/>
              <w:ind w:left="0" w:firstLine="0"/>
              <w:jc w:val="left"/>
            </w:pPr>
            <w:r>
              <w:rPr>
                <w:b/>
                <w:sz w:val="18"/>
              </w:rPr>
              <w:t xml:space="preserve"> </w:t>
            </w:r>
          </w:p>
        </w:tc>
        <w:tc>
          <w:tcPr>
            <w:tcW w:w="982" w:type="dxa"/>
            <w:tcBorders>
              <w:top w:val="single" w:sz="6" w:space="0" w:color="000000"/>
              <w:left w:val="single" w:sz="6" w:space="0" w:color="000000"/>
              <w:bottom w:val="single" w:sz="6" w:space="0" w:color="000000"/>
              <w:right w:val="single" w:sz="6" w:space="0" w:color="000000"/>
            </w:tcBorders>
          </w:tcPr>
          <w:p w14:paraId="7A800DE6" w14:textId="2C321691" w:rsidR="00A76CB4" w:rsidRDefault="00F575FE">
            <w:pPr>
              <w:spacing w:after="0" w:line="259" w:lineRule="auto"/>
              <w:ind w:left="37" w:firstLine="0"/>
              <w:jc w:val="left"/>
            </w:pPr>
            <w:r>
              <w:rPr>
                <w:b/>
                <w:sz w:val="18"/>
              </w:rPr>
              <w:t>XXXXXX</w:t>
            </w:r>
          </w:p>
        </w:tc>
        <w:tc>
          <w:tcPr>
            <w:tcW w:w="1720" w:type="dxa"/>
            <w:tcBorders>
              <w:top w:val="single" w:sz="6" w:space="0" w:color="000000"/>
              <w:left w:val="single" w:sz="6" w:space="0" w:color="000000"/>
              <w:bottom w:val="single" w:sz="6" w:space="0" w:color="000000"/>
              <w:right w:val="single" w:sz="6" w:space="0" w:color="000000"/>
            </w:tcBorders>
          </w:tcPr>
          <w:p w14:paraId="1DA23063" w14:textId="77777777" w:rsidR="00A76CB4" w:rsidRDefault="00A76CB4">
            <w:pPr>
              <w:spacing w:after="160" w:line="259" w:lineRule="auto"/>
              <w:ind w:left="0" w:firstLine="0"/>
              <w:jc w:val="left"/>
            </w:pPr>
          </w:p>
        </w:tc>
        <w:tc>
          <w:tcPr>
            <w:tcW w:w="1042" w:type="dxa"/>
            <w:tcBorders>
              <w:top w:val="single" w:sz="6" w:space="0" w:color="000000"/>
              <w:left w:val="single" w:sz="6" w:space="0" w:color="000000"/>
              <w:bottom w:val="single" w:sz="6" w:space="0" w:color="000000"/>
              <w:right w:val="single" w:sz="6" w:space="0" w:color="000000"/>
            </w:tcBorders>
            <w:vAlign w:val="center"/>
          </w:tcPr>
          <w:p w14:paraId="7226F4F1" w14:textId="77777777" w:rsidR="00A76CB4" w:rsidRDefault="002230E7">
            <w:pPr>
              <w:spacing w:after="0" w:line="259" w:lineRule="auto"/>
              <w:ind w:left="0" w:right="37" w:firstLine="0"/>
              <w:jc w:val="center"/>
            </w:pPr>
            <w:r>
              <w:rPr>
                <w:b/>
                <w:sz w:val="18"/>
              </w:rPr>
              <w:t>Ne</w:t>
            </w:r>
          </w:p>
        </w:tc>
      </w:tr>
      <w:tr w:rsidR="00A76CB4" w14:paraId="42B480CD" w14:textId="77777777" w:rsidTr="002230E7">
        <w:trPr>
          <w:trHeight w:val="650"/>
        </w:trPr>
        <w:tc>
          <w:tcPr>
            <w:tcW w:w="1010" w:type="dxa"/>
            <w:tcBorders>
              <w:top w:val="single" w:sz="6" w:space="0" w:color="000000"/>
              <w:left w:val="single" w:sz="6" w:space="0" w:color="000000"/>
              <w:bottom w:val="single" w:sz="6" w:space="0" w:color="000000"/>
              <w:right w:val="single" w:sz="6" w:space="0" w:color="000000"/>
            </w:tcBorders>
          </w:tcPr>
          <w:p w14:paraId="3465024F" w14:textId="77777777" w:rsidR="00A76CB4" w:rsidRDefault="002230E7">
            <w:pPr>
              <w:spacing w:after="0" w:line="259" w:lineRule="auto"/>
              <w:ind w:left="85" w:firstLine="0"/>
              <w:jc w:val="left"/>
            </w:pPr>
            <w:r>
              <w:rPr>
                <w:b/>
                <w:sz w:val="18"/>
              </w:rPr>
              <w:t>1,00</w:t>
            </w:r>
          </w:p>
        </w:tc>
        <w:tc>
          <w:tcPr>
            <w:tcW w:w="3022" w:type="dxa"/>
            <w:tcBorders>
              <w:top w:val="single" w:sz="6" w:space="0" w:color="000000"/>
              <w:left w:val="single" w:sz="6" w:space="0" w:color="000000"/>
              <w:bottom w:val="single" w:sz="6" w:space="0" w:color="000000"/>
              <w:right w:val="single" w:sz="6" w:space="0" w:color="000000"/>
            </w:tcBorders>
            <w:vAlign w:val="center"/>
          </w:tcPr>
          <w:p w14:paraId="22165662" w14:textId="77777777" w:rsidR="00A76CB4" w:rsidRDefault="002230E7">
            <w:pPr>
              <w:spacing w:after="0" w:line="259" w:lineRule="auto"/>
              <w:ind w:left="0" w:firstLine="0"/>
              <w:jc w:val="left"/>
            </w:pPr>
            <w:r>
              <w:rPr>
                <w:b/>
                <w:sz w:val="18"/>
              </w:rPr>
              <w:t xml:space="preserve"> Ostatní speciální betony</w:t>
            </w:r>
          </w:p>
        </w:tc>
        <w:tc>
          <w:tcPr>
            <w:tcW w:w="1557" w:type="dxa"/>
            <w:tcBorders>
              <w:top w:val="single" w:sz="6" w:space="0" w:color="000000"/>
              <w:left w:val="single" w:sz="6" w:space="0" w:color="000000"/>
              <w:bottom w:val="single" w:sz="6" w:space="0" w:color="000000"/>
              <w:right w:val="single" w:sz="6" w:space="0" w:color="000000"/>
            </w:tcBorders>
            <w:vAlign w:val="center"/>
          </w:tcPr>
          <w:p w14:paraId="4DFCC498" w14:textId="77777777" w:rsidR="00A76CB4" w:rsidRDefault="002230E7">
            <w:pPr>
              <w:spacing w:after="0" w:line="259" w:lineRule="auto"/>
              <w:ind w:left="0" w:firstLine="0"/>
              <w:jc w:val="left"/>
            </w:pPr>
            <w:r>
              <w:rPr>
                <w:b/>
                <w:sz w:val="18"/>
              </w:rPr>
              <w:t xml:space="preserve"> </w:t>
            </w:r>
          </w:p>
        </w:tc>
        <w:tc>
          <w:tcPr>
            <w:tcW w:w="982" w:type="dxa"/>
            <w:tcBorders>
              <w:top w:val="single" w:sz="6" w:space="0" w:color="000000"/>
              <w:left w:val="single" w:sz="6" w:space="0" w:color="000000"/>
              <w:bottom w:val="single" w:sz="6" w:space="0" w:color="000000"/>
              <w:right w:val="single" w:sz="6" w:space="0" w:color="000000"/>
            </w:tcBorders>
          </w:tcPr>
          <w:p w14:paraId="750ED0A2" w14:textId="6FF93238" w:rsidR="00A76CB4" w:rsidRDefault="00F575FE">
            <w:pPr>
              <w:spacing w:after="0" w:line="259" w:lineRule="auto"/>
              <w:ind w:left="37" w:firstLine="0"/>
              <w:jc w:val="left"/>
            </w:pPr>
            <w:r>
              <w:rPr>
                <w:b/>
                <w:sz w:val="18"/>
              </w:rPr>
              <w:t>XXXXXX</w:t>
            </w:r>
          </w:p>
        </w:tc>
        <w:tc>
          <w:tcPr>
            <w:tcW w:w="1720" w:type="dxa"/>
            <w:tcBorders>
              <w:top w:val="single" w:sz="6" w:space="0" w:color="000000"/>
              <w:left w:val="single" w:sz="6" w:space="0" w:color="000000"/>
              <w:bottom w:val="single" w:sz="6" w:space="0" w:color="000000"/>
              <w:right w:val="single" w:sz="6" w:space="0" w:color="000000"/>
            </w:tcBorders>
          </w:tcPr>
          <w:p w14:paraId="5466D9C0" w14:textId="77777777" w:rsidR="00A76CB4" w:rsidRDefault="00A76CB4">
            <w:pPr>
              <w:spacing w:after="160" w:line="259" w:lineRule="auto"/>
              <w:ind w:left="0" w:firstLine="0"/>
              <w:jc w:val="left"/>
            </w:pPr>
          </w:p>
        </w:tc>
        <w:tc>
          <w:tcPr>
            <w:tcW w:w="1042" w:type="dxa"/>
            <w:tcBorders>
              <w:top w:val="single" w:sz="6" w:space="0" w:color="000000"/>
              <w:left w:val="single" w:sz="6" w:space="0" w:color="000000"/>
              <w:bottom w:val="single" w:sz="6" w:space="0" w:color="000000"/>
              <w:right w:val="single" w:sz="6" w:space="0" w:color="000000"/>
            </w:tcBorders>
            <w:vAlign w:val="center"/>
          </w:tcPr>
          <w:p w14:paraId="08BC812E" w14:textId="77777777" w:rsidR="00A76CB4" w:rsidRDefault="002230E7">
            <w:pPr>
              <w:spacing w:after="0" w:line="259" w:lineRule="auto"/>
              <w:ind w:left="0" w:right="37" w:firstLine="0"/>
              <w:jc w:val="center"/>
            </w:pPr>
            <w:r>
              <w:rPr>
                <w:b/>
                <w:sz w:val="18"/>
              </w:rPr>
              <w:t>Ne</w:t>
            </w:r>
          </w:p>
        </w:tc>
      </w:tr>
    </w:tbl>
    <w:p w14:paraId="21BE1011" w14:textId="77777777" w:rsidR="00A76CB4" w:rsidRDefault="002230E7">
      <w:pPr>
        <w:spacing w:after="251" w:line="259" w:lineRule="auto"/>
        <w:ind w:left="360" w:firstLine="0"/>
        <w:jc w:val="left"/>
      </w:pPr>
      <w:r>
        <w:t xml:space="preserve"> </w:t>
      </w:r>
    </w:p>
    <w:p w14:paraId="137B1C9E" w14:textId="77777777" w:rsidR="00A76CB4" w:rsidRDefault="002230E7">
      <w:pPr>
        <w:spacing w:after="250"/>
        <w:ind w:left="360" w:firstLine="0"/>
      </w:pPr>
      <w:r>
        <w:t>Na služby a příplatky se sleva nevztahuje, není-li výslovně v této smlouvě uvedeno jinak.</w:t>
      </w:r>
    </w:p>
    <w:p w14:paraId="750594F7" w14:textId="77777777" w:rsidR="00A76CB4" w:rsidRDefault="002230E7">
      <w:pPr>
        <w:numPr>
          <w:ilvl w:val="0"/>
          <w:numId w:val="2"/>
        </w:numPr>
        <w:spacing w:after="279"/>
      </w:pPr>
      <w:r>
        <w:t>V případě, že na základě oboustranné dohody prodávající kupujícímu dodá zboží a/nebo služby jiného druhu, které nejsou v tomto článku výslovně uvedené, bude cena tohoto zboží a/nebo služeb účtována dle ceníku.</w:t>
      </w:r>
    </w:p>
    <w:p w14:paraId="7230B114" w14:textId="77777777" w:rsidR="00A76CB4" w:rsidRDefault="002230E7">
      <w:pPr>
        <w:numPr>
          <w:ilvl w:val="0"/>
          <w:numId w:val="2"/>
        </w:numPr>
        <w:spacing w:after="288"/>
      </w:pPr>
      <w:r>
        <w:t>Cena dodaného zboží se stanovuje na základě dodaného množství, druhu a sjednané ceny za m3 s připočtením příplatků vyplývajících z této smlouvy nebo ceníku. Prodávající je kdykoli oprávněn v souladu s ustanovením bodu 5.2 Všeobecných prodejních a dodacích podmínek prodávajícího (dále též jen „VPDP“) jednostranně upravit ceny uvedené v této smlouvě nebo příslušném ceníku z důvodu nárůstů cen energií, materiálových nebo jiných vstupních nákladů na výrobu zboží nebo jeho dopravu. Prodávající odešle kupujícímu písemné oznámení o změně ceny dle tohoto odstavce prostřednictvím doručovatele poštovních služeb, faxem, nebo e-mailem na adresu uvedenou v hlavičce této smlouvy, a to nejméně 14 dní před počátkem platnosti nových cen.</w:t>
      </w:r>
    </w:p>
    <w:p w14:paraId="51063517" w14:textId="77777777" w:rsidR="00A76CB4" w:rsidRDefault="002230E7">
      <w:pPr>
        <w:numPr>
          <w:ilvl w:val="0"/>
          <w:numId w:val="2"/>
        </w:numPr>
      </w:pPr>
      <w:r>
        <w:lastRenderedPageBreak/>
        <w:t xml:space="preserve">V ceně zboží je započítána cena souhrnných atestů zkoušek pevnosti v tlaku v četnostech                   předepsaných normou ČSN EN 206+A2 a ČSN P 73 </w:t>
      </w:r>
      <w:proofErr w:type="gramStart"/>
      <w:r>
        <w:t>2404 ,</w:t>
      </w:r>
      <w:proofErr w:type="gramEnd"/>
      <w:r>
        <w:t xml:space="preserve"> zhotovených laboratoři prodávajícího. </w:t>
      </w:r>
    </w:p>
    <w:p w14:paraId="762F91B0" w14:textId="77777777" w:rsidR="00A76CB4" w:rsidRDefault="002230E7">
      <w:pPr>
        <w:ind w:left="360" w:firstLine="0"/>
      </w:pPr>
      <w:r>
        <w:t>Tyto atesty budou předány kupujícímu na vyžádání a po zaplacení příslušných faktur na cenu zboží.</w:t>
      </w:r>
    </w:p>
    <w:p w14:paraId="19F50114" w14:textId="77777777" w:rsidR="00A76CB4" w:rsidRDefault="002230E7">
      <w:pPr>
        <w:numPr>
          <w:ilvl w:val="0"/>
          <w:numId w:val="2"/>
        </w:numPr>
        <w:spacing w:after="271"/>
      </w:pPr>
      <w:r>
        <w:t xml:space="preserve">Výše uvedené slevy zboží jsou platné pro všechny závody prodávajícího uvedené v </w:t>
      </w:r>
      <w:proofErr w:type="spellStart"/>
      <w:r>
        <w:t>čI</w:t>
      </w:r>
      <w:proofErr w:type="spellEnd"/>
      <w:r>
        <w:t>. Předmět smlouvy. Slevy na ostatní druhy zboží zde neuvedené se kalkulují dle ceníku. Platnost ceníku je časově omezena. V případě vydání nového ceníku bude kupující informován příslušným obchodním zástupcem prodávajícího a na webových stránkách https://www.cemex.cz.</w:t>
      </w:r>
    </w:p>
    <w:p w14:paraId="673724B8" w14:textId="77777777" w:rsidR="00A76CB4" w:rsidRDefault="002230E7">
      <w:pPr>
        <w:numPr>
          <w:ilvl w:val="0"/>
          <w:numId w:val="2"/>
        </w:numPr>
        <w:spacing w:after="250"/>
      </w:pPr>
      <w:r>
        <w:t>Dopravu na staveniště a zpět bude prodávající účtovat dle ceníku, a to podle skutečné vzdálenosti na staveniště. V sazbě za dopravu je obsažena nakládka zboží, doprava a vykládka v délce 30 minut zdarma. Na dopravu se sleva stanovená v odst. 3 tohoto článku nevztahuje. Dopravné je účtováno podle skutečně přepravovaného množství, minimální účtované množství (vytížení vozidla) je 5 m3. Pro speciální produkty (</w:t>
      </w:r>
      <w:proofErr w:type="spellStart"/>
      <w:r>
        <w:t>AnhyLevel</w:t>
      </w:r>
      <w:proofErr w:type="spellEnd"/>
      <w:r>
        <w:t xml:space="preserve">, </w:t>
      </w:r>
      <w:proofErr w:type="spellStart"/>
      <w:r>
        <w:t>CemLevel</w:t>
      </w:r>
      <w:proofErr w:type="spellEnd"/>
      <w:r>
        <w:t xml:space="preserve">, </w:t>
      </w:r>
      <w:proofErr w:type="spellStart"/>
      <w:r>
        <w:t>Compacton</w:t>
      </w:r>
      <w:proofErr w:type="spellEnd"/>
      <w:r>
        <w:t xml:space="preserve">, </w:t>
      </w:r>
      <w:proofErr w:type="spellStart"/>
      <w:r>
        <w:t>Poroflow</w:t>
      </w:r>
      <w:proofErr w:type="spellEnd"/>
      <w:r>
        <w:t xml:space="preserve">) je účtované minimální množství 5 m³. </w:t>
      </w:r>
    </w:p>
    <w:p w14:paraId="4988997C" w14:textId="77777777" w:rsidR="00A76CB4" w:rsidRDefault="002230E7">
      <w:pPr>
        <w:numPr>
          <w:ilvl w:val="0"/>
          <w:numId w:val="2"/>
        </w:numPr>
        <w:spacing w:after="266"/>
      </w:pPr>
      <w:r>
        <w:t>Ostatní služby a příplatky spojené s dodávkou zboží budou účtovány dle ceníku příslušného závodu prodávajícího, ze kterého je dodávka realizována, platného v den odběru zboží a/nebo služeb.</w:t>
      </w:r>
    </w:p>
    <w:p w14:paraId="18750071" w14:textId="77777777" w:rsidR="00A76CB4" w:rsidRDefault="002230E7">
      <w:pPr>
        <w:numPr>
          <w:ilvl w:val="0"/>
          <w:numId w:val="2"/>
        </w:numPr>
        <w:spacing w:after="264"/>
      </w:pPr>
      <w:r>
        <w:t>Ceníková cena čerpadel je uvedena v ceníku.</w:t>
      </w:r>
    </w:p>
    <w:p w14:paraId="5B9EB316" w14:textId="77777777" w:rsidR="00A76CB4" w:rsidRDefault="002230E7">
      <w:pPr>
        <w:numPr>
          <w:ilvl w:val="0"/>
          <w:numId w:val="2"/>
        </w:numPr>
        <w:spacing w:after="269"/>
      </w:pPr>
      <w:r>
        <w:t>Všechny ceny uvedené v této smlouvě a ceníku jsou ceny bez DPH, není-li výslovně uvedeno jinak. Výši DPH bude prodávající účtovat dle platných právních předpisů.</w:t>
      </w:r>
    </w:p>
    <w:p w14:paraId="72492A22" w14:textId="77777777" w:rsidR="00A76CB4" w:rsidRDefault="002230E7">
      <w:pPr>
        <w:numPr>
          <w:ilvl w:val="0"/>
          <w:numId w:val="2"/>
        </w:numPr>
        <w:spacing w:after="281"/>
      </w:pPr>
      <w:r>
        <w:t>Zboží je nutno objednat u prodávajícího nejpozději do 12:00 hodin předcházejícího dne. Dodávky většího rozsahu (nad 50 m3) a dodávky prováděné čerpadly se objednávají minimálně tři pracovní dny předem a dodávky na sobotu, neděli a dny pracovního klidu nejpozději v předcházející čtvrtek do 12:00 hodin (tj. čtvrtek předchozího týdne). V případě pozdějších objednávek prodávající nemůže garantovat dodávky v požadovaném množství a čase.</w:t>
      </w:r>
    </w:p>
    <w:p w14:paraId="7BE23DB4" w14:textId="77777777" w:rsidR="00A76CB4" w:rsidRDefault="002230E7">
      <w:pPr>
        <w:numPr>
          <w:ilvl w:val="0"/>
          <w:numId w:val="2"/>
        </w:numPr>
        <w:spacing w:after="276"/>
      </w:pPr>
      <w:r>
        <w:t>V případě pozdní objednávky dodávky zboží a/nebo souvisejících služeb, tj. objednávky učiněné po termínu uvedeném v předchozím odstavci za předpokladu, že tato objednávka byla prodávajícím řádně potvrzena, je prodávající oprávněn účtovat kupujícímu příplatek za pozdní objednávku dle platného ceníku prodávajícího.</w:t>
      </w:r>
    </w:p>
    <w:p w14:paraId="31661D33" w14:textId="1F7931CF" w:rsidR="00A76CB4" w:rsidRDefault="002230E7">
      <w:pPr>
        <w:numPr>
          <w:ilvl w:val="0"/>
          <w:numId w:val="2"/>
        </w:numPr>
        <w:spacing w:after="749"/>
      </w:pPr>
      <w:r>
        <w:t xml:space="preserve">Pozdní zrušení objednávky dodávky zboží a/nebo souvisejících služeb (tj. zrušení po 12:00 hod. předchozího pracovního dne před plánovaným započetím dodávky zboží a/nebo služeb) je prodávající oprávněn účtovat kupujícímu příplatek </w:t>
      </w:r>
      <w:r w:rsidR="00F575FE">
        <w:t>XXXX</w:t>
      </w:r>
      <w:r>
        <w:t xml:space="preserve"> Kč. K tomuto příplatku mohou být naúčtovány i veškeré prokazatelné náklady spojené se zrušením objednávky.</w:t>
      </w:r>
    </w:p>
    <w:p w14:paraId="357AFC47" w14:textId="77777777" w:rsidR="00A76CB4" w:rsidRDefault="002230E7">
      <w:pPr>
        <w:spacing w:after="229" w:line="265" w:lineRule="auto"/>
        <w:ind w:left="-5" w:hanging="10"/>
        <w:jc w:val="left"/>
      </w:pPr>
      <w:r>
        <w:rPr>
          <w:b/>
        </w:rPr>
        <w:t>III. PLATEBNÍ PODMÍNKY</w:t>
      </w:r>
    </w:p>
    <w:p w14:paraId="4A2D05F6" w14:textId="77777777" w:rsidR="00A76CB4" w:rsidRDefault="002230E7">
      <w:pPr>
        <w:numPr>
          <w:ilvl w:val="0"/>
          <w:numId w:val="3"/>
        </w:numPr>
        <w:spacing w:after="243" w:line="252" w:lineRule="auto"/>
        <w:ind w:hanging="360"/>
      </w:pPr>
      <w:r>
        <w:t>Pro úhradu ceny za dodávky zboží a služeb dle této smlouvy je sjednána splatnost 30 dnů. Úhrada je provedena včas, je-li celá částka odpovídající vyúčtované ceně připsána na účet prodávajícího nejpozději v poslední den doby splatnosti.</w:t>
      </w:r>
    </w:p>
    <w:p w14:paraId="3C4A83DC" w14:textId="77777777" w:rsidR="00A76CB4" w:rsidRDefault="002230E7">
      <w:pPr>
        <w:numPr>
          <w:ilvl w:val="0"/>
          <w:numId w:val="3"/>
        </w:numPr>
        <w:ind w:hanging="360"/>
      </w:pPr>
      <w:r>
        <w:t xml:space="preserve">Cena za dodávku zboží a služeb bude kupujícím uhrazena na základě faktury vystavené prodávajícím. Splatnost faktury je počítána ode dne jejího vystavení. Právo fakturovat cenu za dodané zboží, dopravu, ukládání a jiné služby, vzniká prodávajícímu průběžně po dodání každé </w:t>
      </w:r>
      <w:r>
        <w:lastRenderedPageBreak/>
        <w:t>samostatné dílčí dodávky zboží a/nebo služeb. Faktura bude obsahovat soupis dodacích listů. Kupující nebo jím pověřená osoba je povinen převzetí zboží a/nebo služeb potvrdit podpisem na dodacím listu.</w:t>
      </w:r>
    </w:p>
    <w:p w14:paraId="11B1726E" w14:textId="0246753E" w:rsidR="00A76CB4" w:rsidRDefault="002230E7">
      <w:pPr>
        <w:numPr>
          <w:ilvl w:val="0"/>
          <w:numId w:val="3"/>
        </w:numPr>
        <w:spacing w:after="492"/>
        <w:ind w:hanging="360"/>
      </w:pPr>
      <w:r>
        <w:t xml:space="preserve">Kupujícímu byl stanoven tzv. "kreditní limit" v maximální výši </w:t>
      </w:r>
      <w:r w:rsidR="00F575FE">
        <w:t>XXXXXXX</w:t>
      </w:r>
      <w:r>
        <w:t>,00 Kč. Kreditním limitem se rozumí částka včetně DPH, do jejíž výše je kupující oprávněn odebírat za stanovených podmínek od prodávajícího (nebo jiné společnosti ve skupině CEMEX) jakékoliv zboží nebo služby na faktury, přičemž do kreditního limitu se započítává hodnota veškerého odebraného a dosud nezaplaceného zboží a souvisejících služeb kupujícím od prodávajícího (nebo od jiné společnosti v rámci skupiny CEMEX) bez ohledu na základě jaké konkrétní smlouvy mezi prodávajícím (nebo jinou společností skupiny CEMEX) a kupujícím byla dodávka uskutečněna, bez ohledu na druh zboží a poskytnutých služeb, splatnost faktur, či na to, zda faktura na daný odběr zboží/služeb již byla prodávajícím (nebo jinou společností ve skupině CEMEX) vystavena. V případě překročení kreditního limitu, tj. při objednávce zboží/služeb, jejichž dodávkou by byl kreditní limit překročen nebo v případě prodlení kupujícího s placením finančních závazků vůči prodávajícímu (nebo jiné společnosti ve skupině CEMEX) je prodávající oprávněn pozastavit dodávky takového zboží/služeb a další dodávky uskutečnit jen v případě platby předem nebo úhrady v hotovosti kupujícím při odběru zboží nebo služby (za předpokladu dodržení maximálního limitu hotovostních plateb stanoveného právními předpisy), nedohodnou-li se smluvní strany písemně jinak. O této skutečnosti bude kupující prodávajícím informován. Dle výslovné dohody smluvních stran nenese prodávající vůči kupujícímu žádnou odpovědnost, pokud přeruší dodávky z výše uvedených důvodů a za výše uvedených podmínek. Prodávající je oprávněn kreditní limit snížit či zcela zrušit v případě zhoršení nebo omezení platební schopnosti kupujícího. Zhoršením nebo omezením platební schopnosti se rozumí zejména zahájení insolvenčního řízení na majetek kupujícího, zahájení exekučního řízení na majetek kupujícího, prokazatelné prodlení kupujícího se zaplacením jeho finančních závazků z obchodních vztahů s prodávajícím nebo z jeho dalších obchodních, občanskoprávních, pracovněprávních nebo veřejnoprávních vztahů nebo v případě výrazného zhoršení ekonomické situace kupujícího. O snížení č zrušení kreditního limitu bude kupující prodávajícím informován. V případě zrušení kreditního limitu lze dodávky zboží a služeb uskutečnit jen v na základě vzájemné dohody při splnění stanovených podmínek. Informace o překročení limitu nebo zrušení limitu a zastavení dodávek do doby uzavření této dohody o dalším postupu bude sdělena na e-mail, adresu sídla, popř. jinou adresu, kterou kupující prokazatelně prodávajícímu sdělí. Dohoda smluvních stran o odchylném postupu oproti výše popsanému musí být uzavřena písemně – vzájemně potvrzena emailovou komunikací s následně uzavřeným dodatkem k této smlouvě podepsaným oběma smluvními stranami.</w:t>
      </w:r>
    </w:p>
    <w:p w14:paraId="5F7FA1D4" w14:textId="77777777" w:rsidR="00A76CB4" w:rsidRDefault="002230E7">
      <w:pPr>
        <w:spacing w:after="231" w:line="265" w:lineRule="auto"/>
        <w:ind w:left="-5" w:hanging="10"/>
        <w:jc w:val="left"/>
      </w:pPr>
      <w:r>
        <w:rPr>
          <w:b/>
        </w:rPr>
        <w:t>IV. DALŠÍ UJEDNÁNÍ</w:t>
      </w:r>
    </w:p>
    <w:p w14:paraId="3E7020E0" w14:textId="77777777" w:rsidR="00A76CB4" w:rsidRDefault="002230E7">
      <w:pPr>
        <w:numPr>
          <w:ilvl w:val="0"/>
          <w:numId w:val="4"/>
        </w:numPr>
        <w:spacing w:after="239"/>
        <w:ind w:hanging="360"/>
      </w:pPr>
      <w:r>
        <w:t>Vzájemná práva a povinnosti smluvních stran výslovně neuvedená v textu smlouvy, VPDP a/ nebo ceníku se řídí příslušnými ustanoveními Občanského zákoníku. Odchylná ustanovení uvedená v textu této smlouvy mají přednost před příslušnými ustanoveními VPDP a/nebo ceníku. VPDP i ceník jsou dostupné na webových stránkách: www.cemex.cz. Kupující uzavřením této smlouvy potvrzuje, že je seznámen s obsahem VPDP i ceníku a že je považuje za součást této smlouvy.</w:t>
      </w:r>
    </w:p>
    <w:p w14:paraId="6EAA0990" w14:textId="77777777" w:rsidR="00A76CB4" w:rsidRDefault="002230E7">
      <w:pPr>
        <w:numPr>
          <w:ilvl w:val="0"/>
          <w:numId w:val="4"/>
        </w:numPr>
        <w:spacing w:after="429"/>
        <w:ind w:hanging="360"/>
      </w:pPr>
      <w:r>
        <w:t>Pro dodávku zboží dle této smlouvy platí jako závazná technická dokumentace a normy uvedené v platném ceníku prodávajícího. Na dodávky se vztahuje prohlášení o shodě vydané prodávajícím.</w:t>
      </w:r>
    </w:p>
    <w:p w14:paraId="0C3DD180" w14:textId="77777777" w:rsidR="00A76CB4" w:rsidRDefault="002230E7">
      <w:pPr>
        <w:numPr>
          <w:ilvl w:val="0"/>
          <w:numId w:val="4"/>
        </w:numPr>
        <w:spacing w:after="258"/>
        <w:ind w:hanging="360"/>
      </w:pPr>
      <w:r>
        <w:lastRenderedPageBreak/>
        <w:t>Prodávající je oprávněn odmítnout objednávku a dodání zboží a/nebo služeb (kromě důvodů uvedených ve VPDP) též z důvodů nedostatečných výrobních kapacit a závažných technických či provozních důvodů.</w:t>
      </w:r>
    </w:p>
    <w:p w14:paraId="3A9ADC77" w14:textId="77777777" w:rsidR="00A76CB4" w:rsidRDefault="002230E7">
      <w:pPr>
        <w:numPr>
          <w:ilvl w:val="0"/>
          <w:numId w:val="4"/>
        </w:numPr>
        <w:ind w:hanging="360"/>
      </w:pPr>
      <w:r>
        <w:t xml:space="preserve">Kontaktní údaje pro objednání zboží a služeb jsou dostupné na webových stránkách: </w:t>
      </w:r>
    </w:p>
    <w:p w14:paraId="62088736" w14:textId="77777777" w:rsidR="00A76CB4" w:rsidRDefault="002230E7">
      <w:pPr>
        <w:spacing w:after="0" w:line="259" w:lineRule="auto"/>
        <w:ind w:left="360" w:firstLine="0"/>
        <w:jc w:val="left"/>
      </w:pPr>
      <w:hyperlink r:id="rId7">
        <w:r>
          <w:rPr>
            <w:color w:val="0000FF"/>
            <w:u w:val="single" w:color="0000FF"/>
          </w:rPr>
          <w:t>www.cemex.cz</w:t>
        </w:r>
      </w:hyperlink>
      <w:hyperlink r:id="rId8">
        <w:r>
          <w:t>.</w:t>
        </w:r>
      </w:hyperlink>
      <w:r>
        <w:t xml:space="preserve"> </w:t>
      </w:r>
    </w:p>
    <w:p w14:paraId="7C38157B" w14:textId="77777777" w:rsidR="00A76CB4" w:rsidRDefault="002230E7">
      <w:pPr>
        <w:numPr>
          <w:ilvl w:val="0"/>
          <w:numId w:val="4"/>
        </w:numPr>
        <w:spacing w:after="244"/>
        <w:ind w:hanging="360"/>
      </w:pPr>
      <w:r>
        <w:t xml:space="preserve">Na základě povinnosti vyplývající z § 101 odst. 3 a 4 zákona č. 262/2006 Sb. zákoníku práce prodávající informuje kupujícího o pracovních rizicích, která mohou vzniknout na společných pracovištích vlivem činnosti prodávajícího. Příslušná rizika jsou dostupná na </w:t>
      </w:r>
      <w:hyperlink r:id="rId9">
        <w:r>
          <w:rPr>
            <w:color w:val="0000FF"/>
            <w:u w:val="single" w:color="0000FF"/>
          </w:rPr>
          <w:t>https://www.cemex.cz/safety-annex</w:t>
        </w:r>
      </w:hyperlink>
      <w:hyperlink r:id="rId10">
        <w:r>
          <w:t>.</w:t>
        </w:r>
      </w:hyperlink>
      <w:r>
        <w:t xml:space="preserve"> Kupující se zavazuje předem předat prodávajícímu informace o rizicích, která mohou vzniknout činností kupujícího na provozovně prodávajícího.</w:t>
      </w:r>
    </w:p>
    <w:p w14:paraId="0E9CFAFC" w14:textId="77777777" w:rsidR="00A76CB4" w:rsidRDefault="002230E7">
      <w:pPr>
        <w:numPr>
          <w:ilvl w:val="0"/>
          <w:numId w:val="4"/>
        </w:numPr>
        <w:spacing w:after="250"/>
        <w:ind w:hanging="360"/>
      </w:pPr>
      <w:r>
        <w:t>Smluvní strany prohlašují, že si text této smlouvy řádně přečetly, že byla sepsána dle jejich svobodné vůle a nebyla sepsána v tísni ani za nápadně nevýhodných podmínek.</w:t>
      </w:r>
      <w:r>
        <w:rPr>
          <w:b/>
        </w:rPr>
        <w:t xml:space="preserve"> </w:t>
      </w:r>
      <w:r>
        <w:t>Smlouva byla vyhotovena ve třech vyhotoveních, z nichž dvě obdrží prodávající a jedno kupující</w:t>
      </w:r>
      <w:r>
        <w:rPr>
          <w:b/>
        </w:rPr>
        <w:t xml:space="preserve">. </w:t>
      </w:r>
    </w:p>
    <w:p w14:paraId="37554D38" w14:textId="77777777" w:rsidR="00A76CB4" w:rsidRDefault="002230E7">
      <w:pPr>
        <w:numPr>
          <w:ilvl w:val="0"/>
          <w:numId w:val="4"/>
        </w:numPr>
        <w:ind w:hanging="360"/>
      </w:pPr>
      <w:r>
        <w:t>Osoby oprávněné k jednání ve věcech smluvních a technických:</w:t>
      </w:r>
    </w:p>
    <w:tbl>
      <w:tblPr>
        <w:tblStyle w:val="TableGrid"/>
        <w:tblW w:w="8699" w:type="dxa"/>
        <w:tblInd w:w="360" w:type="dxa"/>
        <w:tblCellMar>
          <w:top w:w="38" w:type="dxa"/>
          <w:left w:w="108" w:type="dxa"/>
          <w:bottom w:w="38" w:type="dxa"/>
          <w:right w:w="115" w:type="dxa"/>
        </w:tblCellMar>
        <w:tblLook w:val="04A0" w:firstRow="1" w:lastRow="0" w:firstColumn="1" w:lastColumn="0" w:noHBand="0" w:noVBand="1"/>
      </w:tblPr>
      <w:tblGrid>
        <w:gridCol w:w="401"/>
        <w:gridCol w:w="3339"/>
        <w:gridCol w:w="4238"/>
        <w:gridCol w:w="721"/>
      </w:tblGrid>
      <w:tr w:rsidR="00A76CB4" w14:paraId="3C87E413" w14:textId="77777777">
        <w:trPr>
          <w:trHeight w:val="578"/>
        </w:trPr>
        <w:tc>
          <w:tcPr>
            <w:tcW w:w="3742" w:type="dxa"/>
            <w:gridSpan w:val="2"/>
            <w:tcBorders>
              <w:top w:val="single" w:sz="4" w:space="0" w:color="000000"/>
              <w:left w:val="single" w:sz="4" w:space="0" w:color="000000"/>
              <w:bottom w:val="nil"/>
              <w:right w:val="nil"/>
            </w:tcBorders>
            <w:vAlign w:val="bottom"/>
          </w:tcPr>
          <w:p w14:paraId="5E80359C" w14:textId="77777777" w:rsidR="00A76CB4" w:rsidRDefault="002230E7">
            <w:pPr>
              <w:spacing w:after="0" w:line="259" w:lineRule="auto"/>
              <w:ind w:left="0" w:firstLine="0"/>
              <w:jc w:val="left"/>
            </w:pPr>
            <w:r>
              <w:t xml:space="preserve">     Eliška Vrzalová</w:t>
            </w:r>
          </w:p>
        </w:tc>
        <w:tc>
          <w:tcPr>
            <w:tcW w:w="4957" w:type="dxa"/>
            <w:gridSpan w:val="2"/>
            <w:tcBorders>
              <w:top w:val="single" w:sz="4" w:space="0" w:color="000000"/>
              <w:left w:val="nil"/>
              <w:bottom w:val="nil"/>
              <w:right w:val="single" w:sz="4" w:space="0" w:color="000000"/>
            </w:tcBorders>
            <w:vAlign w:val="bottom"/>
          </w:tcPr>
          <w:p w14:paraId="77957A75" w14:textId="4EA88A71" w:rsidR="00A76CB4" w:rsidRDefault="002230E7">
            <w:pPr>
              <w:spacing w:after="0" w:line="259" w:lineRule="auto"/>
              <w:ind w:left="698" w:firstLine="0"/>
              <w:jc w:val="left"/>
            </w:pPr>
            <w:r>
              <w:t>+</w:t>
            </w:r>
            <w:r w:rsidR="00F575FE">
              <w:t>XXXXX</w:t>
            </w:r>
          </w:p>
        </w:tc>
      </w:tr>
      <w:tr w:rsidR="00A76CB4" w14:paraId="0324127C" w14:textId="77777777">
        <w:trPr>
          <w:trHeight w:val="587"/>
        </w:trPr>
        <w:tc>
          <w:tcPr>
            <w:tcW w:w="3742" w:type="dxa"/>
            <w:gridSpan w:val="2"/>
            <w:tcBorders>
              <w:top w:val="nil"/>
              <w:left w:val="single" w:sz="4" w:space="0" w:color="000000"/>
              <w:bottom w:val="single" w:sz="4" w:space="0" w:color="000000"/>
              <w:right w:val="nil"/>
            </w:tcBorders>
          </w:tcPr>
          <w:p w14:paraId="44457343" w14:textId="77777777" w:rsidR="00A76CB4" w:rsidRDefault="002230E7">
            <w:pPr>
              <w:spacing w:after="0" w:line="259" w:lineRule="auto"/>
              <w:ind w:left="0" w:firstLine="0"/>
              <w:jc w:val="left"/>
            </w:pPr>
            <w:r>
              <w:t xml:space="preserve">     Obchodní zástupce</w:t>
            </w:r>
          </w:p>
        </w:tc>
        <w:tc>
          <w:tcPr>
            <w:tcW w:w="4957" w:type="dxa"/>
            <w:gridSpan w:val="2"/>
            <w:tcBorders>
              <w:top w:val="nil"/>
              <w:left w:val="nil"/>
              <w:bottom w:val="single" w:sz="4" w:space="0" w:color="000000"/>
              <w:right w:val="single" w:sz="4" w:space="0" w:color="000000"/>
            </w:tcBorders>
          </w:tcPr>
          <w:p w14:paraId="37639A52" w14:textId="1846A9E2" w:rsidR="00A76CB4" w:rsidRDefault="00F575FE">
            <w:pPr>
              <w:spacing w:after="0" w:line="259" w:lineRule="auto"/>
              <w:ind w:left="698" w:firstLine="0"/>
              <w:jc w:val="left"/>
            </w:pPr>
            <w:r>
              <w:t>XXXXXXXXXXXX</w:t>
            </w:r>
          </w:p>
        </w:tc>
      </w:tr>
      <w:tr w:rsidR="00A76CB4" w14:paraId="6BF55E3B" w14:textId="77777777">
        <w:tblPrEx>
          <w:tblCellMar>
            <w:top w:w="0" w:type="dxa"/>
            <w:left w:w="0" w:type="dxa"/>
            <w:bottom w:w="0" w:type="dxa"/>
            <w:right w:w="0" w:type="dxa"/>
          </w:tblCellMar>
        </w:tblPrEx>
        <w:trPr>
          <w:gridBefore w:val="1"/>
          <w:gridAfter w:val="1"/>
          <w:wBefore w:w="402" w:type="dxa"/>
          <w:wAfter w:w="722" w:type="dxa"/>
          <w:trHeight w:val="369"/>
        </w:trPr>
        <w:tc>
          <w:tcPr>
            <w:tcW w:w="3335" w:type="dxa"/>
            <w:tcBorders>
              <w:top w:val="nil"/>
              <w:left w:val="nil"/>
              <w:bottom w:val="nil"/>
              <w:right w:val="nil"/>
            </w:tcBorders>
          </w:tcPr>
          <w:p w14:paraId="031A1635" w14:textId="77777777" w:rsidR="002230E7" w:rsidRDefault="002230E7">
            <w:pPr>
              <w:spacing w:after="0" w:line="259" w:lineRule="auto"/>
              <w:ind w:left="5" w:firstLine="0"/>
              <w:jc w:val="left"/>
              <w:rPr>
                <w:b/>
              </w:rPr>
            </w:pPr>
          </w:p>
          <w:p w14:paraId="19E5D898" w14:textId="1AD2A3C8" w:rsidR="00A76CB4" w:rsidRDefault="002230E7" w:rsidP="002230E7">
            <w:pPr>
              <w:spacing w:after="0" w:line="259" w:lineRule="auto"/>
              <w:ind w:left="0" w:firstLine="0"/>
              <w:jc w:val="left"/>
            </w:pPr>
            <w:r>
              <w:rPr>
                <w:b/>
              </w:rPr>
              <w:t>Kupující</w:t>
            </w:r>
          </w:p>
        </w:tc>
        <w:tc>
          <w:tcPr>
            <w:tcW w:w="4240" w:type="dxa"/>
            <w:tcBorders>
              <w:top w:val="nil"/>
              <w:left w:val="nil"/>
              <w:bottom w:val="nil"/>
              <w:right w:val="nil"/>
            </w:tcBorders>
          </w:tcPr>
          <w:p w14:paraId="012C5C64" w14:textId="77777777" w:rsidR="002230E7" w:rsidRDefault="002230E7">
            <w:pPr>
              <w:spacing w:after="0" w:line="259" w:lineRule="auto"/>
              <w:ind w:left="1165" w:firstLine="0"/>
              <w:jc w:val="left"/>
              <w:rPr>
                <w:b/>
              </w:rPr>
            </w:pPr>
          </w:p>
          <w:p w14:paraId="21B305E1" w14:textId="7FB9422B" w:rsidR="00A76CB4" w:rsidRDefault="002230E7">
            <w:pPr>
              <w:spacing w:after="0" w:line="259" w:lineRule="auto"/>
              <w:ind w:left="1165" w:firstLine="0"/>
              <w:jc w:val="left"/>
            </w:pPr>
            <w:r>
              <w:rPr>
                <w:b/>
              </w:rPr>
              <w:t>Prodávající</w:t>
            </w:r>
          </w:p>
        </w:tc>
      </w:tr>
      <w:tr w:rsidR="00A76CB4" w14:paraId="3159BF73" w14:textId="77777777">
        <w:tblPrEx>
          <w:tblCellMar>
            <w:top w:w="0" w:type="dxa"/>
            <w:left w:w="0" w:type="dxa"/>
            <w:bottom w:w="0" w:type="dxa"/>
            <w:right w:w="0" w:type="dxa"/>
          </w:tblCellMar>
        </w:tblPrEx>
        <w:trPr>
          <w:gridBefore w:val="1"/>
          <w:gridAfter w:val="1"/>
          <w:wBefore w:w="402" w:type="dxa"/>
          <w:wAfter w:w="722" w:type="dxa"/>
          <w:trHeight w:val="2038"/>
        </w:trPr>
        <w:tc>
          <w:tcPr>
            <w:tcW w:w="3335" w:type="dxa"/>
            <w:tcBorders>
              <w:top w:val="nil"/>
              <w:left w:val="nil"/>
              <w:bottom w:val="nil"/>
              <w:right w:val="nil"/>
            </w:tcBorders>
          </w:tcPr>
          <w:p w14:paraId="3F2CE0F0" w14:textId="77777777" w:rsidR="00A76CB4" w:rsidRDefault="002230E7">
            <w:pPr>
              <w:spacing w:after="220" w:line="259" w:lineRule="auto"/>
              <w:ind w:left="5" w:firstLine="0"/>
              <w:jc w:val="left"/>
            </w:pPr>
            <w:r>
              <w:t>Místo</w:t>
            </w:r>
          </w:p>
          <w:p w14:paraId="37BE396B" w14:textId="3BFE40AF" w:rsidR="00A76CB4" w:rsidRDefault="002230E7">
            <w:pPr>
              <w:spacing w:after="0" w:line="259" w:lineRule="auto"/>
              <w:ind w:left="5" w:firstLine="0"/>
              <w:jc w:val="left"/>
            </w:pPr>
            <w:r>
              <w:t>Datum</w:t>
            </w:r>
            <w:r w:rsidR="00F575FE">
              <w:t xml:space="preserve"> 19.03.2025</w:t>
            </w:r>
          </w:p>
        </w:tc>
        <w:tc>
          <w:tcPr>
            <w:tcW w:w="4240" w:type="dxa"/>
            <w:tcBorders>
              <w:top w:val="nil"/>
              <w:left w:val="nil"/>
              <w:bottom w:val="nil"/>
              <w:right w:val="nil"/>
            </w:tcBorders>
          </w:tcPr>
          <w:p w14:paraId="17AD9CBC" w14:textId="77777777" w:rsidR="00A76CB4" w:rsidRDefault="002230E7">
            <w:pPr>
              <w:spacing w:after="220" w:line="259" w:lineRule="auto"/>
              <w:ind w:left="1165" w:firstLine="0"/>
              <w:jc w:val="left"/>
            </w:pPr>
            <w:r>
              <w:t>Místo</w:t>
            </w:r>
          </w:p>
          <w:p w14:paraId="7A628A1F" w14:textId="6F4D0CC7" w:rsidR="00A76CB4" w:rsidRDefault="002230E7">
            <w:pPr>
              <w:spacing w:after="0" w:line="259" w:lineRule="auto"/>
              <w:ind w:left="1165" w:firstLine="0"/>
              <w:jc w:val="left"/>
            </w:pPr>
            <w:r>
              <w:t>Datum</w:t>
            </w:r>
            <w:r w:rsidR="00F575FE">
              <w:t xml:space="preserve"> 16.01.2025</w:t>
            </w:r>
          </w:p>
        </w:tc>
      </w:tr>
      <w:tr w:rsidR="00A76CB4" w14:paraId="031BEB0F" w14:textId="77777777">
        <w:tblPrEx>
          <w:tblCellMar>
            <w:top w:w="0" w:type="dxa"/>
            <w:left w:w="0" w:type="dxa"/>
            <w:bottom w:w="0" w:type="dxa"/>
            <w:right w:w="0" w:type="dxa"/>
          </w:tblCellMar>
        </w:tblPrEx>
        <w:trPr>
          <w:gridBefore w:val="1"/>
          <w:gridAfter w:val="1"/>
          <w:wBefore w:w="402" w:type="dxa"/>
          <w:wAfter w:w="722" w:type="dxa"/>
          <w:trHeight w:val="1914"/>
        </w:trPr>
        <w:tc>
          <w:tcPr>
            <w:tcW w:w="3335" w:type="dxa"/>
            <w:tcBorders>
              <w:top w:val="nil"/>
              <w:left w:val="nil"/>
              <w:bottom w:val="nil"/>
              <w:right w:val="nil"/>
            </w:tcBorders>
            <w:vAlign w:val="bottom"/>
          </w:tcPr>
          <w:p w14:paraId="5B125FBD" w14:textId="77777777" w:rsidR="00A76CB4" w:rsidRDefault="002230E7">
            <w:pPr>
              <w:spacing w:after="220" w:line="259" w:lineRule="auto"/>
              <w:ind w:left="0" w:firstLine="0"/>
              <w:jc w:val="left"/>
            </w:pPr>
            <w:r>
              <w:rPr>
                <w:b/>
              </w:rPr>
              <w:t>……………………………………</w:t>
            </w:r>
          </w:p>
          <w:p w14:paraId="6AEFC201" w14:textId="77777777" w:rsidR="00A76CB4" w:rsidRDefault="002230E7">
            <w:pPr>
              <w:spacing w:after="0" w:line="259" w:lineRule="auto"/>
              <w:ind w:left="0" w:firstLine="0"/>
              <w:jc w:val="left"/>
            </w:pPr>
            <w:r>
              <w:rPr>
                <w:b/>
              </w:rPr>
              <w:t>Libor Lukáš</w:t>
            </w:r>
          </w:p>
        </w:tc>
        <w:tc>
          <w:tcPr>
            <w:tcW w:w="4240" w:type="dxa"/>
            <w:tcBorders>
              <w:top w:val="nil"/>
              <w:left w:val="nil"/>
              <w:bottom w:val="nil"/>
              <w:right w:val="nil"/>
            </w:tcBorders>
            <w:vAlign w:val="bottom"/>
          </w:tcPr>
          <w:p w14:paraId="0AF2933B" w14:textId="77777777" w:rsidR="00A76CB4" w:rsidRDefault="002230E7">
            <w:pPr>
              <w:spacing w:after="220" w:line="259" w:lineRule="auto"/>
              <w:ind w:left="0" w:firstLine="0"/>
              <w:jc w:val="right"/>
            </w:pPr>
            <w:r>
              <w:rPr>
                <w:b/>
              </w:rPr>
              <w:t>……………………………………</w:t>
            </w:r>
          </w:p>
          <w:p w14:paraId="17070372" w14:textId="77777777" w:rsidR="00A76CB4" w:rsidRDefault="002230E7">
            <w:pPr>
              <w:spacing w:after="0" w:line="259" w:lineRule="auto"/>
              <w:ind w:left="0" w:right="318" w:firstLine="0"/>
              <w:jc w:val="center"/>
            </w:pPr>
            <w:r>
              <w:rPr>
                <w:b/>
              </w:rPr>
              <w:t xml:space="preserve">Eliška Vrzalová </w:t>
            </w:r>
          </w:p>
        </w:tc>
      </w:tr>
    </w:tbl>
    <w:p w14:paraId="61154C3B" w14:textId="77777777" w:rsidR="00A76CB4" w:rsidRDefault="002230E7">
      <w:pPr>
        <w:spacing w:after="0" w:line="259" w:lineRule="auto"/>
        <w:ind w:left="2421" w:firstLine="0"/>
        <w:jc w:val="center"/>
      </w:pPr>
      <w:r>
        <w:t>Obchodní zástupce</w:t>
      </w:r>
    </w:p>
    <w:p w14:paraId="091A4C9B" w14:textId="77777777" w:rsidR="00A76CB4" w:rsidRDefault="00A76CB4" w:rsidP="00F575FE">
      <w:pPr>
        <w:ind w:left="0" w:firstLine="0"/>
        <w:sectPr w:rsidR="00A76CB4">
          <w:headerReference w:type="even" r:id="rId11"/>
          <w:headerReference w:type="default" r:id="rId12"/>
          <w:footerReference w:type="even" r:id="rId13"/>
          <w:footerReference w:type="default" r:id="rId14"/>
          <w:headerReference w:type="first" r:id="rId15"/>
          <w:footerReference w:type="first" r:id="rId16"/>
          <w:pgSz w:w="11906" w:h="16838"/>
          <w:pgMar w:top="1712" w:right="1134" w:bottom="1848" w:left="774" w:header="708" w:footer="970" w:gutter="0"/>
          <w:cols w:space="708"/>
        </w:sectPr>
      </w:pPr>
    </w:p>
    <w:p w14:paraId="0EBAA61E" w14:textId="0A073FFF" w:rsidR="00A76CB4" w:rsidRDefault="00A76CB4" w:rsidP="00F575FE">
      <w:pPr>
        <w:spacing w:after="0" w:line="259" w:lineRule="auto"/>
        <w:ind w:left="0" w:right="-1118" w:firstLine="0"/>
        <w:jc w:val="left"/>
      </w:pPr>
    </w:p>
    <w:sectPr w:rsidR="00A76CB4">
      <w:headerReference w:type="even" r:id="rId17"/>
      <w:headerReference w:type="default" r:id="rId18"/>
      <w:footerReference w:type="even" r:id="rId19"/>
      <w:footerReference w:type="default" r:id="rId20"/>
      <w:headerReference w:type="first" r:id="rId21"/>
      <w:footerReference w:type="first" r:id="rId22"/>
      <w:pgSz w:w="11910" w:h="16840"/>
      <w:pgMar w:top="298" w:right="1440" w:bottom="345"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0011B" w14:textId="77777777" w:rsidR="002230E7" w:rsidRDefault="002230E7">
      <w:pPr>
        <w:spacing w:after="0" w:line="240" w:lineRule="auto"/>
      </w:pPr>
      <w:r>
        <w:separator/>
      </w:r>
    </w:p>
  </w:endnote>
  <w:endnote w:type="continuationSeparator" w:id="0">
    <w:p w14:paraId="384EBAA6" w14:textId="77777777" w:rsidR="002230E7" w:rsidRDefault="0022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A7CE" w14:textId="77777777" w:rsidR="00A76CB4" w:rsidRDefault="002230E7">
    <w:pPr>
      <w:tabs>
        <w:tab w:val="right" w:pos="9998"/>
      </w:tabs>
      <w:spacing w:after="0" w:line="259" w:lineRule="auto"/>
      <w:ind w:left="0" w:firstLine="0"/>
      <w:jc w:val="left"/>
    </w:pPr>
    <w:r>
      <w:rPr>
        <w:rFonts w:ascii="Calibri" w:eastAsia="Calibri" w:hAnsi="Calibri" w:cs="Calibri"/>
      </w:rPr>
      <w:t>QUO-</w:t>
    </w:r>
    <w:proofErr w:type="gramStart"/>
    <w:r>
      <w:rPr>
        <w:rFonts w:ascii="Calibri" w:eastAsia="Calibri" w:hAnsi="Calibri" w:cs="Calibri"/>
      </w:rPr>
      <w:t>463947-G6Y8T9</w:t>
    </w:r>
    <w:proofErr w:type="gramEnd"/>
    <w:r>
      <w:rPr>
        <w:rFonts w:ascii="Calibri" w:eastAsia="Calibri" w:hAnsi="Calibri" w:cs="Calibri"/>
      </w:rPr>
      <w:t>/0</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5301" w14:textId="77777777" w:rsidR="00A76CB4" w:rsidRDefault="002230E7">
    <w:pPr>
      <w:tabs>
        <w:tab w:val="right" w:pos="9998"/>
      </w:tabs>
      <w:spacing w:after="0" w:line="259" w:lineRule="auto"/>
      <w:ind w:left="0" w:firstLine="0"/>
      <w:jc w:val="left"/>
    </w:pPr>
    <w:r>
      <w:rPr>
        <w:rFonts w:ascii="Calibri" w:eastAsia="Calibri" w:hAnsi="Calibri" w:cs="Calibri"/>
      </w:rPr>
      <w:t>QUO-</w:t>
    </w:r>
    <w:proofErr w:type="gramStart"/>
    <w:r>
      <w:rPr>
        <w:rFonts w:ascii="Calibri" w:eastAsia="Calibri" w:hAnsi="Calibri" w:cs="Calibri"/>
      </w:rPr>
      <w:t>463947-G6Y8T9</w:t>
    </w:r>
    <w:proofErr w:type="gramEnd"/>
    <w:r>
      <w:rPr>
        <w:rFonts w:ascii="Calibri" w:eastAsia="Calibri" w:hAnsi="Calibri" w:cs="Calibri"/>
      </w:rPr>
      <w:t>/0</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1B64" w14:textId="77777777" w:rsidR="00A76CB4" w:rsidRDefault="002230E7">
    <w:pPr>
      <w:tabs>
        <w:tab w:val="right" w:pos="9998"/>
      </w:tabs>
      <w:spacing w:after="0" w:line="259" w:lineRule="auto"/>
      <w:ind w:left="0" w:firstLine="0"/>
      <w:jc w:val="left"/>
    </w:pPr>
    <w:r>
      <w:rPr>
        <w:rFonts w:ascii="Calibri" w:eastAsia="Calibri" w:hAnsi="Calibri" w:cs="Calibri"/>
      </w:rPr>
      <w:t>QUO-</w:t>
    </w:r>
    <w:proofErr w:type="gramStart"/>
    <w:r>
      <w:rPr>
        <w:rFonts w:ascii="Calibri" w:eastAsia="Calibri" w:hAnsi="Calibri" w:cs="Calibri"/>
      </w:rPr>
      <w:t>463947-G6Y8T9</w:t>
    </w:r>
    <w:proofErr w:type="gramEnd"/>
    <w:r>
      <w:rPr>
        <w:rFonts w:ascii="Calibri" w:eastAsia="Calibri" w:hAnsi="Calibri" w:cs="Calibri"/>
      </w:rPr>
      <w:t>/0</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BBD0" w14:textId="77777777" w:rsidR="00A76CB4" w:rsidRDefault="00A76CB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16ED" w14:textId="77777777" w:rsidR="00A76CB4" w:rsidRDefault="00A76CB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29F5" w14:textId="77777777" w:rsidR="00A76CB4" w:rsidRDefault="00A76CB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6B8A9" w14:textId="77777777" w:rsidR="002230E7" w:rsidRDefault="002230E7">
      <w:pPr>
        <w:spacing w:after="0" w:line="240" w:lineRule="auto"/>
      </w:pPr>
      <w:r>
        <w:separator/>
      </w:r>
    </w:p>
  </w:footnote>
  <w:footnote w:type="continuationSeparator" w:id="0">
    <w:p w14:paraId="1B1E8372" w14:textId="77777777" w:rsidR="002230E7" w:rsidRDefault="00223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5031" w14:textId="77777777" w:rsidR="00A76CB4" w:rsidRDefault="002230E7">
    <w:pPr>
      <w:spacing w:after="0" w:line="259" w:lineRule="auto"/>
      <w:ind w:left="-774" w:right="7448" w:firstLine="0"/>
      <w:jc w:val="left"/>
    </w:pPr>
    <w:r>
      <w:rPr>
        <w:noProof/>
      </w:rPr>
      <w:drawing>
        <wp:anchor distT="0" distB="0" distL="114300" distR="114300" simplePos="0" relativeHeight="251658240" behindDoc="0" locked="0" layoutInCell="1" allowOverlap="0" wp14:anchorId="13A4D708" wp14:editId="35D9F8B1">
          <wp:simplePos x="0" y="0"/>
          <wp:positionH relativeFrom="page">
            <wp:posOffset>720090</wp:posOffset>
          </wp:positionH>
          <wp:positionV relativeFrom="page">
            <wp:posOffset>449580</wp:posOffset>
          </wp:positionV>
          <wp:extent cx="1390650" cy="2476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0650" cy="247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3E50" w14:textId="77777777" w:rsidR="00A76CB4" w:rsidRDefault="002230E7">
    <w:pPr>
      <w:spacing w:after="0" w:line="259" w:lineRule="auto"/>
      <w:ind w:left="-774" w:right="7448" w:firstLine="0"/>
      <w:jc w:val="left"/>
    </w:pPr>
    <w:r>
      <w:rPr>
        <w:noProof/>
      </w:rPr>
      <w:drawing>
        <wp:anchor distT="0" distB="0" distL="114300" distR="114300" simplePos="0" relativeHeight="251659264" behindDoc="0" locked="0" layoutInCell="1" allowOverlap="0" wp14:anchorId="06266D47" wp14:editId="0B3B0181">
          <wp:simplePos x="0" y="0"/>
          <wp:positionH relativeFrom="page">
            <wp:posOffset>720090</wp:posOffset>
          </wp:positionH>
          <wp:positionV relativeFrom="page">
            <wp:posOffset>449580</wp:posOffset>
          </wp:positionV>
          <wp:extent cx="1390650" cy="247650"/>
          <wp:effectExtent l="0" t="0" r="0" b="0"/>
          <wp:wrapSquare wrapText="bothSides"/>
          <wp:docPr id="178857057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0650" cy="247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E7D3" w14:textId="77777777" w:rsidR="00A76CB4" w:rsidRDefault="002230E7">
    <w:pPr>
      <w:spacing w:after="0" w:line="259" w:lineRule="auto"/>
      <w:ind w:left="-774" w:right="7448" w:firstLine="0"/>
      <w:jc w:val="left"/>
    </w:pPr>
    <w:r>
      <w:rPr>
        <w:noProof/>
      </w:rPr>
      <w:drawing>
        <wp:anchor distT="0" distB="0" distL="114300" distR="114300" simplePos="0" relativeHeight="251660288" behindDoc="0" locked="0" layoutInCell="1" allowOverlap="0" wp14:anchorId="71B57AFE" wp14:editId="5A3C46E7">
          <wp:simplePos x="0" y="0"/>
          <wp:positionH relativeFrom="page">
            <wp:posOffset>720090</wp:posOffset>
          </wp:positionH>
          <wp:positionV relativeFrom="page">
            <wp:posOffset>449580</wp:posOffset>
          </wp:positionV>
          <wp:extent cx="1390650" cy="247650"/>
          <wp:effectExtent l="0" t="0" r="0" b="0"/>
          <wp:wrapSquare wrapText="bothSides"/>
          <wp:docPr id="122643498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0650" cy="2476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927F" w14:textId="77777777" w:rsidR="00A76CB4" w:rsidRDefault="00A76CB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5BEA" w14:textId="77777777" w:rsidR="00A76CB4" w:rsidRDefault="00A76CB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51FF" w14:textId="77777777" w:rsidR="00A76CB4" w:rsidRDefault="00A76CB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FD2"/>
    <w:multiLevelType w:val="hybridMultilevel"/>
    <w:tmpl w:val="D7B6F82C"/>
    <w:lvl w:ilvl="0" w:tplc="735859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E417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406E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6CBA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2C68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1021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0021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3A39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C24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4D17BC"/>
    <w:multiLevelType w:val="hybridMultilevel"/>
    <w:tmpl w:val="7EE24B34"/>
    <w:lvl w:ilvl="0" w:tplc="9E8E3E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270C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EE39F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18A308">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28ADC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8AEF7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48B294">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54B8B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0B0D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686D05"/>
    <w:multiLevelType w:val="hybridMultilevel"/>
    <w:tmpl w:val="46405CC0"/>
    <w:lvl w:ilvl="0" w:tplc="C95074C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C671A">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AA71E8">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CA3C6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E8E2E">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4EDCD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CCD07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463C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8798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B55559"/>
    <w:multiLevelType w:val="hybridMultilevel"/>
    <w:tmpl w:val="EB20B59A"/>
    <w:lvl w:ilvl="0" w:tplc="75A8143E">
      <w:start w:val="1"/>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2E7AF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BE42F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9658A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085E6">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4A2B9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C284E8">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E4C9D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6E35A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52713237">
    <w:abstractNumId w:val="1"/>
  </w:num>
  <w:num w:numId="2" w16cid:durableId="880216610">
    <w:abstractNumId w:val="3"/>
  </w:num>
  <w:num w:numId="3" w16cid:durableId="292946035">
    <w:abstractNumId w:val="0"/>
  </w:num>
  <w:num w:numId="4" w16cid:durableId="125327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B4"/>
    <w:rsid w:val="002230E7"/>
    <w:rsid w:val="009D0031"/>
    <w:rsid w:val="00A76CB4"/>
    <w:rsid w:val="00BF544B"/>
    <w:rsid w:val="00EE5F56"/>
    <w:rsid w:val="00F57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98C6"/>
  <w15:docId w15:val="{0B4C7177-7D05-46EE-BAAB-2C8640B6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7" w:line="254" w:lineRule="auto"/>
      <w:ind w:left="1304" w:hanging="367"/>
      <w:jc w:val="both"/>
    </w:pPr>
    <w:rPr>
      <w:rFonts w:ascii="Arial" w:eastAsia="Arial" w:hAnsi="Arial" w:cs="Arial"/>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emex.cz/"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cemex.cz/"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cemex.cz/safety-annex"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cemex.cz/safety-annex"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1762</Words>
  <Characters>10397</Characters>
  <Application>Microsoft Office Word</Application>
  <DocSecurity>0</DocSecurity>
  <Lines>86</Lines>
  <Paragraphs>24</Paragraphs>
  <ScaleCrop>false</ScaleCrop>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 Vrzalova</dc:creator>
  <cp:keywords/>
  <cp:lastModifiedBy>Petra Kalová</cp:lastModifiedBy>
  <cp:revision>3</cp:revision>
  <dcterms:created xsi:type="dcterms:W3CDTF">2025-03-24T10:00:00Z</dcterms:created>
  <dcterms:modified xsi:type="dcterms:W3CDTF">2025-03-24T10:03:00Z</dcterms:modified>
</cp:coreProperties>
</file>