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F980" w14:textId="77777777" w:rsidR="004D5839" w:rsidRDefault="004D5839" w:rsidP="004D583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419797/2024/129/</w:t>
      </w:r>
      <w:proofErr w:type="spellStart"/>
      <w:r>
        <w:rPr>
          <w:rFonts w:cs="Arial"/>
          <w:sz w:val="22"/>
          <w:szCs w:val="22"/>
        </w:rPr>
        <w:t>Hav</w:t>
      </w:r>
      <w:proofErr w:type="spellEnd"/>
      <w:r>
        <w:rPr>
          <w:rFonts w:cs="Arial"/>
          <w:sz w:val="22"/>
          <w:szCs w:val="22"/>
        </w:rPr>
        <w:t>.</w:t>
      </w:r>
    </w:p>
    <w:p w14:paraId="553B79BE" w14:textId="77777777" w:rsidR="004D5839" w:rsidRDefault="004D5839" w:rsidP="004D5839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920e4152</w:t>
      </w:r>
    </w:p>
    <w:p w14:paraId="65BA4A7C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6C8566E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3EA89C91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658B4203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2A70570A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32C7EE54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F935EF">
        <w:rPr>
          <w:rFonts w:ascii="Arial" w:hAnsi="Arial" w:cs="Arial"/>
          <w:sz w:val="22"/>
          <w:szCs w:val="22"/>
        </w:rPr>
        <w:t>DIČ:  CZ</w:t>
      </w:r>
      <w:proofErr w:type="gramEnd"/>
      <w:r w:rsidRPr="00F935EF">
        <w:rPr>
          <w:rFonts w:ascii="Arial" w:hAnsi="Arial" w:cs="Arial"/>
          <w:sz w:val="22"/>
          <w:szCs w:val="22"/>
        </w:rPr>
        <w:t>01312774</w:t>
      </w:r>
    </w:p>
    <w:p w14:paraId="3B0EE23C" w14:textId="77777777" w:rsidR="00B618CB" w:rsidRDefault="00B618CB" w:rsidP="00B618C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509E9D8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285CD957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0D0A983B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7004672429</w:t>
      </w:r>
    </w:p>
    <w:p w14:paraId="6A7EB6B2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A33AB66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432EA3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6B610119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3740CC7" w14:textId="7B36A228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F935EF">
        <w:rPr>
          <w:rFonts w:ascii="Arial" w:hAnsi="Arial" w:cs="Arial"/>
          <w:b/>
          <w:color w:val="000000"/>
          <w:sz w:val="22"/>
          <w:szCs w:val="22"/>
        </w:rPr>
        <w:t>Vaškevičová</w:t>
      </w:r>
      <w:proofErr w:type="spellEnd"/>
      <w:r w:rsidRPr="00F935EF">
        <w:rPr>
          <w:rFonts w:ascii="Arial" w:hAnsi="Arial" w:cs="Arial"/>
          <w:b/>
          <w:color w:val="000000"/>
          <w:sz w:val="22"/>
          <w:szCs w:val="22"/>
        </w:rPr>
        <w:t xml:space="preserve"> Marta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 39</w:t>
      </w:r>
      <w:r w:rsidR="00A300C0">
        <w:rPr>
          <w:rFonts w:ascii="Arial" w:hAnsi="Arial" w:cs="Arial"/>
          <w:color w:val="000000"/>
          <w:sz w:val="22"/>
          <w:szCs w:val="22"/>
        </w:rPr>
        <w:t>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300C0">
        <w:rPr>
          <w:rFonts w:ascii="Arial" w:hAnsi="Arial" w:cs="Arial"/>
          <w:color w:val="000000"/>
          <w:sz w:val="22"/>
          <w:szCs w:val="22"/>
        </w:rPr>
        <w:t>XXXXXXXXX</w:t>
      </w:r>
      <w:r w:rsidRPr="00F935EF">
        <w:rPr>
          <w:rFonts w:ascii="Arial" w:hAnsi="Arial" w:cs="Arial"/>
          <w:color w:val="000000"/>
          <w:sz w:val="22"/>
          <w:szCs w:val="22"/>
        </w:rPr>
        <w:t>, Jáchymov, PSČ 36251</w:t>
      </w:r>
    </w:p>
    <w:p w14:paraId="161AE8F7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16807D3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00F70E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53129FEA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C8DA6F5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314ABB67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7004672429</w:t>
      </w:r>
    </w:p>
    <w:p w14:paraId="1B043350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31563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7EC425E8" w14:textId="77777777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Karlovarský kraj, Katastrální pracoviště Karlovy Vary na LV 10 002:</w:t>
      </w:r>
    </w:p>
    <w:p w14:paraId="45EF3782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5314461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4E190206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06F7048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E33344D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Jáchymov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Jáchymov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1854/1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4D6A4603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10CCB58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2E191CF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Jáchymov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Jáchymov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1854/36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02A39DCD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E97A1E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CFEB70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Jáchymov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Jáchymov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1854/37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02C06821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A6772B6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DA876DA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Jáchymov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Jáchymov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1854/38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22E465A9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F1CBD6B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7C9B6E1C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1DC29DF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14:paraId="263F3A0A" w14:textId="77777777"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14:paraId="62A24602" w14:textId="77777777"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664934C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14:paraId="5B73728B" w14:textId="4BB1B82B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>Vlastnické právo k převáděným pozemkům a spoluvlastnickým podílům na pozemcích přechází na kupujícího vkladem do katastru nemovitostí na základě této smlouvy.</w:t>
      </w:r>
    </w:p>
    <w:p w14:paraId="76FE3794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IV.</w:t>
      </w:r>
    </w:p>
    <w:p w14:paraId="11A716FD" w14:textId="77777777" w:rsidR="00AF0875" w:rsidRPr="00513530" w:rsidRDefault="00AF0875" w:rsidP="00AF0875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1)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Kupující  nabývá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850"/>
        <w:gridCol w:w="1843"/>
        <w:gridCol w:w="1701"/>
        <w:gridCol w:w="1701"/>
      </w:tblGrid>
      <w:tr w:rsidR="00AF0875" w:rsidRPr="00513530" w14:paraId="2980C2CA" w14:textId="77777777" w:rsidTr="00970316">
        <w:tc>
          <w:tcPr>
            <w:tcW w:w="2127" w:type="dxa"/>
          </w:tcPr>
          <w:p w14:paraId="5229A2E1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134" w:type="dxa"/>
          </w:tcPr>
          <w:p w14:paraId="225A69B5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019601AD" w14:textId="77777777" w:rsidR="00AF0875" w:rsidRPr="00513530" w:rsidRDefault="00AF0875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14:paraId="72CAF0CF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14:paraId="6E85206C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14:paraId="0439B1EB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Před podpisem zaplaceno na úhradu kupní ceny </w:t>
            </w:r>
            <w:proofErr w:type="gram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10%</w:t>
            </w:r>
            <w:proofErr w:type="gram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v Kč</w:t>
            </w:r>
          </w:p>
        </w:tc>
        <w:tc>
          <w:tcPr>
            <w:tcW w:w="1701" w:type="dxa"/>
          </w:tcPr>
          <w:p w14:paraId="346B4064" w14:textId="77777777" w:rsidR="00AF0875" w:rsidRPr="00513530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13530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14:paraId="119202C4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AF0875" w:rsidRPr="00513530" w14:paraId="6FDBE9B8" w14:textId="77777777" w:rsidTr="00970316">
        <w:tc>
          <w:tcPr>
            <w:tcW w:w="2127" w:type="dxa"/>
          </w:tcPr>
          <w:p w14:paraId="4BBD91F4" w14:textId="77777777"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Jáchymov</w:t>
            </w:r>
          </w:p>
        </w:tc>
        <w:tc>
          <w:tcPr>
            <w:tcW w:w="1134" w:type="dxa"/>
          </w:tcPr>
          <w:p w14:paraId="42951DEC" w14:textId="77777777"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1854/1</w:t>
            </w:r>
          </w:p>
        </w:tc>
        <w:tc>
          <w:tcPr>
            <w:tcW w:w="850" w:type="dxa"/>
          </w:tcPr>
          <w:p w14:paraId="6DA9D03B" w14:textId="77777777"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1/8</w:t>
            </w:r>
          </w:p>
        </w:tc>
        <w:tc>
          <w:tcPr>
            <w:tcW w:w="1843" w:type="dxa"/>
          </w:tcPr>
          <w:p w14:paraId="26A65E0C" w14:textId="77777777"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9 143,00 Kč</w:t>
            </w:r>
          </w:p>
        </w:tc>
        <w:tc>
          <w:tcPr>
            <w:tcW w:w="1701" w:type="dxa"/>
          </w:tcPr>
          <w:p w14:paraId="5772BA84" w14:textId="77777777"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914,00 Kč</w:t>
            </w:r>
          </w:p>
        </w:tc>
        <w:tc>
          <w:tcPr>
            <w:tcW w:w="1701" w:type="dxa"/>
          </w:tcPr>
          <w:p w14:paraId="676A30B8" w14:textId="77777777"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8 229,00 Kč</w:t>
            </w:r>
          </w:p>
        </w:tc>
      </w:tr>
      <w:tr w:rsidR="00AF0875" w:rsidRPr="00513530" w14:paraId="6271DFA9" w14:textId="77777777" w:rsidTr="00970316">
        <w:tc>
          <w:tcPr>
            <w:tcW w:w="2127" w:type="dxa"/>
          </w:tcPr>
          <w:p w14:paraId="62A220BE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Jáchymov</w:t>
            </w:r>
          </w:p>
        </w:tc>
        <w:tc>
          <w:tcPr>
            <w:tcW w:w="1134" w:type="dxa"/>
          </w:tcPr>
          <w:p w14:paraId="00CEFE41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1854/36</w:t>
            </w:r>
          </w:p>
        </w:tc>
        <w:tc>
          <w:tcPr>
            <w:tcW w:w="850" w:type="dxa"/>
          </w:tcPr>
          <w:p w14:paraId="1FFCC64D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1/10</w:t>
            </w:r>
          </w:p>
        </w:tc>
        <w:tc>
          <w:tcPr>
            <w:tcW w:w="1843" w:type="dxa"/>
          </w:tcPr>
          <w:p w14:paraId="3F5044C7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2 406,00 Kč</w:t>
            </w:r>
          </w:p>
        </w:tc>
        <w:tc>
          <w:tcPr>
            <w:tcW w:w="1701" w:type="dxa"/>
          </w:tcPr>
          <w:p w14:paraId="056B4C3E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241,00 Kč</w:t>
            </w:r>
          </w:p>
        </w:tc>
        <w:tc>
          <w:tcPr>
            <w:tcW w:w="1701" w:type="dxa"/>
          </w:tcPr>
          <w:p w14:paraId="00589C53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2 165,00 Kč</w:t>
            </w:r>
          </w:p>
        </w:tc>
      </w:tr>
      <w:tr w:rsidR="00AF0875" w:rsidRPr="00513530" w14:paraId="31A5A032" w14:textId="77777777" w:rsidTr="00970316">
        <w:tc>
          <w:tcPr>
            <w:tcW w:w="2127" w:type="dxa"/>
          </w:tcPr>
          <w:p w14:paraId="459E497C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Jáchymov</w:t>
            </w:r>
          </w:p>
        </w:tc>
        <w:tc>
          <w:tcPr>
            <w:tcW w:w="1134" w:type="dxa"/>
          </w:tcPr>
          <w:p w14:paraId="64760245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1854/37</w:t>
            </w:r>
          </w:p>
        </w:tc>
        <w:tc>
          <w:tcPr>
            <w:tcW w:w="850" w:type="dxa"/>
          </w:tcPr>
          <w:p w14:paraId="1E42044F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14:paraId="65AC0C1C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138 500,00 Kč</w:t>
            </w:r>
          </w:p>
        </w:tc>
        <w:tc>
          <w:tcPr>
            <w:tcW w:w="1701" w:type="dxa"/>
          </w:tcPr>
          <w:p w14:paraId="14597DF8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13 850,00 Kč</w:t>
            </w:r>
          </w:p>
        </w:tc>
        <w:tc>
          <w:tcPr>
            <w:tcW w:w="1701" w:type="dxa"/>
          </w:tcPr>
          <w:p w14:paraId="484246DE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124 650,00 Kč</w:t>
            </w:r>
          </w:p>
        </w:tc>
      </w:tr>
      <w:tr w:rsidR="00AF0875" w:rsidRPr="00513530" w14:paraId="6379ED70" w14:textId="77777777" w:rsidTr="00970316">
        <w:tc>
          <w:tcPr>
            <w:tcW w:w="2127" w:type="dxa"/>
          </w:tcPr>
          <w:p w14:paraId="39FF6712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Jáchymov</w:t>
            </w:r>
          </w:p>
        </w:tc>
        <w:tc>
          <w:tcPr>
            <w:tcW w:w="1134" w:type="dxa"/>
          </w:tcPr>
          <w:p w14:paraId="1621ED44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1854/38</w:t>
            </w:r>
          </w:p>
        </w:tc>
        <w:tc>
          <w:tcPr>
            <w:tcW w:w="850" w:type="dxa"/>
          </w:tcPr>
          <w:p w14:paraId="2E98075F" w14:textId="77777777"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1/10</w:t>
            </w:r>
          </w:p>
        </w:tc>
        <w:tc>
          <w:tcPr>
            <w:tcW w:w="1843" w:type="dxa"/>
          </w:tcPr>
          <w:p w14:paraId="195F8DCC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5 568,00 Kč</w:t>
            </w:r>
          </w:p>
        </w:tc>
        <w:tc>
          <w:tcPr>
            <w:tcW w:w="1701" w:type="dxa"/>
          </w:tcPr>
          <w:p w14:paraId="01CF8D20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557,00 Kč</w:t>
            </w:r>
          </w:p>
        </w:tc>
        <w:tc>
          <w:tcPr>
            <w:tcW w:w="1701" w:type="dxa"/>
          </w:tcPr>
          <w:p w14:paraId="1265B914" w14:textId="77777777"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5 011,00 Kč</w:t>
            </w:r>
          </w:p>
        </w:tc>
      </w:tr>
    </w:tbl>
    <w:p w14:paraId="5796C2DE" w14:textId="77777777" w:rsidR="00AF0875" w:rsidRPr="00513530" w:rsidRDefault="00AF0875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RPr="00513530" w14:paraId="198651E5" w14:textId="77777777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AF0A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FE28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155 617,00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111B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15 562,00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2B13" w14:textId="77777777"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140 055,00 Kč</w:t>
            </w:r>
          </w:p>
        </w:tc>
      </w:tr>
    </w:tbl>
    <w:p w14:paraId="51007770" w14:textId="77777777" w:rsidR="00AF0875" w:rsidRPr="00513530" w:rsidRDefault="00AF08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14:paraId="19F2D4D6" w14:textId="77777777" w:rsidR="002A76A6" w:rsidRPr="00513530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2) Část kupní ceny ve výši 15 562,00 Kč (slovy: patnáct tisíc pět set šedesát dvě koruny české) kupující zaplatili prodávajícímu před podpisem této smlouvy.</w:t>
      </w:r>
    </w:p>
    <w:p w14:paraId="13DBE4B8" w14:textId="77777777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140 055,00 Kč (slovy: jedno sto čtyřicet tisíc padesát pět korun českých) se při splácení </w:t>
      </w:r>
      <w:r w:rsidR="003735DD" w:rsidRPr="00513530">
        <w:rPr>
          <w:rFonts w:ascii="Arial" w:eastAsiaTheme="minorEastAsia" w:hAnsi="Arial" w:cs="Arial"/>
          <w:sz w:val="22"/>
          <w:szCs w:val="22"/>
        </w:rPr>
        <w:t>nejpozději do 10 let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5B0AB7" w:rsidRPr="00513530">
        <w:rPr>
          <w:rFonts w:ascii="Arial" w:eastAsiaTheme="minorEastAsia" w:hAnsi="Arial" w:cs="Arial"/>
          <w:sz w:val="22"/>
          <w:szCs w:val="22"/>
        </w:rPr>
        <w:t>ve výši 7,69 % </w:t>
      </w:r>
      <w:proofErr w:type="spellStart"/>
      <w:r w:rsidR="005B0AB7" w:rsidRPr="00513530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513530">
        <w:rPr>
          <w:rFonts w:ascii="Arial" w:eastAsiaTheme="minorEastAsia" w:hAnsi="Arial" w:cs="Arial"/>
          <w:sz w:val="22"/>
          <w:szCs w:val="22"/>
        </w:rPr>
        <w:t xml:space="preserve">. </w:t>
      </w:r>
      <w:r w:rsidRPr="00513530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513530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14:paraId="75E22B8D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14:paraId="00ADAFB8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Datum</w:t>
      </w:r>
      <w:r w:rsidRPr="00513530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14:paraId="223AE41C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18.3.2026</w:t>
      </w:r>
      <w:r w:rsidRPr="00513530">
        <w:rPr>
          <w:rFonts w:ascii="Arial" w:eastAsiaTheme="minorEastAsia" w:hAnsi="Arial" w:cs="Arial"/>
          <w:sz w:val="22"/>
          <w:szCs w:val="22"/>
        </w:rPr>
        <w:tab/>
        <w:t>46 685,00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7 357,00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54 042,00 Kč</w:t>
      </w:r>
    </w:p>
    <w:p w14:paraId="484DDDD7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18.3.2027</w:t>
      </w:r>
      <w:r w:rsidRPr="00513530">
        <w:rPr>
          <w:rFonts w:ascii="Arial" w:eastAsiaTheme="minorEastAsia" w:hAnsi="Arial" w:cs="Arial"/>
          <w:sz w:val="22"/>
          <w:szCs w:val="22"/>
        </w:rPr>
        <w:tab/>
        <w:t>46 685,00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7 357,00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54 042,00 Kč</w:t>
      </w:r>
    </w:p>
    <w:p w14:paraId="6E445403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17.3.2028</w:t>
      </w:r>
      <w:r w:rsidRPr="00513530">
        <w:rPr>
          <w:rFonts w:ascii="Arial" w:eastAsiaTheme="minorEastAsia" w:hAnsi="Arial" w:cs="Arial"/>
          <w:sz w:val="22"/>
          <w:szCs w:val="22"/>
        </w:rPr>
        <w:tab/>
        <w:t>46 685,00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7 358,00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54 043,00 Kč</w:t>
      </w:r>
    </w:p>
    <w:p w14:paraId="4E57E396" w14:textId="77777777"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14:paraId="1CC2CBEF" w14:textId="77777777" w:rsidR="003735DD" w:rsidRPr="00513530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970316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V tomto případě je kupující povinen doplatit neuhrazenou část kupní ceny pozemků Státnímu pozemkovému úřadu do 30 dnů ode dne nabytí právní moci rozhodnutí o povolení vkladu vlastnického práva </w:t>
      </w:r>
      <w:proofErr w:type="gramStart"/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k  převáděným</w:t>
      </w:r>
      <w:proofErr w:type="gramEnd"/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pozemkům.</w:t>
      </w:r>
    </w:p>
    <w:p w14:paraId="78164C83" w14:textId="77777777" w:rsidR="0075475B" w:rsidRPr="00513530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14:paraId="0A8242BE" w14:textId="77777777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4)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 xml:space="preserve">Nedodrží </w:t>
      </w:r>
      <w:proofErr w:type="spellStart"/>
      <w:r w:rsidRPr="00513530">
        <w:rPr>
          <w:rFonts w:ascii="Arial" w:eastAsiaTheme="minorEastAsia" w:hAnsi="Arial" w:cs="Arial"/>
          <w:sz w:val="22"/>
          <w:szCs w:val="22"/>
        </w:rPr>
        <w:t>-li</w:t>
      </w:r>
      <w:proofErr w:type="spellEnd"/>
      <w:proofErr w:type="gramEnd"/>
      <w:r w:rsidRPr="00513530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5475B" w:rsidRPr="00513530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14:paraId="42471DF5" w14:textId="77777777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 w:rsidRPr="00513530">
        <w:rPr>
          <w:rFonts w:ascii="Arial" w:eastAsiaTheme="minorEastAsia" w:hAnsi="Arial" w:cs="Arial"/>
          <w:sz w:val="22"/>
          <w:szCs w:val="22"/>
        </w:rPr>
        <w:t xml:space="preserve">§ 15 </w:t>
      </w:r>
      <w:r w:rsidR="003735DD" w:rsidRPr="00513530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14:paraId="3D551CEA" w14:textId="77777777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D070A4" w:rsidRPr="00513530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513530">
        <w:rPr>
          <w:rFonts w:ascii="Arial" w:eastAsiaTheme="minorEastAsia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05431FD8" w14:textId="77777777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513530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13530">
        <w:rPr>
          <w:rFonts w:ascii="Arial" w:eastAsiaTheme="minorEastAsia" w:hAnsi="Arial" w:cs="Arial"/>
          <w:sz w:val="22"/>
          <w:szCs w:val="22"/>
        </w:rPr>
        <w:t>.</w:t>
      </w:r>
    </w:p>
    <w:p w14:paraId="7B2944FB" w14:textId="77777777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8) Jestliže kupující poruší některé z omezení, stanovených v bodu 7 tohoto článku, zavazuje se za každé jednotlivé porušení zaplatit prodávajícímu smluvní pokutu ve výši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10%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 xml:space="preserve"> z kupní ceny.</w:t>
      </w:r>
    </w:p>
    <w:p w14:paraId="79485521" w14:textId="77777777"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</w:r>
      <w:r w:rsidRPr="00513530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513530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66F6CE3E" w14:textId="77777777" w:rsidR="00AF0875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513530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14:paraId="25531916" w14:textId="77777777" w:rsidR="00352DF2" w:rsidRDefault="00352DF2">
      <w:pPr>
        <w:widowControl/>
        <w:tabs>
          <w:tab w:val="left" w:pos="426"/>
        </w:tabs>
        <w:jc w:val="both"/>
        <w:rPr>
          <w:rFonts w:eastAsiaTheme="minorEastAsia"/>
        </w:rPr>
      </w:pPr>
    </w:p>
    <w:p w14:paraId="7FF61E6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V.</w:t>
      </w:r>
    </w:p>
    <w:p w14:paraId="1FFA6011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3443AA0" w14:textId="77777777"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B89ECC8" w14:textId="77777777" w:rsidR="00EC7974" w:rsidRPr="00F935EF" w:rsidRDefault="003F43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Kupující nabývá </w:t>
      </w:r>
      <w:r w:rsidR="00583FEA">
        <w:rPr>
          <w:rFonts w:ascii="Arial" w:hAnsi="Arial" w:cs="Arial"/>
          <w:sz w:val="22"/>
          <w:szCs w:val="22"/>
        </w:rPr>
        <w:t>pozemk</w:t>
      </w:r>
      <w:r w:rsidR="00583FEA">
        <w:rPr>
          <w:rFonts w:ascii="Arial" w:hAnsi="Arial" w:cs="Arial"/>
        </w:rPr>
        <w:t>y</w:t>
      </w:r>
      <w:r w:rsidR="00583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 xml:space="preserve">. V souladu s ustanovením § 1916 odst. 2 zákona č. 89/2012 Sb., Občanský zákoník se pak kupující vzdává svého práva z vadného plnění a zavazuje se, že nebude po prodávajícím uplatňovat jakákoliv práva z vad </w:t>
      </w:r>
      <w:r w:rsidR="00583FEA">
        <w:rPr>
          <w:rFonts w:ascii="Arial" w:hAnsi="Arial" w:cs="Arial"/>
          <w:sz w:val="22"/>
          <w:szCs w:val="22"/>
        </w:rPr>
        <w:t>předávan</w:t>
      </w:r>
      <w:r w:rsidR="00583FEA">
        <w:rPr>
          <w:rFonts w:ascii="Arial" w:hAnsi="Arial" w:cs="Arial"/>
        </w:rPr>
        <w:t>ýc</w:t>
      </w:r>
      <w:r w:rsidR="00583FEA">
        <w:rPr>
          <w:rFonts w:ascii="Arial" w:hAnsi="Arial" w:cs="Arial"/>
          <w:sz w:val="22"/>
          <w:szCs w:val="22"/>
        </w:rPr>
        <w:t>h pozemk</w:t>
      </w:r>
      <w:r w:rsidR="00583FEA">
        <w:rPr>
          <w:rFonts w:ascii="Arial" w:hAnsi="Arial" w:cs="Arial"/>
        </w:rPr>
        <w:t>ů</w:t>
      </w:r>
      <w:r w:rsidR="00583FEA">
        <w:rPr>
          <w:rFonts w:ascii="Arial" w:hAnsi="Arial" w:cs="Arial"/>
          <w:sz w:val="22"/>
          <w:szCs w:val="22"/>
        </w:rPr>
        <w:t>.</w:t>
      </w:r>
    </w:p>
    <w:p w14:paraId="054D9AA3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D321ADC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14:paraId="563D33E0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04FBFCEF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2230728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4D67B6D" w14:textId="77777777" w:rsidR="00BE1923" w:rsidRPr="00A96065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5349BBAB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EB17C5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14:paraId="09FCF58C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864B5B4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obdrží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5A9B9CEC" w14:textId="77777777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EDFDE1B" w14:textId="77777777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proofErr w:type="gramStart"/>
      <w:r>
        <w:rPr>
          <w:rFonts w:ascii="Arial" w:hAnsi="Arial" w:cs="Arial"/>
          <w:sz w:val="22"/>
          <w:szCs w:val="22"/>
        </w:rPr>
        <w:t>SPÚ  jako</w:t>
      </w:r>
      <w:proofErr w:type="gramEnd"/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D587985" w14:textId="77777777" w:rsidR="008E0AD0" w:rsidRDefault="003B1781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163A9047" w14:textId="77777777" w:rsidR="008E0AD0" w:rsidRDefault="008E0AD0" w:rsidP="008E0AD0">
      <w:pPr>
        <w:pStyle w:val="VnitrniText0"/>
        <w:rPr>
          <w:sz w:val="22"/>
          <w:szCs w:val="22"/>
        </w:rPr>
      </w:pPr>
    </w:p>
    <w:p w14:paraId="5FBDA6AB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9AFD4C7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VIII.</w:t>
      </w:r>
    </w:p>
    <w:p w14:paraId="398283ED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14:paraId="5F0BE653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668FE613" w14:textId="77777777"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397A64A2" w14:textId="77777777" w:rsidR="0046147C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7736CC0" w14:textId="77777777" w:rsidR="00EC7974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AA49E80" w14:textId="77777777" w:rsidR="00352DF2" w:rsidRPr="00F935EF" w:rsidRDefault="00352D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21FC9AF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6889006F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AE29590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909D17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E744DB" w14:textId="77777777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Karlových Varech dne 18.3.2025</w:t>
      </w:r>
      <w:r w:rsidRPr="00F935EF">
        <w:rPr>
          <w:rFonts w:ascii="Arial" w:hAnsi="Arial" w:cs="Arial"/>
          <w:sz w:val="22"/>
          <w:szCs w:val="22"/>
        </w:rPr>
        <w:tab/>
      </w:r>
      <w:r w:rsidR="00970316" w:rsidRPr="00F935EF">
        <w:rPr>
          <w:rFonts w:ascii="Arial" w:hAnsi="Arial" w:cs="Arial"/>
          <w:sz w:val="22"/>
          <w:szCs w:val="22"/>
        </w:rPr>
        <w:t>V Karlových Varech dne 18.3.2025</w:t>
      </w:r>
    </w:p>
    <w:p w14:paraId="0A498D08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42B42EF8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57AA960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DC09414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FFD92B0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DF15875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</w:r>
      <w:proofErr w:type="spellStart"/>
      <w:r w:rsidRPr="00F935EF">
        <w:rPr>
          <w:rFonts w:ascii="Arial" w:hAnsi="Arial" w:cs="Arial"/>
          <w:sz w:val="22"/>
          <w:szCs w:val="22"/>
        </w:rPr>
        <w:t>Vaškevičová</w:t>
      </w:r>
      <w:proofErr w:type="spellEnd"/>
      <w:r w:rsidRPr="00F935EF">
        <w:rPr>
          <w:rFonts w:ascii="Arial" w:hAnsi="Arial" w:cs="Arial"/>
          <w:sz w:val="22"/>
          <w:szCs w:val="22"/>
        </w:rPr>
        <w:t xml:space="preserve"> Marta</w:t>
      </w:r>
    </w:p>
    <w:p w14:paraId="6EDB5758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ředitelka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6FB2B8D0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Karlovarský kraj</w:t>
      </w:r>
      <w:r w:rsidRPr="00F935EF">
        <w:rPr>
          <w:rFonts w:ascii="Arial" w:hAnsi="Arial" w:cs="Arial"/>
          <w:sz w:val="22"/>
          <w:szCs w:val="22"/>
        </w:rPr>
        <w:tab/>
      </w:r>
    </w:p>
    <w:p w14:paraId="3668E87E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Šárka Václavíková</w:t>
      </w:r>
      <w:r w:rsidRPr="00F935EF">
        <w:rPr>
          <w:rFonts w:ascii="Arial" w:hAnsi="Arial" w:cs="Arial"/>
          <w:sz w:val="22"/>
          <w:szCs w:val="22"/>
        </w:rPr>
        <w:tab/>
      </w:r>
    </w:p>
    <w:p w14:paraId="71ABF706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6D30856E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97BCEA9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DB4136C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2778029, 5343229, 5343329, 5343429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2059CA9D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BE9B3D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14:paraId="3E564176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0E1A1E97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Tereza Vlčková</w:t>
      </w:r>
    </w:p>
    <w:p w14:paraId="1B144EB7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751C7D5F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61029CDF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3C48FE7D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757D554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Havlová Lenka</w:t>
      </w:r>
    </w:p>
    <w:p w14:paraId="5F9FE223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B344C4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5F61C3D4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44A297CC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2CA649A6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0264254C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56F78CBB" w14:textId="77777777"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DEBDA5" w14:textId="77777777" w:rsidR="00970316" w:rsidRDefault="00970316" w:rsidP="007D2161">
      <w:pPr>
        <w:jc w:val="both"/>
        <w:rPr>
          <w:rFonts w:ascii="Arial" w:hAnsi="Arial" w:cs="Arial"/>
          <w:sz w:val="22"/>
          <w:szCs w:val="22"/>
        </w:rPr>
      </w:pPr>
    </w:p>
    <w:p w14:paraId="091E6060" w14:textId="77777777" w:rsidR="00970316" w:rsidRDefault="00970316" w:rsidP="007D2161">
      <w:pPr>
        <w:jc w:val="both"/>
        <w:rPr>
          <w:rFonts w:ascii="Arial" w:hAnsi="Arial" w:cs="Arial"/>
          <w:sz w:val="22"/>
          <w:szCs w:val="22"/>
        </w:rPr>
      </w:pPr>
    </w:p>
    <w:p w14:paraId="6D63F90C" w14:textId="77777777" w:rsidR="00970316" w:rsidRDefault="00970316" w:rsidP="007D2161">
      <w:pPr>
        <w:jc w:val="both"/>
        <w:rPr>
          <w:rFonts w:ascii="Arial" w:hAnsi="Arial" w:cs="Arial"/>
          <w:sz w:val="22"/>
          <w:szCs w:val="22"/>
        </w:rPr>
      </w:pPr>
    </w:p>
    <w:p w14:paraId="2F5627B6" w14:textId="77777777" w:rsidR="00970316" w:rsidRDefault="00970316" w:rsidP="007D2161">
      <w:pPr>
        <w:jc w:val="both"/>
        <w:rPr>
          <w:rFonts w:ascii="Arial" w:hAnsi="Arial" w:cs="Arial"/>
          <w:sz w:val="22"/>
          <w:szCs w:val="22"/>
        </w:rPr>
      </w:pPr>
    </w:p>
    <w:p w14:paraId="173E4FC1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4C866266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5A79C13D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0BF7275E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23ADEB56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6229FFD5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00487410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76992994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6CDD1391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78449330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9CF9FD4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D3390E9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E4B0F17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108EB409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4D9D661B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14:paraId="2A62F36D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3121595E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676E2A89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 …………</w:t>
      </w:r>
      <w:proofErr w:type="gramStart"/>
      <w:r w:rsidRPr="00F935EF">
        <w:rPr>
          <w:rFonts w:ascii="Arial" w:hAnsi="Arial" w:cs="Arial"/>
          <w:sz w:val="22"/>
          <w:szCs w:val="22"/>
        </w:rPr>
        <w:t>…….</w:t>
      </w:r>
      <w:proofErr w:type="gramEnd"/>
      <w:r w:rsidRPr="00F935EF">
        <w:rPr>
          <w:rFonts w:ascii="Arial" w:hAnsi="Arial" w:cs="Arial"/>
          <w:sz w:val="22"/>
          <w:szCs w:val="22"/>
        </w:rPr>
        <w:t>.</w:t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862BD3D" w14:textId="77777777"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 odpovědného</w:t>
      </w:r>
    </w:p>
    <w:p w14:paraId="4F027D1D" w14:textId="77777777"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14:paraId="2D86A4F7" w14:textId="77777777"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049B6" w14:textId="77777777" w:rsidR="00970316" w:rsidRDefault="00970316">
      <w:r>
        <w:separator/>
      </w:r>
    </w:p>
  </w:endnote>
  <w:endnote w:type="continuationSeparator" w:id="0">
    <w:p w14:paraId="6AC97E36" w14:textId="77777777" w:rsidR="00970316" w:rsidRDefault="0097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5281" w14:textId="77777777" w:rsidR="00970316" w:rsidRDefault="00970316">
      <w:r>
        <w:separator/>
      </w:r>
    </w:p>
  </w:footnote>
  <w:footnote w:type="continuationSeparator" w:id="0">
    <w:p w14:paraId="457815D1" w14:textId="77777777" w:rsidR="00970316" w:rsidRDefault="00970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2E53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4"/>
    <w:rsid w:val="00002080"/>
    <w:rsid w:val="00035BE1"/>
    <w:rsid w:val="00042F7E"/>
    <w:rsid w:val="00055BE5"/>
    <w:rsid w:val="00093ED5"/>
    <w:rsid w:val="000B273F"/>
    <w:rsid w:val="00115A33"/>
    <w:rsid w:val="0014760F"/>
    <w:rsid w:val="002055A2"/>
    <w:rsid w:val="00222405"/>
    <w:rsid w:val="002A76A6"/>
    <w:rsid w:val="002D7344"/>
    <w:rsid w:val="00336487"/>
    <w:rsid w:val="00352DF2"/>
    <w:rsid w:val="00365707"/>
    <w:rsid w:val="003735DD"/>
    <w:rsid w:val="00373655"/>
    <w:rsid w:val="003770BD"/>
    <w:rsid w:val="00384838"/>
    <w:rsid w:val="003A7FBC"/>
    <w:rsid w:val="003B1781"/>
    <w:rsid w:val="003F4305"/>
    <w:rsid w:val="0040101C"/>
    <w:rsid w:val="0046147C"/>
    <w:rsid w:val="00480DC8"/>
    <w:rsid w:val="0048532A"/>
    <w:rsid w:val="004D5839"/>
    <w:rsid w:val="005123A9"/>
    <w:rsid w:val="00513530"/>
    <w:rsid w:val="00517271"/>
    <w:rsid w:val="005257A2"/>
    <w:rsid w:val="00550621"/>
    <w:rsid w:val="00566AF0"/>
    <w:rsid w:val="00574B7F"/>
    <w:rsid w:val="00583FEA"/>
    <w:rsid w:val="005B0AB7"/>
    <w:rsid w:val="005D0C67"/>
    <w:rsid w:val="005F1517"/>
    <w:rsid w:val="005F41E0"/>
    <w:rsid w:val="006148ED"/>
    <w:rsid w:val="007216FD"/>
    <w:rsid w:val="0075475B"/>
    <w:rsid w:val="007D2161"/>
    <w:rsid w:val="007F6A10"/>
    <w:rsid w:val="00864044"/>
    <w:rsid w:val="008C14E1"/>
    <w:rsid w:val="008D25D8"/>
    <w:rsid w:val="008D72B5"/>
    <w:rsid w:val="008E0AD0"/>
    <w:rsid w:val="009014BF"/>
    <w:rsid w:val="00970316"/>
    <w:rsid w:val="009D36E4"/>
    <w:rsid w:val="00A1467D"/>
    <w:rsid w:val="00A300C0"/>
    <w:rsid w:val="00A31C3B"/>
    <w:rsid w:val="00A747C9"/>
    <w:rsid w:val="00A90BA0"/>
    <w:rsid w:val="00A91B91"/>
    <w:rsid w:val="00A923D9"/>
    <w:rsid w:val="00A96065"/>
    <w:rsid w:val="00AD02DD"/>
    <w:rsid w:val="00AD6761"/>
    <w:rsid w:val="00AF0875"/>
    <w:rsid w:val="00B618CB"/>
    <w:rsid w:val="00BE1923"/>
    <w:rsid w:val="00BE56DD"/>
    <w:rsid w:val="00C13B89"/>
    <w:rsid w:val="00C324D0"/>
    <w:rsid w:val="00C36645"/>
    <w:rsid w:val="00C56E4A"/>
    <w:rsid w:val="00C60FB3"/>
    <w:rsid w:val="00C9419D"/>
    <w:rsid w:val="00CB20ED"/>
    <w:rsid w:val="00CC34EE"/>
    <w:rsid w:val="00CD2D59"/>
    <w:rsid w:val="00D017F7"/>
    <w:rsid w:val="00D070A4"/>
    <w:rsid w:val="00D207C4"/>
    <w:rsid w:val="00DA177C"/>
    <w:rsid w:val="00DD31B1"/>
    <w:rsid w:val="00DF2489"/>
    <w:rsid w:val="00E474B5"/>
    <w:rsid w:val="00E52B8A"/>
    <w:rsid w:val="00E76447"/>
    <w:rsid w:val="00EB66D0"/>
    <w:rsid w:val="00EC7974"/>
    <w:rsid w:val="00EE1DD7"/>
    <w:rsid w:val="00F1182B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D092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364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98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1776</Words>
  <Characters>10308</Characters>
  <Application>Microsoft Office Word</Application>
  <DocSecurity>0</DocSecurity>
  <Lines>85</Lines>
  <Paragraphs>24</Paragraphs>
  <ScaleCrop>false</ScaleCrop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2025-03-24T08:46:00Z</dcterms:created>
  <dcterms:modified xsi:type="dcterms:W3CDTF">2025-03-24T08:46:00Z</dcterms:modified>
</cp:coreProperties>
</file>