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B004" w14:textId="77777777" w:rsidR="001E70C5" w:rsidRPr="00D26A0B" w:rsidRDefault="002929B6">
      <w:pPr>
        <w:rPr>
          <w:b/>
        </w:rPr>
      </w:pPr>
      <w:r w:rsidRPr="00D26A0B">
        <w:rPr>
          <w:b/>
        </w:rPr>
        <w:t>Nový finanční plán projektu TK05020080, „Katalytický rozklad odpadní biomasy“</w:t>
      </w:r>
    </w:p>
    <w:p w14:paraId="3E497EB7" w14:textId="77777777" w:rsidR="00A70331" w:rsidRDefault="00A70331" w:rsidP="00A70331">
      <w:pPr>
        <w:jc w:val="both"/>
      </w:pPr>
      <w:r>
        <w:t xml:space="preserve">Tento nový finanční plán je součástí (přílohou) žádosti o změnu v projektu TK05020080, „Katalytický rozklad odpadní biomasy“, jejíž podstatou je odstoupení dalšího účastníka ORLEN UniCRE (dále UniCRE) od řešení projektu od počátku roku 2025 a přenos práv, povinností a rozpočtu UniCRE na Přírodovědeckou fakultu UJEP. </w:t>
      </w:r>
    </w:p>
    <w:p w14:paraId="248F1696" w14:textId="77777777" w:rsidR="00A70331" w:rsidRDefault="00A70331" w:rsidP="00A70331">
      <w:pPr>
        <w:jc w:val="both"/>
      </w:pPr>
      <w:r>
        <w:t>Pro UniCRE je pro rok 2025 plánována dotace 1 mil Kč a dalších 100 000 Kč nákladů z vlastních zdrojů. Protože UJEP nemá dostatek vlastních zdrojů, které by mohla do projektu vložit, přechází tato částka vlastních nákladů</w:t>
      </w:r>
      <w:r w:rsidR="002A21E0">
        <w:t xml:space="preserve"> 100 tis Kč</w:t>
      </w:r>
      <w:r>
        <w:t xml:space="preserve"> na hlavního příjemce Euro Support Manufacturing Czechia, s.r.o., který nad své vlastní povinnosti pomůže s tvarováním katalyzátorů včetně vývoje receptury.</w:t>
      </w:r>
    </w:p>
    <w:p w14:paraId="206245BF" w14:textId="77777777" w:rsidR="00A70331" w:rsidRDefault="00CC3587" w:rsidP="00A70331">
      <w:pPr>
        <w:jc w:val="both"/>
      </w:pPr>
      <w:r>
        <w:t xml:space="preserve">Tabulka 1: </w:t>
      </w:r>
      <w:r w:rsidR="00A70331">
        <w:t>Původní rozpočet pro rok 2025</w:t>
      </w:r>
    </w:p>
    <w:tbl>
      <w:tblPr>
        <w:tblW w:w="6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6"/>
        <w:gridCol w:w="976"/>
        <w:gridCol w:w="976"/>
        <w:gridCol w:w="976"/>
        <w:gridCol w:w="976"/>
      </w:tblGrid>
      <w:tr w:rsidR="00397E39" w:rsidRPr="00397E39" w14:paraId="782958CC" w14:textId="77777777" w:rsidTr="00397E39">
        <w:trPr>
          <w:trHeight w:val="300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751A6E46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původní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dle návrhu, r.</w:t>
            </w: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2025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0574FC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ESMC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659D44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UFCh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4F42F9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UJEP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C91B4F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UniCRE</w:t>
            </w:r>
          </w:p>
        </w:tc>
      </w:tr>
      <w:tr w:rsidR="00397E39" w:rsidRPr="00397E39" w14:paraId="18B9A715" w14:textId="77777777" w:rsidTr="00397E39">
        <w:trPr>
          <w:trHeight w:val="288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654085AB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osobní náklady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54CFC1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4000000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B308C4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1909000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63FF2C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1166000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412F20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725000</w:t>
            </w:r>
          </w:p>
        </w:tc>
      </w:tr>
      <w:tr w:rsidR="00397E39" w:rsidRPr="00397E39" w14:paraId="1ADB982F" w14:textId="77777777" w:rsidTr="00397E39">
        <w:trPr>
          <w:trHeight w:val="288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254B9CE8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úvazek celkem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CF46AC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6,2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D71EE3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1,55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C89B3D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F87CE1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1,04</w:t>
            </w:r>
          </w:p>
        </w:tc>
      </w:tr>
      <w:tr w:rsidR="00397E39" w:rsidRPr="00397E39" w14:paraId="705FBCFE" w14:textId="77777777" w:rsidTr="00397E39">
        <w:trPr>
          <w:trHeight w:val="288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756A11BF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prům.osob.nákl na úvazek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37C1F4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645161,3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1860F7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1231613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4CCDD4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647777,8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812B1D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697115,4</w:t>
            </w:r>
          </w:p>
        </w:tc>
      </w:tr>
      <w:tr w:rsidR="00397E39" w:rsidRPr="00397E39" w14:paraId="0D64DF38" w14:textId="77777777" w:rsidTr="00397E39">
        <w:trPr>
          <w:trHeight w:val="288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23E244BA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subdodávky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734F24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AFDB10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73DD7D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04D4D0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397E39" w:rsidRPr="00397E39" w14:paraId="4F1416A4" w14:textId="77777777" w:rsidTr="00397E39">
        <w:trPr>
          <w:trHeight w:val="288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71D42EE6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ostatní přímé náklady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18194C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850000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8F809A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300000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4587DC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230000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79DCB0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155000</w:t>
            </w:r>
          </w:p>
        </w:tc>
      </w:tr>
      <w:tr w:rsidR="00397E39" w:rsidRPr="00397E39" w14:paraId="5982A959" w14:textId="77777777" w:rsidTr="00397E39">
        <w:trPr>
          <w:trHeight w:val="288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50B56F17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ochr.duševního vlastnictví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739334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E32786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7046A0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524735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5000</w:t>
            </w:r>
          </w:p>
        </w:tc>
      </w:tr>
      <w:tr w:rsidR="00397E39" w:rsidRPr="00397E39" w14:paraId="2DD4185C" w14:textId="77777777" w:rsidTr="00397E39">
        <w:trPr>
          <w:trHeight w:val="288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04A7A728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další přímé náklady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C46B9F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850000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0616E2E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300000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CCB61F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180000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73B42D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150000</w:t>
            </w:r>
          </w:p>
        </w:tc>
      </w:tr>
      <w:tr w:rsidR="00397E39" w:rsidRPr="00397E39" w14:paraId="363E25EB" w14:textId="77777777" w:rsidTr="00397E39">
        <w:trPr>
          <w:trHeight w:val="300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3CB75E8F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nepřímé náklady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B36552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550000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42DEAB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552000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26524D5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349000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42C9A1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220000</w:t>
            </w:r>
          </w:p>
        </w:tc>
      </w:tr>
      <w:tr w:rsidR="00397E39" w:rsidRPr="00397E39" w14:paraId="19844CCF" w14:textId="77777777" w:rsidTr="00397E39">
        <w:trPr>
          <w:trHeight w:val="300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094168BD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5BCF43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5400000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62B0473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2761000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5671B7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1845000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554D54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1100000</w:t>
            </w:r>
          </w:p>
        </w:tc>
      </w:tr>
      <w:tr w:rsidR="00397E39" w:rsidRPr="00397E39" w14:paraId="51C60706" w14:textId="77777777" w:rsidTr="00397E39">
        <w:trPr>
          <w:trHeight w:val="288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03836B02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dotace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ACDBFB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80051F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2761000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F516767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1845000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F8BF0C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1000000</w:t>
            </w:r>
          </w:p>
        </w:tc>
      </w:tr>
      <w:tr w:rsidR="00397E39" w:rsidRPr="00397E39" w14:paraId="09C899C0" w14:textId="77777777" w:rsidTr="00397E39">
        <w:trPr>
          <w:trHeight w:val="288"/>
        </w:trPr>
        <w:tc>
          <w:tcPr>
            <w:tcW w:w="2756" w:type="dxa"/>
            <w:shd w:val="clear" w:color="auto" w:fill="auto"/>
            <w:noWrap/>
            <w:vAlign w:val="bottom"/>
            <w:hideMark/>
          </w:tcPr>
          <w:p w14:paraId="35085EF3" w14:textId="77777777" w:rsidR="00397E39" w:rsidRPr="00397E39" w:rsidRDefault="00397E39" w:rsidP="00397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vlastní zdroje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2F6E17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4350000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F9F2BB7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5CF0A2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8858F0" w14:textId="77777777" w:rsidR="00397E39" w:rsidRPr="00397E39" w:rsidRDefault="00397E39" w:rsidP="00397E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E39">
              <w:rPr>
                <w:rFonts w:ascii="Calibri" w:eastAsia="Times New Roman" w:hAnsi="Calibri" w:cs="Calibri"/>
                <w:color w:val="000000"/>
                <w:lang w:eastAsia="cs-CZ"/>
              </w:rPr>
              <w:t>100000</w:t>
            </w:r>
          </w:p>
        </w:tc>
      </w:tr>
    </w:tbl>
    <w:p w14:paraId="6FBF14D1" w14:textId="77777777" w:rsidR="002929B6" w:rsidRDefault="002929B6"/>
    <w:p w14:paraId="108E98DE" w14:textId="77777777" w:rsidR="00397E39" w:rsidRPr="00D20178" w:rsidRDefault="00CC3587">
      <w:r w:rsidRPr="00D20178">
        <w:t xml:space="preserve">Tabulka 2: </w:t>
      </w:r>
      <w:r w:rsidR="00A70331" w:rsidRPr="00D20178">
        <w:t>Nový rozpočet pro rok 2025</w:t>
      </w:r>
    </w:p>
    <w:tbl>
      <w:tblPr>
        <w:tblW w:w="6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976"/>
        <w:gridCol w:w="976"/>
        <w:gridCol w:w="976"/>
        <w:gridCol w:w="976"/>
      </w:tblGrid>
      <w:tr w:rsidR="00EA62EE" w:rsidRPr="00D20178" w14:paraId="0DCE7274" w14:textId="77777777" w:rsidTr="00EA62EE">
        <w:trPr>
          <w:trHeight w:val="300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498B2CFA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nový rozpočet, rok 2025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4952BA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ESMC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F79697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UFCh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5903C9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UJEP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F30333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UniCRE</w:t>
            </w:r>
          </w:p>
        </w:tc>
      </w:tr>
      <w:tr w:rsidR="00EA62EE" w:rsidRPr="00D20178" w14:paraId="546C3673" w14:textId="77777777" w:rsidTr="00EA62EE">
        <w:trPr>
          <w:trHeight w:val="288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44098516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osobní náklady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4378A1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4100000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37797F3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1909000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0D087E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1791000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0B7AA0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A62EE" w:rsidRPr="00D20178" w14:paraId="64C9D240" w14:textId="77777777" w:rsidTr="00132A56">
        <w:trPr>
          <w:trHeight w:val="288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5671AA06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úvazek celkem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94969F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6,2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6347ED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1,55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27CB13BC" w14:textId="77777777" w:rsidR="00EA62EE" w:rsidRPr="00D20178" w:rsidRDefault="00B5106A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2,725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C0D576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A62EE" w:rsidRPr="00D20178" w14:paraId="3C17FA94" w14:textId="77777777" w:rsidTr="00132A56">
        <w:trPr>
          <w:trHeight w:val="288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2D93DEE8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prům.osob.nákl na úvazek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DB3536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661290,3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9524AC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1231613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4AC9BFA" w14:textId="77777777" w:rsidR="00EA62EE" w:rsidRPr="00D20178" w:rsidRDefault="00B5106A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657247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E86FDB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A62EE" w:rsidRPr="00D20178" w14:paraId="7D5218BB" w14:textId="77777777" w:rsidTr="00EA62EE">
        <w:trPr>
          <w:trHeight w:val="288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7EF4C752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subdodávky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F8F808A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F42E968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00E1E6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100000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E6E0FC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A62EE" w:rsidRPr="00D20178" w14:paraId="6EE7DA97" w14:textId="77777777" w:rsidTr="00EA62EE">
        <w:trPr>
          <w:trHeight w:val="288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518BC16F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ostatní přímé náklady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8890C5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850000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26C06B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300000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B07D3E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385000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C1B274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A62EE" w:rsidRPr="00D20178" w14:paraId="63AB0504" w14:textId="77777777" w:rsidTr="00EA62EE">
        <w:trPr>
          <w:trHeight w:val="288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4FB9B383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ochr.duševního vlastnictví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2288EB8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F7F26D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1C0150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55000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6B1900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A62EE" w:rsidRPr="00D20178" w14:paraId="4BAA8755" w14:textId="77777777" w:rsidTr="00EA62EE">
        <w:trPr>
          <w:trHeight w:val="288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32EC5993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další přímé náklady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351E31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850000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D403B7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300000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9F22A6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330000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0129B9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A62EE" w:rsidRPr="00D20178" w14:paraId="13C7A114" w14:textId="77777777" w:rsidTr="00EA62EE">
        <w:trPr>
          <w:trHeight w:val="300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68169BA6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nepřímé náklady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5E0BFE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550000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FEDD33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552000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78C3C4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569000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FB3906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A62EE" w:rsidRPr="00D20178" w14:paraId="73A2C3DD" w14:textId="77777777" w:rsidTr="00EA62EE">
        <w:trPr>
          <w:trHeight w:val="300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6C7B4684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4D3661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5500000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2C0DF7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2761000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2097B1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2845000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684EC6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EA62EE" w:rsidRPr="00D20178" w14:paraId="1A68F495" w14:textId="77777777" w:rsidTr="00EA62EE">
        <w:trPr>
          <w:trHeight w:val="288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4640EF7E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 toho dotace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309881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7575DA4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2761000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B008B7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2845000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4B076F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</w:tr>
      <w:tr w:rsidR="00EA62EE" w:rsidRPr="00EA62EE" w14:paraId="0A9EB532" w14:textId="77777777" w:rsidTr="00EA62EE">
        <w:trPr>
          <w:trHeight w:val="288"/>
        </w:trPr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477BC801" w14:textId="77777777" w:rsidR="00EA62EE" w:rsidRPr="00D20178" w:rsidRDefault="00EA62EE" w:rsidP="00EA6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 w:colFirst="0" w:colLast="5"/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vlastní zdroje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B499F7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4450000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837D23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646A79" w14:textId="77777777" w:rsidR="00EA62EE" w:rsidRPr="00D20178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559E17" w14:textId="77777777" w:rsidR="00EA62EE" w:rsidRPr="00EA62EE" w:rsidRDefault="00EA62EE" w:rsidP="00EA62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17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bookmarkEnd w:id="0"/>
    </w:tbl>
    <w:p w14:paraId="0599F4AB" w14:textId="77777777" w:rsidR="000D3FB7" w:rsidRDefault="000D3FB7" w:rsidP="00397E39">
      <w:pPr>
        <w:jc w:val="both"/>
      </w:pPr>
    </w:p>
    <w:p w14:paraId="7E4BEBC1" w14:textId="77777777" w:rsidR="000D3FB7" w:rsidRDefault="00EA62EE" w:rsidP="00397E39">
      <w:pPr>
        <w:jc w:val="both"/>
      </w:pPr>
      <w:r>
        <w:t>K plánovaným osob</w:t>
      </w:r>
      <w:r w:rsidR="00397E39">
        <w:t>ním nákladům UJEP budou přičteny</w:t>
      </w:r>
      <w:r>
        <w:t xml:space="preserve"> plánované osobní náklady UniCRE snížené o 100 000,- Kč, takže celkové náklady přecházející z UniCRE do UJEP klesnou o 100 tis Kč, které přesně odpovídají plánovaným vlastním zdrojům UniCRE pro rok 2025. Takže do rozpočtu UJEP přej</w:t>
      </w:r>
      <w:r w:rsidR="00F00394">
        <w:t>d</w:t>
      </w:r>
      <w:r>
        <w:t>e plánovaná dotace pro UniCRE na rok 2025, tedy 1 mil Kč. Vlastní zdroje, které by měl v roce 2025 vložit UniCRE, místo toho vykáže Euro Support Manufacturing Czechia, s.r.o., jehož celkové náklady se tímto zvýší o 100 000,- Kč, přičemž dotace pro ESMC zůstane stejná.</w:t>
      </w:r>
    </w:p>
    <w:p w14:paraId="41A04EB0" w14:textId="77777777" w:rsidR="00796250" w:rsidRDefault="00CC3587" w:rsidP="00397E39">
      <w:pPr>
        <w:jc w:val="both"/>
      </w:pPr>
      <w:r>
        <w:lastRenderedPageBreak/>
        <w:t>Tabulka 3: Detaily ohledně převodu řešitelského týmu UniCRE do PřF UJEP</w:t>
      </w: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34"/>
      </w:tblGrid>
      <w:tr w:rsidR="00132A56" w:rsidRPr="00132A56" w14:paraId="4D53154E" w14:textId="77777777" w:rsidTr="00CC3587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3DF78E47" w14:textId="77777777" w:rsidR="00132A56" w:rsidRPr="00132A56" w:rsidRDefault="00132A56" w:rsidP="00132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osobní náklady bez 100tisKč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A198D" w14:textId="77777777" w:rsidR="00132A56" w:rsidRPr="00132A56" w:rsidRDefault="00132A56" w:rsidP="00CC3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625</w:t>
            </w:r>
            <w:r w:rsidR="00CC3587">
              <w:rPr>
                <w:rFonts w:ascii="Calibri" w:eastAsia="Times New Roman" w:hAnsi="Calibri" w:cs="Calibri"/>
                <w:color w:val="000000"/>
                <w:lang w:eastAsia="cs-CZ"/>
              </w:rPr>
              <w:t> 000 Kč</w:t>
            </w:r>
          </w:p>
        </w:tc>
      </w:tr>
      <w:tr w:rsidR="00132A56" w:rsidRPr="00132A56" w14:paraId="2166FA1C" w14:textId="77777777" w:rsidTr="00CC3587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07653E6F" w14:textId="77777777" w:rsidR="00132A56" w:rsidRPr="00132A56" w:rsidRDefault="00132A56" w:rsidP="00132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tým přech.</w:t>
            </w:r>
            <w:r w:rsidR="00CC358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z</w:t>
            </w:r>
            <w:r w:rsidR="00CC358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UniCRE do UJEP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18EDC8" w14:textId="77777777" w:rsidR="00132A56" w:rsidRPr="00132A56" w:rsidRDefault="00132A56" w:rsidP="00CC3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úvazky</w:t>
            </w:r>
          </w:p>
        </w:tc>
      </w:tr>
      <w:tr w:rsidR="00132A56" w:rsidRPr="00132A56" w14:paraId="75F9249E" w14:textId="77777777" w:rsidTr="00CC3587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0695BF98" w14:textId="77777777" w:rsidR="00132A56" w:rsidRPr="00132A56" w:rsidRDefault="00132A56" w:rsidP="00132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Tokarová Věnceslava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3DF45" w14:textId="77777777" w:rsidR="00132A56" w:rsidRPr="00132A56" w:rsidRDefault="00132A56" w:rsidP="00CC3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0,5</w:t>
            </w:r>
          </w:p>
        </w:tc>
      </w:tr>
      <w:tr w:rsidR="00132A56" w:rsidRPr="00132A56" w14:paraId="5C065595" w14:textId="77777777" w:rsidTr="00CC3587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71FEB755" w14:textId="77777777" w:rsidR="00132A56" w:rsidRPr="00132A56" w:rsidRDefault="00132A56" w:rsidP="00132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technik </w:t>
            </w:r>
            <w:r w:rsidRPr="00132A56">
              <w:rPr>
                <w:rFonts w:ascii="Calibri" w:eastAsia="Times New Roman" w:hAnsi="Calibri" w:cs="Calibri"/>
                <w:strike/>
                <w:color w:val="000000"/>
                <w:lang w:eastAsia="cs-CZ"/>
              </w:rPr>
              <w:t>UniCRE</w:t>
            </w: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-UJEP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C347C" w14:textId="77777777" w:rsidR="00132A56" w:rsidRPr="00132A56" w:rsidRDefault="00132A56" w:rsidP="00CC3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0,3417</w:t>
            </w:r>
          </w:p>
        </w:tc>
      </w:tr>
      <w:tr w:rsidR="00132A56" w:rsidRPr="00132A56" w14:paraId="7EE27968" w14:textId="77777777" w:rsidTr="00796250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7A0E1B7A" w14:textId="77777777" w:rsidR="00132A56" w:rsidRPr="00132A56" w:rsidRDefault="00132A56" w:rsidP="00132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výzkumník analytik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411C2C" w14:textId="77777777" w:rsidR="00132A56" w:rsidRPr="00132A56" w:rsidRDefault="00796250" w:rsidP="00CC3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0,04167</w:t>
            </w:r>
          </w:p>
        </w:tc>
      </w:tr>
      <w:tr w:rsidR="00132A56" w:rsidRPr="00132A56" w14:paraId="11EFE62E" w14:textId="77777777" w:rsidTr="00796250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5158782D" w14:textId="77777777" w:rsidR="00132A56" w:rsidRPr="00132A56" w:rsidRDefault="00132A56" w:rsidP="00132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výzkumník pyrolýza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0737AE" w14:textId="77777777" w:rsidR="00132A56" w:rsidRPr="00132A56" w:rsidRDefault="00796250" w:rsidP="00CC3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0,04167</w:t>
            </w:r>
          </w:p>
        </w:tc>
      </w:tr>
      <w:tr w:rsidR="00132A56" w:rsidRPr="00132A56" w14:paraId="296A16C9" w14:textId="77777777" w:rsidTr="00CC3587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3B5E2FA1" w14:textId="77777777" w:rsidR="00132A56" w:rsidRPr="00132A56" w:rsidRDefault="00CC3587" w:rsidP="00132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  <w:r w:rsidR="00132A56"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elkem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celoroční úvazek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600D1" w14:textId="77777777" w:rsidR="00132A56" w:rsidRPr="00132A56" w:rsidRDefault="00796250" w:rsidP="00CC3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0,92504</w:t>
            </w:r>
          </w:p>
        </w:tc>
      </w:tr>
      <w:tr w:rsidR="00132A56" w:rsidRPr="00132A56" w14:paraId="3E857DA7" w14:textId="77777777" w:rsidTr="00796250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65F8F416" w14:textId="77777777" w:rsidR="00132A56" w:rsidRPr="00132A56" w:rsidRDefault="00CC3587" w:rsidP="00132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="00132A56"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rům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132A56"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osobní 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ákl</w:t>
            </w:r>
            <w:r w:rsidR="00132A56" w:rsidRPr="00132A56">
              <w:rPr>
                <w:rFonts w:ascii="Calibri" w:eastAsia="Times New Roman" w:hAnsi="Calibri" w:cs="Calibri"/>
                <w:color w:val="000000"/>
                <w:lang w:eastAsia="cs-CZ"/>
              </w:rPr>
              <w:t>. na úvazek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AB8CC62" w14:textId="77777777" w:rsidR="00132A56" w:rsidRPr="00132A56" w:rsidRDefault="00796250" w:rsidP="00CC3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675646,5</w:t>
            </w:r>
          </w:p>
        </w:tc>
      </w:tr>
    </w:tbl>
    <w:p w14:paraId="22325666" w14:textId="77777777" w:rsidR="00D26A0B" w:rsidRDefault="00D26A0B" w:rsidP="00CC3587">
      <w:pPr>
        <w:jc w:val="both"/>
      </w:pPr>
    </w:p>
    <w:p w14:paraId="00293BA9" w14:textId="77777777" w:rsidR="00EA62EE" w:rsidRDefault="00CC3587" w:rsidP="00CC3587">
      <w:pPr>
        <w:jc w:val="both"/>
      </w:pPr>
      <w:r>
        <w:t>Osobní náklady v tabulce 3 jsou oproti plánu pro UniCRE na rok 2025 z tabulky 1 sníženy o 100 tis Kč, jsou aktualizovány celoroční úvazky pro plánované pracovní smlouvy/dohody pro dosavadní pracovníky UniCRE, kteří projekt budou řešit pod UJEP.</w:t>
      </w:r>
    </w:p>
    <w:sectPr w:rsidR="00EA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B6"/>
    <w:rsid w:val="000D3FB7"/>
    <w:rsid w:val="00132A56"/>
    <w:rsid w:val="001E70C5"/>
    <w:rsid w:val="002929B6"/>
    <w:rsid w:val="002A21E0"/>
    <w:rsid w:val="00397E39"/>
    <w:rsid w:val="00796250"/>
    <w:rsid w:val="008C14D8"/>
    <w:rsid w:val="0094258A"/>
    <w:rsid w:val="00A70331"/>
    <w:rsid w:val="00B5106A"/>
    <w:rsid w:val="00C17A82"/>
    <w:rsid w:val="00CC3587"/>
    <w:rsid w:val="00D20178"/>
    <w:rsid w:val="00D26A0B"/>
    <w:rsid w:val="00EA62EE"/>
    <w:rsid w:val="00F0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F8F5"/>
  <w15:chartTrackingRefBased/>
  <w15:docId w15:val="{BAAB04AF-0465-4934-9961-F88F8B0F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39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003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3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3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0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0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Tokarová Věnceslava (UNP-CRE)</dc:creator>
  <cp:keywords/>
  <dc:description/>
  <cp:lastModifiedBy>Merta Vlastimil (UNP-RPA)</cp:lastModifiedBy>
  <cp:revision>3</cp:revision>
  <cp:lastPrinted>2025-02-17T11:16:00Z</cp:lastPrinted>
  <dcterms:created xsi:type="dcterms:W3CDTF">2025-02-17T12:44:00Z</dcterms:created>
  <dcterms:modified xsi:type="dcterms:W3CDTF">2025-02-19T14:02:00Z</dcterms:modified>
</cp:coreProperties>
</file>