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215" w:left="1394" w:right="1389" w:bottom="1454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Číslo smlouvy objednatele: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715/2024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12-2268-0200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„MVE Jindřichov – stírací stroj“ – projektová dokumentace (DSP/DPS)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2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216" w:val="left"/>
          <w:tab w:pos="7694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</w:t>
        <w:tab/>
        <w:t>430 03 Chomutov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2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2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2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  <w:tab/>
        <w:t>Povodí Ohře, státní podnik je zapsán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obchodním rejstříku Krajského soudu v Ústí nad Labem v oddílu A, vložce č. 13052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1051560" cy="87503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1560" cy="875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Zhotovitel: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  <w:bookmarkEnd w:id="0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  <w:bookmarkEnd w:id="1"/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 statutární orgán: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00000000000003pt;margin-top:1.pt;width:82.799999999999997pt;height:68.90000000000000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Zhotovitel: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  <w:bookmarkEnd w:id="0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  <w:bookmarkEnd w:id="1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statutární orgán: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a.s.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Táborská 940/Nusle, 140 00 Praha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26475081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2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CZ26475081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technicky oprávněn jednat: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Sweco a. s. je zapsána u Městského soudu v Praze oddíl B, vložka 7326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2"/>
      <w:bookmarkEnd w:id="3"/>
      <w:bookmarkEnd w:id="4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5" w:name="bookmark5"/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  <w:bookmarkEnd w:id="5"/>
      <w:bookmarkEnd w:id="6"/>
      <w:bookmarkEnd w:id="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Tento dodatek je uzavírán z důvodu: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požadavku objednatele na změnu umístění konstrukce s česlovou stěnou, stíracím strojem a vyhrnovacím žlabem do polohy blíže k objektu MVE. Umístění sestavy do nově navržené polohy vyžaduje kotvení do stávajících zdi. Pevnost stávajících zdí byla ověřena dodatečně provedeným stavebně technickým průzkumem.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 předmětem dodatku změna na základě změny Stavebního zákona a souvisejících předpisů.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II. Dílo a způsob provedení díla a Čl. III. Termín plnění: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center"/>
      </w:pPr>
      <w:bookmarkStart w:id="10" w:name="bookmark10"/>
      <w:bookmarkStart w:id="8" w:name="bookmark8"/>
      <w:bookmarkStart w:id="9" w:name="bookmark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DÍLO A ZPŮSOB PROVEDENÍ DÍLA</w:t>
      </w:r>
      <w:bookmarkEnd w:id="10"/>
      <w:bookmarkEnd w:id="8"/>
      <w:bookmarkEnd w:id="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projektová dokumentace bude předána celkem v počtu 6x paré tištěné + elektronicky, a to 1x ve formátu (_.pdf), a 1x v editovatelných formátech pro potřeby objednatele (_.doc, _.docx, _.xls, _.xlsx, _.dwg a dalších), výkresy budou v souřadnicovém systému S-JTSK.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Kompletní projektová dokumentace bude předána celkem v počtu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4x paré tištěné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+ elektronicky, a to 1x ve formátu (_.pdf), a 1x v editovatelných formátech pro potřeby objednatele (_.doc, _.docx, _.xls, _.xlsx, _.dwg a dalších), výkresy budou v souřadnicovém systému S-JTSK.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Elektronická dokumentace bude tvořena souborem elektronických výkresů a dokumentů, které budou strukturované dle vyhlášky 190/2024 Sb. o podrobnostech provozu informačních systémů stavební správy ve znění pozdějších předpisů.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Elektronická verze dokumentace určená pro podání přes informační systém stavební správy bude opatřena kvalifikovaným časovým razítkem a elektronickým autorizačním podpisem v příslušném oboru či specializaci.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1" w:name="bookmark11"/>
      <w:bookmarkStart w:id="12" w:name="bookmark12"/>
      <w:bookmarkStart w:id="13" w:name="bookmark1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TERMÍNY PLNĚNÍ</w:t>
      </w:r>
      <w:bookmarkEnd w:id="11"/>
      <w:bookmarkEnd w:id="12"/>
      <w:bookmarkEnd w:id="1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0" w:val="left"/>
        </w:tabs>
        <w:bidi w:val="0"/>
        <w:spacing w:before="0" w:after="50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15" w:left="1394" w:right="1389" w:bottom="1454" w:header="0" w:footer="3" w:gutter="0"/>
          <w:cols w:space="720"/>
          <w:noEndnote/>
          <w:rtlGutter w:val="0"/>
          <w:docGrid w:linePitch="360"/>
        </w:sectPr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360" w:lineRule="auto"/>
        <w:ind w:left="380" w:right="0" w:firstLine="5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 SoD 715/2024 bez zbytečného odkladu, nejpozději však do 10 týdnů po nabytí účinnosti smlouvy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line="240" w:lineRule="auto"/>
        <w:ind w:left="4980" w:right="0" w:hanging="498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- předání kompletní PD (2 x tištěné + 1 x elektronicky) po projednání na ZVV: nejpozději do 21.02.2025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0" w:val="left"/>
        </w:tabs>
        <w:bidi w:val="0"/>
        <w:spacing w:before="0" w:after="0" w:line="240" w:lineRule="auto"/>
        <w:ind w:left="4980" w:right="0" w:hanging="498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 x tištěné + 2 x elektronicky):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- předání kompletní PD (2 x tištěné + 1 x elektronicky) po projednání na ZVV: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98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30.06.2025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 x tištěné + 2 x elektronicky):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1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0" w:val="left"/>
        </w:tabs>
        <w:bidi w:val="0"/>
        <w:spacing w:before="0" w:after="440" w:line="240" w:lineRule="auto"/>
        <w:ind w:left="0" w:right="0" w:firstLine="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0" w:val="left"/>
        </w:tabs>
        <w:bidi w:val="0"/>
        <w:spacing w:before="0" w:after="440" w:line="240" w:lineRule="auto"/>
        <w:ind w:left="380" w:right="0" w:hanging="38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0" w:val="left"/>
        </w:tabs>
        <w:bidi w:val="0"/>
        <w:spacing w:before="0" w:after="500" w:line="240" w:lineRule="auto"/>
        <w:ind w:left="0" w:right="0" w:firstLine="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0" w:val="left"/>
        </w:tabs>
        <w:bidi w:val="0"/>
        <w:spacing w:before="0" w:after="0" w:line="240" w:lineRule="auto"/>
        <w:ind w:left="380" w:right="0" w:hanging="380"/>
        <w:jc w:val="both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9" w:h="16838"/>
          <w:pgMar w:top="657" w:left="1394" w:right="1384" w:bottom="1950" w:header="229" w:footer="3" w:gutter="0"/>
          <w:cols w:space="720"/>
          <w:noEndnote/>
          <w:rtlGutter w:val="0"/>
          <w:docGrid w:linePitch="360"/>
        </w:sectPr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195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1514" w:right="2421" w:bottom="1950" w:header="0" w:footer="3" w:gutter="0"/>
          <w:cols w:num="2" w:space="159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Chomutově dne …………… oprávněný zástupce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 ………………. oprávněný zástupce zhotovitele</w:t>
      </w:r>
    </w:p>
    <w:p>
      <w:pPr>
        <w:widowControl w:val="0"/>
        <w:spacing w:before="82" w:after="8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195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1576" w:right="2363" w:bottom="1950" w:header="0" w:footer="3" w:gutter="0"/>
          <w:cols w:num="2" w:space="1574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</w:t>
      </w:r>
    </w:p>
    <w:p>
      <w:pPr>
        <w:widowControl w:val="0"/>
        <w:spacing w:before="94" w:after="9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0" w:right="0" w:bottom="14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Povodí Ohře, státní podnik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předseda představenstva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1533" w:right="2973" w:bottom="1420" w:header="0" w:footer="3" w:gutter="0"/>
          <w:cols w:num="2" w:space="2178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a.s.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57" w:left="1533" w:right="2973" w:bottom="1420" w:header="0" w:footer="3" w:gutter="0"/>
          <w:cols w:num="2" w:space="2178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36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místropředseda představenstva Sweco a.s.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………………………………. členka představenstva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a.s.</w:t>
      </w:r>
    </w:p>
    <w:sectPr>
      <w:headerReference w:type="default" r:id="rId9"/>
      <w:footerReference w:type="default" r:id="rId10"/>
      <w:footnotePr>
        <w:pos w:val="pageBottom"/>
        <w:numFmt w:val="decimal"/>
        <w:numRestart w:val="continuous"/>
      </w:footnotePr>
      <w:pgSz w:w="11909" w:h="16838"/>
      <w:pgMar w:top="1536" w:left="6346" w:right="2364" w:bottom="153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9832340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4.20000000000005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71.69999999999999pt;margin-top:770.8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9832340</wp:posOffset>
              </wp:positionV>
              <wp:extent cx="673735" cy="16446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71.69999999999999pt;margin-top:774.20000000000005pt;width:53.050000000000004pt;height:12.95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4838700</wp:posOffset>
              </wp:positionH>
              <wp:positionV relativeFrom="page">
                <wp:posOffset>393065</wp:posOffset>
              </wp:positionV>
              <wp:extent cx="1825625" cy="1892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2562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Dodatek č. 1 k SoD 715/2024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1.pt;margin-top:30.949999999999999pt;width:143.75pt;height:14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Dodatek č. 1 k SoD 715/2024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4838700</wp:posOffset>
              </wp:positionH>
              <wp:positionV relativeFrom="page">
                <wp:posOffset>393065</wp:posOffset>
              </wp:positionV>
              <wp:extent cx="1825625" cy="18923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25625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Dodatek č. 1 k SoD 715/2024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81.pt;margin-top:30.949999999999999pt;width:143.75pt;height:14.9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Dodatek č. 1 k SoD 715/2024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1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19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