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60" w:line="209" w:lineRule="auto"/>
        <w:ind w:left="0" w:right="0" w:firstLine="0"/>
        <w:jc w:val="center"/>
      </w:pPr>
      <w:r>
        <w:rPr>
          <w:b/>
          <w:bCs/>
          <w:color w:val="000000"/>
          <w:spacing w:val="0"/>
          <w:w w:val="100"/>
          <w:position w:val="0"/>
          <w:sz w:val="36"/>
          <w:szCs w:val="36"/>
          <w:shd w:val="clear" w:color="auto" w:fill="auto"/>
          <w:lang w:val="cs-CZ" w:eastAsia="cs-CZ" w:bidi="cs-CZ"/>
        </w:rPr>
        <w:t>S M L O U V A O D Í L O</w:t>
        <w:br/>
      </w: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(smlouva)</w:t>
      </w:r>
    </w:p>
    <w:p>
      <w:pPr>
        <w:pStyle w:val="Style2"/>
        <w:keepNext w:val="0"/>
        <w:keepLines w:val="0"/>
        <w:widowControl w:val="0"/>
        <w:shd w:val="clear" w:color="auto" w:fill="auto"/>
        <w:bidi w:val="0"/>
        <w:spacing w:before="0" w:after="240" w:line="252" w:lineRule="auto"/>
        <w:ind w:left="0" w:right="0" w:firstLine="0"/>
        <w:jc w:val="center"/>
      </w:pPr>
      <w:r>
        <w:rPr>
          <w:b/>
          <w:bCs/>
          <w:color w:val="000000"/>
          <w:spacing w:val="0"/>
          <w:w w:val="100"/>
          <w:position w:val="0"/>
          <w:shd w:val="clear" w:color="auto" w:fill="auto"/>
          <w:lang w:val="cs-CZ" w:eastAsia="cs-CZ" w:bidi="cs-CZ"/>
        </w:rPr>
        <w:t>č. smlouvy objednatele: 274/2025</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240" w:line="233"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„VD Nechranice – mapování spár návodního líce v roce 2025“</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I. SMLUVNÍ STRANY</w:t>
      </w:r>
    </w:p>
    <w:p>
      <w:pPr>
        <w:widowControl w:val="0"/>
        <w:spacing w:line="1" w:lineRule="exact"/>
      </w:pPr>
      <w:r>
        <mc:AlternateContent>
          <mc:Choice Requires="wps">
            <w:drawing>
              <wp:anchor distT="88900" distB="0" distL="0" distR="0" simplePos="0" relativeHeight="125829378" behindDoc="0" locked="0" layoutInCell="1" allowOverlap="1">
                <wp:simplePos x="0" y="0"/>
                <wp:positionH relativeFrom="page">
                  <wp:posOffset>885825</wp:posOffset>
                </wp:positionH>
                <wp:positionV relativeFrom="paragraph">
                  <wp:posOffset>88900</wp:posOffset>
                </wp:positionV>
                <wp:extent cx="2200910" cy="2389505"/>
                <wp:wrapTopAndBottom/>
                <wp:docPr id="1" name="Shape 1"/>
                <a:graphic xmlns:a="http://schemas.openxmlformats.org/drawingml/2006/main">
                  <a:graphicData uri="http://schemas.microsoft.com/office/word/2010/wordprocessingShape">
                    <wps:wsp>
                      <wps:cNvSpPr txBox="1"/>
                      <wps:spPr>
                        <a:xfrm>
                          <a:ext cx="2200910" cy="2389505"/>
                        </a:xfrm>
                        <a:prstGeom prst="rect"/>
                        <a:noFill/>
                      </wps:spPr>
                      <wps:txbx>
                        <w:txbxContent>
                          <w:p>
                            <w:pPr>
                              <w:pStyle w:val="Style2"/>
                              <w:keepNext w:val="0"/>
                              <w:keepLines w:val="0"/>
                              <w:widowControl w:val="0"/>
                              <w:shd w:val="clear" w:color="auto" w:fill="auto"/>
                              <w:bidi w:val="0"/>
                              <w:spacing w:before="0" w:after="60" w:line="317" w:lineRule="auto"/>
                              <w:ind w:left="0" w:right="0" w:firstLine="0"/>
                              <w:jc w:val="left"/>
                            </w:pPr>
                            <w:r>
                              <w:rPr>
                                <w:color w:val="000000"/>
                                <w:spacing w:val="0"/>
                                <w:w w:val="100"/>
                                <w:position w:val="0"/>
                                <w:shd w:val="clear" w:color="auto" w:fill="auto"/>
                                <w:lang w:val="cs-CZ" w:eastAsia="cs-CZ" w:bidi="cs-CZ"/>
                              </w:rPr>
                              <w:t>Tato smlouva byla uzavřena mezi :</w:t>
                            </w:r>
                          </w:p>
                          <w:p>
                            <w:pPr>
                              <w:pStyle w:val="Style2"/>
                              <w:keepNext w:val="0"/>
                              <w:keepLines w:val="0"/>
                              <w:widowControl w:val="0"/>
                              <w:shd w:val="clear" w:color="auto" w:fill="auto"/>
                              <w:bidi w:val="0"/>
                              <w:spacing w:before="0" w:after="140" w:line="317"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Statutární orgán</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380" w:line="317" w:lineRule="auto"/>
                              <w:ind w:left="0" w:right="0" w:firstLine="0"/>
                              <w:jc w:val="left"/>
                            </w:pPr>
                            <w:r>
                              <w:rPr>
                                <w:color w:val="000000"/>
                                <w:spacing w:val="0"/>
                                <w:w w:val="100"/>
                                <w:position w:val="0"/>
                                <w:shd w:val="clear" w:color="auto" w:fill="auto"/>
                                <w:lang w:val="cs-CZ" w:eastAsia="cs-CZ" w:bidi="cs-CZ"/>
                              </w:rPr>
                              <w:t>zástupce ve věcech smluvních: zástupce ve věcech technických: zástupci objednatele:</w:t>
                            </w:r>
                          </w:p>
                          <w:p>
                            <w:pPr>
                              <w:pStyle w:val="Style2"/>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Bankovní spojení: číslo účtu:</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5pt;margin-top:7.pt;width:173.30000000000001pt;height:188.15000000000001pt;z-index:-125829375;mso-wrap-distance-left:0;mso-wrap-distance-top:7.pt;mso-wrap-distance-right:0;mso-position-horizontal-relative:page" filled="f" stroked="f">
                <v:textbox inset="0,0,0,0">
                  <w:txbxContent>
                    <w:p>
                      <w:pPr>
                        <w:pStyle w:val="Style2"/>
                        <w:keepNext w:val="0"/>
                        <w:keepLines w:val="0"/>
                        <w:widowControl w:val="0"/>
                        <w:shd w:val="clear" w:color="auto" w:fill="auto"/>
                        <w:bidi w:val="0"/>
                        <w:spacing w:before="0" w:after="60" w:line="317" w:lineRule="auto"/>
                        <w:ind w:left="0" w:right="0" w:firstLine="0"/>
                        <w:jc w:val="left"/>
                      </w:pPr>
                      <w:r>
                        <w:rPr>
                          <w:color w:val="000000"/>
                          <w:spacing w:val="0"/>
                          <w:w w:val="100"/>
                          <w:position w:val="0"/>
                          <w:shd w:val="clear" w:color="auto" w:fill="auto"/>
                          <w:lang w:val="cs-CZ" w:eastAsia="cs-CZ" w:bidi="cs-CZ"/>
                        </w:rPr>
                        <w:t>Tato smlouva byla uzavřena mezi :</w:t>
                      </w:r>
                    </w:p>
                    <w:p>
                      <w:pPr>
                        <w:pStyle w:val="Style2"/>
                        <w:keepNext w:val="0"/>
                        <w:keepLines w:val="0"/>
                        <w:widowControl w:val="0"/>
                        <w:shd w:val="clear" w:color="auto" w:fill="auto"/>
                        <w:bidi w:val="0"/>
                        <w:spacing w:before="0" w:after="140" w:line="317"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Statutární orgán</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380" w:line="317" w:lineRule="auto"/>
                        <w:ind w:left="0" w:right="0" w:firstLine="0"/>
                        <w:jc w:val="left"/>
                      </w:pPr>
                      <w:r>
                        <w:rPr>
                          <w:color w:val="000000"/>
                          <w:spacing w:val="0"/>
                          <w:w w:val="100"/>
                          <w:position w:val="0"/>
                          <w:shd w:val="clear" w:color="auto" w:fill="auto"/>
                          <w:lang w:val="cs-CZ" w:eastAsia="cs-CZ" w:bidi="cs-CZ"/>
                        </w:rPr>
                        <w:t>zástupce ve věcech smluvních: zástupce ve věcech technických: zástupci objednatele:</w:t>
                      </w:r>
                    </w:p>
                    <w:p>
                      <w:pPr>
                        <w:pStyle w:val="Style2"/>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Bankovní spojení: číslo účtu:</w:t>
                      </w:r>
                    </w:p>
                  </w:txbxContent>
                </v:textbox>
                <w10:wrap type="topAndBottom" anchorx="page"/>
              </v:shape>
            </w:pict>
          </mc:Fallback>
        </mc:AlternateContent>
      </w:r>
      <w:r>
        <mc:AlternateContent>
          <mc:Choice Requires="wps">
            <w:drawing>
              <wp:anchor distT="363220" distB="325755" distL="0" distR="0" simplePos="0" relativeHeight="125829380" behindDoc="0" locked="0" layoutInCell="1" allowOverlap="1">
                <wp:simplePos x="0" y="0"/>
                <wp:positionH relativeFrom="page">
                  <wp:posOffset>3315335</wp:posOffset>
                </wp:positionH>
                <wp:positionV relativeFrom="paragraph">
                  <wp:posOffset>363220</wp:posOffset>
                </wp:positionV>
                <wp:extent cx="2233930" cy="1789430"/>
                <wp:wrapTopAndBottom/>
                <wp:docPr id="3" name="Shape 3"/>
                <a:graphic xmlns:a="http://schemas.openxmlformats.org/drawingml/2006/main">
                  <a:graphicData uri="http://schemas.microsoft.com/office/word/2010/wordprocessingShape">
                    <wps:wsp>
                      <wps:cNvSpPr txBox="1"/>
                      <wps:spPr>
                        <a:xfrm>
                          <a:ext cx="2233930" cy="17894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generální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ředitel závodu</w:t>
                            </w: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 vedoucí technické skupiny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wps:txbx>
                      <wps:bodyPr lIns="0" tIns="0" rIns="0" bIns="0">
                        <a:noAutoFit/>
                      </wps:bodyPr>
                    </wps:wsp>
                  </a:graphicData>
                </a:graphic>
              </wp:anchor>
            </w:drawing>
          </mc:Choice>
          <mc:Fallback>
            <w:pict>
              <v:shape id="_x0000_s1029" type="#_x0000_t202" style="position:absolute;margin-left:261.05000000000001pt;margin-top:28.600000000000001pt;width:175.90000000000001pt;height:140.90000000000001pt;z-index:-125829373;mso-wrap-distance-left:0;mso-wrap-distance-top:28.600000000000001pt;mso-wrap-distance-right:0;mso-wrap-distance-bottom:25.65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generální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ředitel závodu</w:t>
                      </w: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 vedoucí technické skupiny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v:textbox>
                <w10:wrap type="topAndBottom" anchorx="page"/>
              </v:shape>
            </w:pict>
          </mc:Fallback>
        </mc:AlternateContent>
      </w:r>
    </w:p>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 na straně jedné a</w:t>
      </w:r>
    </w:p>
    <w:tbl>
      <w:tblPr>
        <w:tblOverlap w:val="never"/>
        <w:jc w:val="left"/>
        <w:tblLayout w:type="fixed"/>
      </w:tblPr>
      <w:tblGrid>
        <w:gridCol w:w="3734"/>
        <w:gridCol w:w="3979"/>
      </w:tblGrid>
      <w:tr>
        <w:trPr>
          <w:trHeight w:val="523"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EASYmap a.s.</w:t>
            </w:r>
          </w:p>
          <w:p>
            <w:pPr>
              <w:pStyle w:val="Style1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Františka Halase 1200, 434 01 MOST</w:t>
            </w:r>
          </w:p>
        </w:tc>
      </w:tr>
      <w:tr>
        <w:trPr>
          <w:trHeight w:val="1358"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 zástupce ve věcech smluvních: zástupce ve věcech technických:</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25009141</w:t>
            </w:r>
          </w:p>
          <w:p>
            <w:pPr>
              <w:pStyle w:val="Style14"/>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CZ25009141</w:t>
            </w:r>
          </w:p>
        </w:tc>
      </w:tr>
    </w:tbl>
    <w:p>
      <w:pPr>
        <w:widowControl w:val="0"/>
        <w:spacing w:after="399" w:line="1" w:lineRule="exact"/>
      </w:pP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bankovní spojení: číslo účtu:</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 xml:space="preserve">Zhotovitel je zapsán v Obchodním rejstříku u Obchodního rejstříku v Ústí nad Labem, v oddílu B, vložce č. 908 </w:t>
      </w: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PŘEDMĚT SMLOUVY A DÍLA</w:t>
      </w:r>
    </w:p>
    <w:p>
      <w:pPr>
        <w:pStyle w:val="Style2"/>
        <w:keepNext w:val="0"/>
        <w:keepLines w:val="0"/>
        <w:widowControl w:val="0"/>
        <w:numPr>
          <w:ilvl w:val="0"/>
          <w:numId w:val="1"/>
        </w:numPr>
        <w:shd w:val="clear" w:color="auto" w:fill="auto"/>
        <w:tabs>
          <w:tab w:pos="762" w:val="left"/>
        </w:tabs>
        <w:bidi w:val="0"/>
        <w:spacing w:before="0" w:line="240" w:lineRule="auto"/>
        <w:ind w:left="740" w:right="0" w:hanging="360"/>
        <w:jc w:val="both"/>
      </w:pPr>
      <w:bookmarkStart w:id="0" w:name="bookmark0"/>
      <w:bookmarkEnd w:id="0"/>
      <w:r>
        <w:rPr>
          <w:color w:val="000000"/>
          <w:spacing w:val="0"/>
          <w:w w:val="100"/>
          <w:position w:val="0"/>
          <w:shd w:val="clear" w:color="auto" w:fill="auto"/>
          <w:lang w:val="cs-CZ" w:eastAsia="cs-CZ" w:bidi="cs-CZ"/>
        </w:rPr>
        <w:t>Tato smlouva je uzavřena na základě předložené cenové nabídky zhotovitele na zakázku s názvem „VD Nechranice – mapování spár návodního líce v roce 2025“ z ledna 2025, která je přílohou č. 1 této smlouvy.</w:t>
      </w:r>
    </w:p>
    <w:p>
      <w:pPr>
        <w:pStyle w:val="Style2"/>
        <w:keepNext w:val="0"/>
        <w:keepLines w:val="0"/>
        <w:widowControl w:val="0"/>
        <w:numPr>
          <w:ilvl w:val="0"/>
          <w:numId w:val="1"/>
        </w:numPr>
        <w:shd w:val="clear" w:color="auto" w:fill="auto"/>
        <w:tabs>
          <w:tab w:pos="762" w:val="left"/>
        </w:tabs>
        <w:bidi w:val="0"/>
        <w:spacing w:before="0" w:line="240" w:lineRule="auto"/>
        <w:ind w:left="740" w:right="0" w:hanging="360"/>
        <w:jc w:val="both"/>
      </w:pPr>
      <w:bookmarkStart w:id="1" w:name="bookmark1"/>
      <w:bookmarkEnd w:id="1"/>
      <w:r>
        <w:rPr>
          <w:color w:val="000000"/>
          <w:spacing w:val="0"/>
          <w:w w:val="100"/>
          <w:position w:val="0"/>
          <w:shd w:val="clear" w:color="auto" w:fill="auto"/>
          <w:lang w:val="cs-CZ" w:eastAsia="cs-CZ" w:bidi="cs-CZ"/>
        </w:rPr>
        <w:t>Předmětem plnění je zmapování návodního líce vodního díla Nechranice, porovnání získaných dat s daty v letech 2018 a 2022 a identifikace odchylek.</w:t>
      </w:r>
    </w:p>
    <w:p>
      <w:pPr>
        <w:pStyle w:val="Style2"/>
        <w:keepNext w:val="0"/>
        <w:keepLines w:val="0"/>
        <w:widowControl w:val="0"/>
        <w:numPr>
          <w:ilvl w:val="0"/>
          <w:numId w:val="1"/>
        </w:numPr>
        <w:shd w:val="clear" w:color="auto" w:fill="auto"/>
        <w:tabs>
          <w:tab w:pos="762" w:val="left"/>
        </w:tabs>
        <w:bidi w:val="0"/>
        <w:spacing w:before="0" w:after="440" w:line="240" w:lineRule="auto"/>
        <w:ind w:left="740" w:right="0" w:hanging="360"/>
        <w:jc w:val="both"/>
      </w:pPr>
      <w:bookmarkStart w:id="2" w:name="bookmark2"/>
      <w:bookmarkEnd w:id="2"/>
      <w:r>
        <w:rPr>
          <w:color w:val="000000"/>
          <w:spacing w:val="0"/>
          <w:w w:val="100"/>
          <w:position w:val="0"/>
          <w:shd w:val="clear" w:color="auto" w:fill="auto"/>
          <w:lang w:val="cs-CZ" w:eastAsia="cs-CZ" w:bidi="cs-CZ"/>
        </w:rPr>
        <w:t>Zhotovitel se zavazuje provést dílo na své vlastní náklady a na svou odpovědnost ve prospěch objednatele. Zhotovitel se zavazuje dílo podle podmínek této smlouvy v termínu uvedeném v této smlouvě a zcela dokončené a bezvadné předat objednateli. Objednatel se zavazuje zcela dokončené a bezvadné dílo ve sjednaném termínu od zhotovitele převzít a zaplatit zhotoviteli cenu díla specifikovanou dále v této smlouvě.</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III. DÍLO A ZPŮSOB PROVEDENÍ DÍLA</w:t>
      </w:r>
    </w:p>
    <w:p>
      <w:pPr>
        <w:pStyle w:val="Style2"/>
        <w:keepNext w:val="0"/>
        <w:keepLines w:val="0"/>
        <w:widowControl w:val="0"/>
        <w:numPr>
          <w:ilvl w:val="0"/>
          <w:numId w:val="3"/>
        </w:numPr>
        <w:shd w:val="clear" w:color="auto" w:fill="auto"/>
        <w:tabs>
          <w:tab w:pos="762" w:val="left"/>
        </w:tabs>
        <w:bidi w:val="0"/>
        <w:spacing w:before="0" w:line="240" w:lineRule="auto"/>
        <w:ind w:left="740" w:right="0" w:hanging="360"/>
        <w:jc w:val="both"/>
      </w:pPr>
      <w:bookmarkStart w:id="3" w:name="bookmark3"/>
      <w:bookmarkEnd w:id="3"/>
      <w:r>
        <w:rPr>
          <w:color w:val="000000"/>
          <w:spacing w:val="0"/>
          <w:w w:val="100"/>
          <w:position w:val="0"/>
          <w:shd w:val="clear" w:color="auto" w:fill="auto"/>
          <w:lang w:val="cs-CZ" w:eastAsia="cs-CZ" w:bidi="cs-CZ"/>
        </w:rPr>
        <w:t>Zhotovitel V rámci zakázky zhotovitel provede zhotovení ortofotomapy, digitálního model povrchu (DMP) a analýzu změn, ke kterým došlo od vytvoření předchozího modelu návodního líce hráze VD Nechranice. Digitální model povrchu bude spolehlivým záznamem o stavu hráze v době zaměření. Data budou v terénu získány v celé délce hráze od nejnižší možné hladiny v nádrži (max. 264,5 m n. m.) po korunu hráze VD (začátek spár).</w:t>
      </w:r>
    </w:p>
    <w:p>
      <w:pPr>
        <w:pStyle w:val="Style2"/>
        <w:keepNext w:val="0"/>
        <w:keepLines w:val="0"/>
        <w:widowControl w:val="0"/>
        <w:numPr>
          <w:ilvl w:val="0"/>
          <w:numId w:val="3"/>
        </w:numPr>
        <w:shd w:val="clear" w:color="auto" w:fill="auto"/>
        <w:tabs>
          <w:tab w:pos="762" w:val="left"/>
        </w:tabs>
        <w:bidi w:val="0"/>
        <w:spacing w:before="0" w:line="240" w:lineRule="auto"/>
        <w:ind w:left="740" w:right="0" w:hanging="360"/>
        <w:jc w:val="both"/>
      </w:pPr>
      <w:bookmarkStart w:id="4" w:name="bookmark4"/>
      <w:bookmarkEnd w:id="4"/>
      <w:r>
        <w:rPr>
          <w:color w:val="000000"/>
          <w:spacing w:val="0"/>
          <w:w w:val="100"/>
          <w:position w:val="0"/>
          <w:shd w:val="clear" w:color="auto" w:fill="auto"/>
          <w:lang w:val="cs-CZ" w:eastAsia="cs-CZ" w:bidi="cs-CZ"/>
        </w:rPr>
        <w:t>Po dokončení a zpracování dat zhotovitel odevzdán závěrečnou zprávu a získané výstupy. Před odevzdáním výsledků je zhotovitel odprezentuje na jednání, svoleném po vzájemné domluvě s objednatelem.</w:t>
      </w:r>
    </w:p>
    <w:p>
      <w:pPr>
        <w:pStyle w:val="Style2"/>
        <w:keepNext w:val="0"/>
        <w:keepLines w:val="0"/>
        <w:widowControl w:val="0"/>
        <w:numPr>
          <w:ilvl w:val="0"/>
          <w:numId w:val="3"/>
        </w:numPr>
        <w:shd w:val="clear" w:color="auto" w:fill="auto"/>
        <w:tabs>
          <w:tab w:pos="742" w:val="left"/>
        </w:tabs>
        <w:bidi w:val="0"/>
        <w:spacing w:before="0" w:after="0" w:line="240" w:lineRule="auto"/>
        <w:ind w:left="0" w:right="0" w:firstLine="360"/>
        <w:jc w:val="both"/>
      </w:pPr>
      <w:bookmarkStart w:id="5" w:name="bookmark5"/>
      <w:bookmarkEnd w:id="5"/>
      <w:r>
        <w:rPr>
          <w:color w:val="000000"/>
          <w:spacing w:val="0"/>
          <w:w w:val="100"/>
          <w:position w:val="0"/>
          <w:shd w:val="clear" w:color="auto" w:fill="auto"/>
          <w:lang w:val="cs-CZ" w:eastAsia="cs-CZ" w:bidi="cs-CZ"/>
        </w:rPr>
        <w:t>Zhotovitel v rámci splnění předmětu díla zajistí:</w:t>
      </w:r>
    </w:p>
    <w:p>
      <w:pPr>
        <w:pStyle w:val="Style2"/>
        <w:keepNext w:val="0"/>
        <w:keepLines w:val="0"/>
        <w:widowControl w:val="0"/>
        <w:shd w:val="clear" w:color="auto" w:fill="auto"/>
        <w:bidi w:val="0"/>
        <w:spacing w:before="0" w:line="240" w:lineRule="auto"/>
        <w:ind w:left="1460" w:right="0" w:firstLine="0"/>
        <w:jc w:val="both"/>
      </w:pPr>
      <w:r>
        <w:rPr>
          <w:color w:val="000000"/>
          <w:spacing w:val="0"/>
          <w:w w:val="100"/>
          <w:position w:val="0"/>
          <w:shd w:val="clear" w:color="auto" w:fill="auto"/>
          <w:lang w:val="cs-CZ" w:eastAsia="cs-CZ" w:bidi="cs-CZ"/>
        </w:rPr>
        <w:t>potřebnou legislativu (DIO, povolení létání, souhlasy vlastníků pro přístupy apod.)</w:t>
      </w:r>
    </w:p>
    <w:p>
      <w:pPr>
        <w:pStyle w:val="Style2"/>
        <w:keepNext w:val="0"/>
        <w:keepLines w:val="0"/>
        <w:widowControl w:val="0"/>
        <w:numPr>
          <w:ilvl w:val="0"/>
          <w:numId w:val="3"/>
        </w:numPr>
        <w:shd w:val="clear" w:color="auto" w:fill="auto"/>
        <w:tabs>
          <w:tab w:pos="762" w:val="left"/>
        </w:tabs>
        <w:bidi w:val="0"/>
        <w:spacing w:before="0" w:line="240" w:lineRule="auto"/>
        <w:ind w:left="740" w:right="0" w:hanging="360"/>
        <w:jc w:val="both"/>
      </w:pPr>
      <w:bookmarkStart w:id="6" w:name="bookmark6"/>
      <w:bookmarkEnd w:id="6"/>
      <w:r>
        <w:rPr>
          <w:color w:val="000000"/>
          <w:spacing w:val="0"/>
          <w:w w:val="100"/>
          <w:position w:val="0"/>
          <w:shd w:val="clear" w:color="auto" w:fill="auto"/>
          <w:lang w:val="cs-CZ" w:eastAsia="cs-CZ" w:bidi="cs-CZ"/>
        </w:rPr>
        <w:t>Zhotovitel prohlašuje, že dílo provede řádně a s odbornou péčí podle platných právních předpisů vztahujících se k předmětné činnosti. V případě, že využije k provádění díla nebo jeho části externí zhotovitel, nese odpovědnost za provedené práce stejně jako by prováděl dílo sám.</w:t>
      </w:r>
    </w:p>
    <w:p>
      <w:pPr>
        <w:pStyle w:val="Style2"/>
        <w:keepNext w:val="0"/>
        <w:keepLines w:val="0"/>
        <w:widowControl w:val="0"/>
        <w:numPr>
          <w:ilvl w:val="0"/>
          <w:numId w:val="3"/>
        </w:numPr>
        <w:shd w:val="clear" w:color="auto" w:fill="auto"/>
        <w:tabs>
          <w:tab w:pos="762" w:val="left"/>
        </w:tabs>
        <w:bidi w:val="0"/>
        <w:spacing w:before="0" w:after="440" w:line="240" w:lineRule="auto"/>
        <w:ind w:left="740" w:right="0" w:hanging="360"/>
        <w:jc w:val="both"/>
      </w:pPr>
      <w:bookmarkStart w:id="7" w:name="bookmark7"/>
      <w:bookmarkEnd w:id="7"/>
      <w:r>
        <w:rPr>
          <w:color w:val="000000"/>
          <w:spacing w:val="0"/>
          <w:w w:val="100"/>
          <w:position w:val="0"/>
          <w:shd w:val="clear" w:color="auto" w:fill="auto"/>
          <w:lang w:val="cs-CZ" w:eastAsia="cs-CZ" w:bidi="cs-CZ"/>
        </w:rPr>
        <w:t>Zhotovitel prohlašuje, že si pečlivě prostudoval veškeré zadávací podklady tak, aby mohlo být dílo řádně provedeno podle ustanovení této smlouvy, není třeba žádných změn nebo úprav zadání.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TERMÍN PLNĚNÍ</w:t>
      </w:r>
    </w:p>
    <w:p>
      <w:pPr>
        <w:pStyle w:val="Style2"/>
        <w:keepNext w:val="0"/>
        <w:keepLines w:val="0"/>
        <w:widowControl w:val="0"/>
        <w:numPr>
          <w:ilvl w:val="0"/>
          <w:numId w:val="5"/>
        </w:numPr>
        <w:shd w:val="clear" w:color="auto" w:fill="auto"/>
        <w:tabs>
          <w:tab w:pos="742" w:val="left"/>
        </w:tabs>
        <w:bidi w:val="0"/>
        <w:spacing w:before="0" w:line="240" w:lineRule="auto"/>
        <w:ind w:left="0" w:right="0" w:firstLine="360"/>
        <w:jc w:val="both"/>
      </w:pPr>
      <w:bookmarkStart w:id="8" w:name="bookmark8"/>
      <w:bookmarkEnd w:id="8"/>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after="120" w:line="240" w:lineRule="auto"/>
        <w:ind w:left="0" w:right="0" w:firstLine="36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9" w:name="bookmark9"/>
      <w:bookmarkEnd w:id="9"/>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1460" w:right="0" w:firstLine="20"/>
        <w:jc w:val="both"/>
      </w:pPr>
      <w:r>
        <w:rPr>
          <w:color w:val="000000"/>
          <w:spacing w:val="0"/>
          <w:w w:val="100"/>
          <w:position w:val="0"/>
          <w:shd w:val="clear" w:color="auto" w:fill="auto"/>
          <w:lang w:val="cs-CZ" w:eastAsia="cs-CZ" w:bidi="cs-CZ"/>
        </w:rPr>
        <w:t>terénní práce budou provedeny na tel. výzvu objednatele v závislosti na meteorologických podmínkách a výšce hladiny.</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10" w:name="bookmark10"/>
      <w:bookmarkEnd w:id="10"/>
      <w:r>
        <w:rPr>
          <w:b/>
          <w:bCs/>
          <w:color w:val="000000"/>
          <w:spacing w:val="0"/>
          <w:w w:val="100"/>
          <w:position w:val="0"/>
          <w:shd w:val="clear" w:color="auto" w:fill="auto"/>
          <w:lang w:val="cs-CZ" w:eastAsia="cs-CZ" w:bidi="cs-CZ"/>
        </w:rPr>
        <w:t>zpracování dat:</w:t>
      </w:r>
    </w:p>
    <w:p>
      <w:pPr>
        <w:pStyle w:val="Style2"/>
        <w:keepNext w:val="0"/>
        <w:keepLines w:val="0"/>
        <w:widowControl w:val="0"/>
        <w:shd w:val="clear" w:color="auto" w:fill="auto"/>
        <w:bidi w:val="0"/>
        <w:spacing w:before="0" w:line="240" w:lineRule="auto"/>
        <w:ind w:left="1460" w:right="0" w:firstLine="20"/>
        <w:jc w:val="both"/>
      </w:pPr>
      <w:r>
        <w:rPr>
          <w:color w:val="000000"/>
          <w:spacing w:val="0"/>
          <w:w w:val="100"/>
          <w:position w:val="0"/>
          <w:shd w:val="clear" w:color="auto" w:fill="auto"/>
          <w:lang w:val="cs-CZ" w:eastAsia="cs-CZ" w:bidi="cs-CZ"/>
        </w:rPr>
        <w:t>zpracování získaných digitálních dat bude provedeno po odprezentování objednateli, nejpozději do 2 měsíců od provedení terénních prací.</w:t>
      </w:r>
    </w:p>
    <w:p>
      <w:pPr>
        <w:pStyle w:val="Style2"/>
        <w:keepNext w:val="0"/>
        <w:keepLines w:val="0"/>
        <w:widowControl w:val="0"/>
        <w:numPr>
          <w:ilvl w:val="0"/>
          <w:numId w:val="7"/>
        </w:numPr>
        <w:shd w:val="clear" w:color="auto" w:fill="auto"/>
        <w:tabs>
          <w:tab w:pos="679" w:val="left"/>
        </w:tabs>
        <w:bidi w:val="0"/>
        <w:spacing w:before="0" w:after="0" w:line="240" w:lineRule="auto"/>
        <w:ind w:left="0" w:right="0" w:firstLine="300"/>
        <w:jc w:val="both"/>
        <w:rPr>
          <w:sz w:val="24"/>
          <w:szCs w:val="24"/>
        </w:rPr>
      </w:pPr>
      <w:bookmarkStart w:id="11" w:name="bookmark11"/>
      <w:bookmarkEnd w:id="11"/>
      <w:r>
        <w:rPr>
          <w:b/>
          <w:bCs/>
          <w:color w:val="000000"/>
          <w:spacing w:val="0"/>
          <w:w w:val="100"/>
          <w:position w:val="0"/>
          <w:sz w:val="22"/>
          <w:szCs w:val="22"/>
          <w:shd w:val="clear" w:color="auto" w:fill="auto"/>
          <w:lang w:val="cs-CZ" w:eastAsia="cs-CZ" w:bidi="cs-CZ"/>
        </w:rPr>
        <w:t>konečné plnění</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320" w:line="240" w:lineRule="auto"/>
        <w:ind w:left="0" w:right="0" w:firstLine="740"/>
        <w:jc w:val="both"/>
      </w:pPr>
      <w:r>
        <w:rPr>
          <w:color w:val="000000"/>
          <w:spacing w:val="0"/>
          <w:w w:val="100"/>
          <w:position w:val="0"/>
          <w:shd w:val="clear" w:color="auto" w:fill="auto"/>
          <w:lang w:val="cs-CZ" w:eastAsia="cs-CZ" w:bidi="cs-CZ"/>
        </w:rPr>
        <w:t xml:space="preserve">předání a převzetí závěreční zprávy a datových souborů </w:t>
      </w:r>
      <w:r>
        <w:rPr>
          <w:b/>
          <w:bCs/>
          <w:color w:val="000000"/>
          <w:spacing w:val="0"/>
          <w:w w:val="100"/>
          <w:position w:val="0"/>
          <w:shd w:val="clear" w:color="auto" w:fill="auto"/>
          <w:lang w:val="cs-CZ" w:eastAsia="cs-CZ" w:bidi="cs-CZ"/>
        </w:rPr>
        <w:t>nejpozději do 30.11.2025</w:t>
      </w:r>
    </w:p>
    <w:p>
      <w:pPr>
        <w:pStyle w:val="Style18"/>
        <w:keepNext/>
        <w:keepLines/>
        <w:widowControl w:val="0"/>
        <w:numPr>
          <w:ilvl w:val="0"/>
          <w:numId w:val="5"/>
        </w:numPr>
        <w:shd w:val="clear" w:color="auto" w:fill="auto"/>
        <w:tabs>
          <w:tab w:pos="379" w:val="left"/>
        </w:tabs>
        <w:bidi w:val="0"/>
        <w:spacing w:before="0" w:after="120" w:line="240" w:lineRule="auto"/>
        <w:ind w:left="300" w:right="0" w:hanging="30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2"/>
      <w:bookmarkEnd w:id="13"/>
      <w:bookmarkEnd w:id="15"/>
    </w:p>
    <w:p>
      <w:pPr>
        <w:pStyle w:val="Style18"/>
        <w:keepNext/>
        <w:keepLines/>
        <w:widowControl w:val="0"/>
        <w:numPr>
          <w:ilvl w:val="0"/>
          <w:numId w:val="5"/>
        </w:numPr>
        <w:shd w:val="clear" w:color="auto" w:fill="auto"/>
        <w:tabs>
          <w:tab w:pos="379" w:val="left"/>
        </w:tabs>
        <w:bidi w:val="0"/>
        <w:spacing w:before="0" w:after="120" w:line="240" w:lineRule="auto"/>
        <w:ind w:left="300" w:right="0" w:hanging="30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6"/>
      <w:bookmarkEnd w:id="17"/>
      <w:bookmarkEnd w:id="19"/>
    </w:p>
    <w:p>
      <w:pPr>
        <w:pStyle w:val="Style18"/>
        <w:keepNext/>
        <w:keepLines/>
        <w:widowControl w:val="0"/>
        <w:numPr>
          <w:ilvl w:val="0"/>
          <w:numId w:val="5"/>
        </w:numPr>
        <w:shd w:val="clear" w:color="auto" w:fill="auto"/>
        <w:tabs>
          <w:tab w:pos="379" w:val="left"/>
        </w:tabs>
        <w:bidi w:val="0"/>
        <w:spacing w:before="0" w:after="360" w:line="240" w:lineRule="auto"/>
        <w:ind w:left="300" w:right="0" w:hanging="30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Dílo bude dokončeno zhotovitelem a předáno objednateli na základě zápisu o předání a převzetí díla.</w:t>
      </w:r>
      <w:bookmarkEnd w:id="20"/>
      <w:bookmarkEnd w:id="21"/>
      <w:bookmarkEnd w:id="23"/>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CENA</w:t>
      </w:r>
    </w:p>
    <w:p>
      <w:pPr>
        <w:pStyle w:val="Style2"/>
        <w:keepNext w:val="0"/>
        <w:keepLines w:val="0"/>
        <w:widowControl w:val="0"/>
        <w:numPr>
          <w:ilvl w:val="0"/>
          <w:numId w:val="9"/>
        </w:numPr>
        <w:shd w:val="clear" w:color="auto" w:fill="auto"/>
        <w:tabs>
          <w:tab w:pos="379" w:val="left"/>
        </w:tabs>
        <w:bidi w:val="0"/>
        <w:spacing w:before="0" w:after="60" w:line="240" w:lineRule="auto"/>
        <w:ind w:left="300" w:right="0" w:hanging="300"/>
        <w:jc w:val="both"/>
      </w:pPr>
      <w:bookmarkStart w:id="24" w:name="bookmark24"/>
      <w:bookmarkEnd w:id="24"/>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120" w:line="240" w:lineRule="auto"/>
        <w:ind w:left="300" w:right="0" w:firstLine="8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79" w:val="left"/>
        </w:tabs>
        <w:bidi w:val="0"/>
        <w:spacing w:before="0" w:line="240" w:lineRule="auto"/>
        <w:ind w:left="300" w:right="0" w:hanging="300"/>
        <w:jc w:val="both"/>
      </w:pPr>
      <w:bookmarkStart w:id="25" w:name="bookmark25"/>
      <w:bookmarkEnd w:id="25"/>
      <w:r>
        <w:rPr>
          <w:color w:val="000000"/>
          <w:spacing w:val="0"/>
          <w:w w:val="100"/>
          <w:position w:val="0"/>
          <w:shd w:val="clear" w:color="auto" w:fill="auto"/>
          <w:lang w:val="cs-CZ" w:eastAsia="cs-CZ" w:bidi="cs-CZ"/>
        </w:rPr>
        <w:t>Výše ceny díla může být změněna pouze a jen na podkladě skutečností, které se vyskytly v průběhu zpracování studie, přičemž jejich zajištění je podmínkou pro řádné dokončení díla. Odůvodněné změny budou po projednání oprávněnosti předloženy zhotovitelem formou návrhu dodatku k této smlouvě.</w:t>
      </w:r>
    </w:p>
    <w:p>
      <w:pPr>
        <w:pStyle w:val="Style2"/>
        <w:keepNext w:val="0"/>
        <w:keepLines w:val="0"/>
        <w:widowControl w:val="0"/>
        <w:numPr>
          <w:ilvl w:val="0"/>
          <w:numId w:val="9"/>
        </w:numPr>
        <w:shd w:val="clear" w:color="auto" w:fill="auto"/>
        <w:tabs>
          <w:tab w:pos="379" w:val="left"/>
        </w:tabs>
        <w:bidi w:val="0"/>
        <w:spacing w:before="0" w:after="60" w:line="240" w:lineRule="auto"/>
        <w:ind w:left="300" w:right="0" w:hanging="300"/>
        <w:jc w:val="both"/>
      </w:pPr>
      <w:bookmarkStart w:id="26" w:name="bookmark26"/>
      <w:bookmarkEnd w:id="26"/>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4975" w:val="left"/>
          <w:tab w:pos="7135" w:val="left"/>
        </w:tabs>
        <w:bidi w:val="0"/>
        <w:spacing w:before="0" w:line="240" w:lineRule="auto"/>
        <w:ind w:left="0" w:right="0" w:firstLine="300"/>
        <w:jc w:val="both"/>
      </w:pPr>
      <w:r>
        <w:rPr>
          <w:b/>
          <w:bCs/>
          <w:color w:val="000000"/>
          <w:spacing w:val="0"/>
          <w:w w:val="100"/>
          <w:position w:val="0"/>
          <w:shd w:val="clear" w:color="auto" w:fill="auto"/>
          <w:lang w:val="cs-CZ" w:eastAsia="cs-CZ" w:bidi="cs-CZ"/>
        </w:rPr>
        <w:t>Celková smluvní cena</w:t>
        <w:tab/>
      </w:r>
      <w:r>
        <w:rPr>
          <w:color w:val="000000"/>
          <w:spacing w:val="0"/>
          <w:w w:val="100"/>
          <w:position w:val="0"/>
          <w:shd w:val="clear" w:color="auto" w:fill="auto"/>
          <w:lang w:val="cs-CZ" w:eastAsia="cs-CZ" w:bidi="cs-CZ"/>
        </w:rPr>
        <w:t>bez DPH</w:t>
        <w:tab/>
      </w:r>
      <w:r>
        <w:rPr>
          <w:b/>
          <w:bCs/>
          <w:color w:val="000000"/>
          <w:spacing w:val="0"/>
          <w:w w:val="100"/>
          <w:position w:val="0"/>
          <w:shd w:val="clear" w:color="auto" w:fill="auto"/>
          <w:lang w:val="cs-CZ" w:eastAsia="cs-CZ" w:bidi="cs-CZ"/>
        </w:rPr>
        <w:t>197 400,- Kč</w:t>
      </w:r>
    </w:p>
    <w:p>
      <w:pPr>
        <w:pStyle w:val="Style2"/>
        <w:keepNext w:val="0"/>
        <w:keepLines w:val="0"/>
        <w:widowControl w:val="0"/>
        <w:numPr>
          <w:ilvl w:val="0"/>
          <w:numId w:val="9"/>
        </w:numPr>
        <w:shd w:val="clear" w:color="auto" w:fill="auto"/>
        <w:tabs>
          <w:tab w:pos="379" w:val="left"/>
        </w:tabs>
        <w:bidi w:val="0"/>
        <w:spacing w:before="0" w:after="440" w:line="240" w:lineRule="auto"/>
        <w:ind w:left="300" w:right="0" w:hanging="300"/>
        <w:jc w:val="both"/>
      </w:pPr>
      <w:bookmarkStart w:id="27" w:name="bookmark27"/>
      <w:bookmarkEnd w:id="27"/>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PLATEBNÍ PODMÍNKY</w:t>
      </w:r>
    </w:p>
    <w:p>
      <w:pPr>
        <w:pStyle w:val="Style2"/>
        <w:keepNext w:val="0"/>
        <w:keepLines w:val="0"/>
        <w:widowControl w:val="0"/>
        <w:numPr>
          <w:ilvl w:val="0"/>
          <w:numId w:val="11"/>
        </w:numPr>
        <w:shd w:val="clear" w:color="auto" w:fill="auto"/>
        <w:tabs>
          <w:tab w:pos="379" w:val="left"/>
        </w:tabs>
        <w:bidi w:val="0"/>
        <w:spacing w:before="0" w:after="240" w:line="240" w:lineRule="auto"/>
        <w:ind w:left="300" w:right="0" w:hanging="300"/>
        <w:jc w:val="both"/>
      </w:pPr>
      <w:bookmarkStart w:id="28" w:name="bookmark28"/>
      <w:bookmarkEnd w:id="28"/>
      <w:r>
        <w:rPr>
          <w:color w:val="000000"/>
          <w:spacing w:val="0"/>
          <w:w w:val="100"/>
          <w:position w:val="0"/>
          <w:shd w:val="clear" w:color="auto" w:fill="auto"/>
          <w:lang w:val="cs-CZ" w:eastAsia="cs-CZ" w:bidi="cs-CZ"/>
        </w:rPr>
        <w:t>Cena díla bude hrazena na základě konečné faktury, kterou bude provedeno vyúčtování po řádném a úplném dokončení, předání a převzetí díla bez vad a nedodělků. Fakturu je zhotovitel povinen prokazatelně doručit objednateli nejpozději do 10 kalendářních dnů ode dne uskutečnění plnění.</w:t>
      </w:r>
    </w:p>
    <w:p>
      <w:pPr>
        <w:pStyle w:val="Style2"/>
        <w:keepNext w:val="0"/>
        <w:keepLines w:val="0"/>
        <w:widowControl w:val="0"/>
        <w:numPr>
          <w:ilvl w:val="0"/>
          <w:numId w:val="11"/>
        </w:numPr>
        <w:shd w:val="clear" w:color="auto" w:fill="auto"/>
        <w:tabs>
          <w:tab w:pos="379" w:val="left"/>
        </w:tabs>
        <w:bidi w:val="0"/>
        <w:spacing w:before="0" w:after="240" w:line="240" w:lineRule="auto"/>
        <w:ind w:left="300" w:right="0" w:hanging="300"/>
        <w:jc w:val="both"/>
      </w:pPr>
      <w:bookmarkStart w:id="29" w:name="bookmark29"/>
      <w:bookmarkEnd w:id="29"/>
      <w:r>
        <w:rPr>
          <w:color w:val="000000"/>
          <w:spacing w:val="0"/>
          <w:w w:val="100"/>
          <w:position w:val="0"/>
          <w:shd w:val="clear" w:color="auto" w:fill="auto"/>
          <w:lang w:val="cs-CZ" w:eastAsia="cs-CZ" w:bidi="cs-CZ"/>
        </w:rPr>
        <w:t>Datem uskutečnění zdanitelného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79" w:val="left"/>
        </w:tabs>
        <w:bidi w:val="0"/>
        <w:spacing w:before="0" w:after="0" w:line="240" w:lineRule="auto"/>
        <w:ind w:left="300" w:right="0" w:hanging="300"/>
        <w:jc w:val="both"/>
      </w:pPr>
      <w:bookmarkStart w:id="30" w:name="bookmark30"/>
      <w:bookmarkEnd w:id="30"/>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 xml:space="preserve">Předat fakturu lze i elektronicky na adresu: </w:t>
      </w:r>
      <w:r>
        <w:fldChar w:fldCharType="begin"/>
      </w:r>
      <w:r>
        <w:rPr/>
        <w:instrText> HYPERLINK "mailto:faktury-pr@poh.cz"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31" w:name="bookmark31"/>
      <w:bookmarkEnd w:id="3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1,5násobku částky, která bude správcem daně vyměřena objednateli jako sankce.</w:t>
      </w:r>
    </w:p>
    <w:p>
      <w:pPr>
        <w:pStyle w:val="Style2"/>
        <w:keepNext w:val="0"/>
        <w:keepLines w:val="0"/>
        <w:widowControl w:val="0"/>
        <w:numPr>
          <w:ilvl w:val="0"/>
          <w:numId w:val="11"/>
        </w:numPr>
        <w:shd w:val="clear" w:color="auto" w:fill="auto"/>
        <w:tabs>
          <w:tab w:pos="382" w:val="left"/>
        </w:tabs>
        <w:bidi w:val="0"/>
        <w:spacing w:before="0" w:line="240" w:lineRule="auto"/>
        <w:ind w:left="0" w:right="0" w:firstLine="0"/>
        <w:jc w:val="both"/>
      </w:pPr>
      <w:bookmarkStart w:id="32" w:name="bookmark32"/>
      <w:bookmarkEnd w:id="32"/>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33" w:name="bookmark33"/>
      <w:bookmarkEnd w:id="3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SANKCE</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34" w:name="bookmark34"/>
      <w:bookmarkEnd w:id="34"/>
      <w:r>
        <w:rPr>
          <w:color w:val="000000"/>
          <w:spacing w:val="0"/>
          <w:w w:val="100"/>
          <w:position w:val="0"/>
          <w:shd w:val="clear" w:color="auto" w:fill="auto"/>
          <w:lang w:val="cs-CZ" w:eastAsia="cs-CZ" w:bidi="cs-CZ"/>
        </w:rPr>
        <w:t>Pokud bude zhotovitel v prodlení proti termínu předání a převzetí dokončeného díla sjednaného dle čl. IV. odst. 1. písm. c) této smlouvy, je povinen zaplatit objednateli smluvní pokutu ve výši 0,2 % z ceny díla bez DPH dle čl. V.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35" w:name="bookmark35"/>
      <w:bookmarkEnd w:id="35"/>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13"/>
        </w:numPr>
        <w:shd w:val="clear" w:color="auto" w:fill="auto"/>
        <w:tabs>
          <w:tab w:pos="382" w:val="left"/>
        </w:tabs>
        <w:bidi w:val="0"/>
        <w:spacing w:before="0" w:after="0" w:line="240" w:lineRule="auto"/>
        <w:ind w:left="0" w:right="0" w:firstLine="0"/>
        <w:jc w:val="both"/>
      </w:pPr>
      <w:bookmarkStart w:id="36" w:name="bookmark36"/>
      <w:bookmarkEnd w:id="36"/>
      <w:r>
        <w:rPr>
          <w:color w:val="000000"/>
          <w:spacing w:val="0"/>
          <w:w w:val="100"/>
          <w:position w:val="0"/>
          <w:shd w:val="clear" w:color="auto" w:fill="auto"/>
          <w:lang w:val="cs-CZ" w:eastAsia="cs-CZ" w:bidi="cs-CZ"/>
        </w:rPr>
        <w:t>Sankce za porušení předpisů bezpečnosti a ochrany zdraví při práci (BOZP).</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37" w:name="bookmark37"/>
      <w:bookmarkEnd w:id="37"/>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38" w:name="bookmark38"/>
      <w:bookmarkEnd w:id="38"/>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39" w:name="bookmark39"/>
      <w:bookmarkEnd w:id="39"/>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40" w:name="bookmark40"/>
      <w:bookmarkEnd w:id="40"/>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382" w:val="left"/>
        </w:tabs>
        <w:bidi w:val="0"/>
        <w:spacing w:before="0" w:after="700" w:line="240" w:lineRule="auto"/>
        <w:ind w:left="380" w:right="0" w:hanging="380"/>
        <w:jc w:val="both"/>
      </w:pPr>
      <w:bookmarkStart w:id="41" w:name="bookmark41"/>
      <w:bookmarkEnd w:id="41"/>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ZAJIŠTĚNÍ ZÁVAZKU</w:t>
      </w:r>
    </w:p>
    <w:p>
      <w:pPr>
        <w:pStyle w:val="Style2"/>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42" w:name="bookmark42"/>
      <w:bookmarkEnd w:id="42"/>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5"/>
        </w:numPr>
        <w:shd w:val="clear" w:color="auto" w:fill="auto"/>
        <w:tabs>
          <w:tab w:pos="382" w:val="left"/>
        </w:tabs>
        <w:bidi w:val="0"/>
        <w:spacing w:before="0" w:after="0" w:line="240" w:lineRule="auto"/>
        <w:ind w:left="380" w:right="0" w:hanging="380"/>
        <w:jc w:val="both"/>
      </w:pPr>
      <w:bookmarkStart w:id="43" w:name="bookmark43"/>
      <w:bookmarkEnd w:id="43"/>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NÁHRADA ŠKODY</w:t>
      </w:r>
    </w:p>
    <w:p>
      <w:pPr>
        <w:pStyle w:val="Style2"/>
        <w:keepNext w:val="0"/>
        <w:keepLines w:val="0"/>
        <w:widowControl w:val="0"/>
        <w:numPr>
          <w:ilvl w:val="0"/>
          <w:numId w:val="17"/>
        </w:numPr>
        <w:shd w:val="clear" w:color="auto" w:fill="auto"/>
        <w:tabs>
          <w:tab w:pos="359" w:val="left"/>
        </w:tabs>
        <w:bidi w:val="0"/>
        <w:spacing w:before="0" w:line="240" w:lineRule="auto"/>
        <w:ind w:left="380" w:right="0" w:hanging="380"/>
        <w:jc w:val="both"/>
      </w:pPr>
      <w:bookmarkStart w:id="44" w:name="bookmark44"/>
      <w:bookmarkEnd w:id="4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7"/>
        </w:numPr>
        <w:shd w:val="clear" w:color="auto" w:fill="auto"/>
        <w:tabs>
          <w:tab w:pos="362" w:val="left"/>
        </w:tabs>
        <w:bidi w:val="0"/>
        <w:spacing w:before="0" w:after="440" w:line="240" w:lineRule="auto"/>
        <w:ind w:left="380" w:right="0" w:hanging="380"/>
        <w:jc w:val="both"/>
      </w:pPr>
      <w:bookmarkStart w:id="45" w:name="bookmark45"/>
      <w:bookmarkEnd w:id="45"/>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line="240" w:lineRule="auto"/>
        <w:ind w:left="0" w:right="0" w:firstLine="0"/>
        <w:jc w:val="center"/>
        <w:rPr>
          <w:sz w:val="24"/>
          <w:szCs w:val="24"/>
        </w:rPr>
      </w:pPr>
      <w:r>
        <w:rPr>
          <w:b/>
          <w:bCs/>
          <w:color w:val="000000"/>
          <w:spacing w:val="0"/>
          <w:w w:val="100"/>
          <w:position w:val="0"/>
          <w:sz w:val="22"/>
          <w:szCs w:val="22"/>
          <w:shd w:val="clear" w:color="auto" w:fill="auto"/>
          <w:lang w:val="cs-CZ" w:eastAsia="cs-CZ" w:bidi="cs-CZ"/>
        </w:rPr>
        <w:t xml:space="preserve">Čl. X. </w:t>
      </w:r>
      <w:r>
        <w:rPr>
          <w:b/>
          <w:bCs/>
          <w:color w:val="000000"/>
          <w:spacing w:val="0"/>
          <w:w w:val="100"/>
          <w:position w:val="0"/>
          <w:sz w:val="24"/>
          <w:szCs w:val="24"/>
          <w:shd w:val="clear" w:color="auto" w:fill="auto"/>
          <w:lang w:val="cs-CZ" w:eastAsia="cs-CZ" w:bidi="cs-CZ"/>
        </w:rPr>
        <w:t>LICENČNÍ PODMÍNKY</w:t>
      </w:r>
    </w:p>
    <w:p>
      <w:pPr>
        <w:pStyle w:val="Style18"/>
        <w:keepNext/>
        <w:keepLines/>
        <w:widowControl w:val="0"/>
        <w:numPr>
          <w:ilvl w:val="0"/>
          <w:numId w:val="19"/>
        </w:numPr>
        <w:shd w:val="clear" w:color="auto" w:fill="auto"/>
        <w:tabs>
          <w:tab w:pos="362" w:val="left"/>
        </w:tabs>
        <w:bidi w:val="0"/>
        <w:spacing w:before="0" w:after="300" w:line="240" w:lineRule="auto"/>
        <w:ind w:right="0"/>
        <w:jc w:val="both"/>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bookmarkEnd w:id="46"/>
      <w:bookmarkEnd w:id="47"/>
      <w:bookmarkEnd w:id="49"/>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XI. OSTATNÍ USTANOVENÍ</w:t>
      </w:r>
    </w:p>
    <w:p>
      <w:pPr>
        <w:pStyle w:val="Style18"/>
        <w:keepNext/>
        <w:keepLines/>
        <w:widowControl w:val="0"/>
        <w:numPr>
          <w:ilvl w:val="0"/>
          <w:numId w:val="21"/>
        </w:numPr>
        <w:shd w:val="clear" w:color="auto" w:fill="auto"/>
        <w:tabs>
          <w:tab w:pos="362" w:val="left"/>
        </w:tabs>
        <w:bidi w:val="0"/>
        <w:spacing w:before="0" w:line="240" w:lineRule="auto"/>
        <w:ind w:right="0"/>
        <w:jc w:val="both"/>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bookmarkEnd w:id="50"/>
      <w:bookmarkEnd w:id="51"/>
      <w:bookmarkEnd w:id="53"/>
    </w:p>
    <w:p>
      <w:pPr>
        <w:pStyle w:val="Style18"/>
        <w:keepNext/>
        <w:keepLines/>
        <w:widowControl w:val="0"/>
        <w:numPr>
          <w:ilvl w:val="0"/>
          <w:numId w:val="21"/>
        </w:numPr>
        <w:shd w:val="clear" w:color="auto" w:fill="auto"/>
        <w:tabs>
          <w:tab w:pos="362" w:val="left"/>
        </w:tabs>
        <w:bidi w:val="0"/>
        <w:spacing w:before="0" w:after="240" w:line="240" w:lineRule="auto"/>
        <w:ind w:right="0"/>
        <w:jc w:val="both"/>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bookmarkEnd w:id="54"/>
      <w:bookmarkEnd w:id="55"/>
      <w:bookmarkEnd w:id="57"/>
    </w:p>
    <w:p>
      <w:pPr>
        <w:pStyle w:val="Style18"/>
        <w:keepNext/>
        <w:keepLines/>
        <w:widowControl w:val="0"/>
        <w:numPr>
          <w:ilvl w:val="0"/>
          <w:numId w:val="21"/>
        </w:numPr>
        <w:shd w:val="clear" w:color="auto" w:fill="auto"/>
        <w:tabs>
          <w:tab w:pos="362" w:val="left"/>
        </w:tabs>
        <w:bidi w:val="0"/>
        <w:spacing w:before="0" w:line="240" w:lineRule="auto"/>
        <w:ind w:right="0"/>
        <w:jc w:val="both"/>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w:t>
      </w:r>
      <w:bookmarkEnd w:id="58"/>
      <w:bookmarkEnd w:id="59"/>
      <w:bookmarkEnd w:id="61"/>
    </w:p>
    <w:p>
      <w:pPr>
        <w:pStyle w:val="Style18"/>
        <w:keepNext/>
        <w:keepLines/>
        <w:widowControl w:val="0"/>
        <w:numPr>
          <w:ilvl w:val="0"/>
          <w:numId w:val="21"/>
        </w:numPr>
        <w:shd w:val="clear" w:color="auto" w:fill="auto"/>
        <w:tabs>
          <w:tab w:pos="362" w:val="left"/>
        </w:tabs>
        <w:bidi w:val="0"/>
        <w:spacing w:before="0" w:line="240" w:lineRule="auto"/>
        <w:ind w:right="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bookmarkEnd w:id="62"/>
      <w:bookmarkEnd w:id="63"/>
      <w:bookmarkEnd w:id="65"/>
    </w:p>
    <w:p>
      <w:pPr>
        <w:pStyle w:val="Style18"/>
        <w:keepNext/>
        <w:keepLines/>
        <w:widowControl w:val="0"/>
        <w:numPr>
          <w:ilvl w:val="0"/>
          <w:numId w:val="21"/>
        </w:numPr>
        <w:shd w:val="clear" w:color="auto" w:fill="auto"/>
        <w:tabs>
          <w:tab w:pos="362" w:val="left"/>
        </w:tabs>
        <w:bidi w:val="0"/>
        <w:spacing w:before="0" w:line="240" w:lineRule="auto"/>
        <w:ind w:right="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bookmarkEnd w:id="66"/>
      <w:bookmarkEnd w:id="67"/>
      <w:bookmarkEnd w:id="69"/>
    </w:p>
    <w:p>
      <w:pPr>
        <w:pStyle w:val="Style2"/>
        <w:keepNext w:val="0"/>
        <w:keepLines w:val="0"/>
        <w:widowControl w:val="0"/>
        <w:shd w:val="clear" w:color="auto" w:fill="auto"/>
        <w:bidi w:val="0"/>
        <w:spacing w:before="0" w:after="440" w:line="240" w:lineRule="auto"/>
        <w:ind w:left="380" w:right="0" w:hanging="380"/>
        <w:jc w:val="both"/>
      </w:pP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Zhotovitel provede dohodnutou činnost na své nebezpečí a je povinen dodržovat všechny předpisy BOZP, požární ochrany a zákoníku práce (vše v platném znění), a to jak obecně platnými, tak souvisejícími s prováděnou činností v prostorách objednatele. Je odpovědný za škody vzniklé v důsledku nedodržování těchto předpisů.</w:t>
      </w:r>
    </w:p>
    <w:p>
      <w:pPr>
        <w:pStyle w:val="Style18"/>
        <w:keepNext/>
        <w:keepLines/>
        <w:widowControl w:val="0"/>
        <w:shd w:val="clear" w:color="auto" w:fill="auto"/>
        <w:bidi w:val="0"/>
        <w:spacing w:before="0" w:after="300" w:line="240" w:lineRule="auto"/>
        <w:ind w:left="0" w:right="0" w:firstLine="0"/>
        <w:jc w:val="center"/>
      </w:pPr>
      <w:bookmarkStart w:id="70" w:name="bookmark70"/>
      <w:bookmarkStart w:id="71" w:name="bookmark71"/>
      <w:bookmarkStart w:id="72" w:name="bookmark72"/>
      <w:r>
        <w:rPr>
          <w:b/>
          <w:bCs/>
          <w:color w:val="000000"/>
          <w:spacing w:val="0"/>
          <w:w w:val="100"/>
          <w:position w:val="0"/>
          <w:shd w:val="clear" w:color="auto" w:fill="auto"/>
          <w:lang w:val="cs-CZ" w:eastAsia="cs-CZ" w:bidi="cs-CZ"/>
        </w:rPr>
        <w:t>Čl. X II . ZÁVĚREČNÁ USTANOVEN Í</w:t>
      </w:r>
      <w:bookmarkEnd w:id="70"/>
      <w:bookmarkEnd w:id="71"/>
      <w:bookmarkEnd w:id="72"/>
    </w:p>
    <w:p>
      <w:pPr>
        <w:pStyle w:val="Style2"/>
        <w:keepNext w:val="0"/>
        <w:keepLines w:val="0"/>
        <w:widowControl w:val="0"/>
        <w:numPr>
          <w:ilvl w:val="0"/>
          <w:numId w:val="23"/>
        </w:numPr>
        <w:shd w:val="clear" w:color="auto" w:fill="auto"/>
        <w:tabs>
          <w:tab w:pos="362" w:val="left"/>
        </w:tabs>
        <w:bidi w:val="0"/>
        <w:spacing w:before="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62"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62"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8"/>
        <w:keepNext/>
        <w:keepLines/>
        <w:widowControl w:val="0"/>
        <w:numPr>
          <w:ilvl w:val="0"/>
          <w:numId w:val="25"/>
        </w:numPr>
        <w:shd w:val="clear" w:color="auto" w:fill="auto"/>
        <w:tabs>
          <w:tab w:pos="1179" w:val="left"/>
        </w:tabs>
        <w:bidi w:val="0"/>
        <w:spacing w:before="0" w:after="0" w:line="240" w:lineRule="auto"/>
        <w:ind w:left="1160" w:right="0" w:hanging="36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prodlení zhotovitele o více než 30 kalendářních dnů oproti lhůtám a termínům ujednaných v čl. IV. odst. 1 této smlouvy,</w:t>
      </w:r>
      <w:bookmarkEnd w:id="76"/>
      <w:bookmarkEnd w:id="77"/>
      <w:bookmarkEnd w:id="79"/>
    </w:p>
    <w:p>
      <w:pPr>
        <w:pStyle w:val="Style18"/>
        <w:keepNext/>
        <w:keepLines/>
        <w:widowControl w:val="0"/>
        <w:numPr>
          <w:ilvl w:val="0"/>
          <w:numId w:val="25"/>
        </w:numPr>
        <w:shd w:val="clear" w:color="auto" w:fill="auto"/>
        <w:tabs>
          <w:tab w:pos="1179" w:val="left"/>
        </w:tabs>
        <w:bidi w:val="0"/>
        <w:spacing w:before="0" w:after="60" w:line="240" w:lineRule="auto"/>
        <w:ind w:left="0" w:right="0" w:firstLine="80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bezdůvodném přerušení prací zhotovitelem, které trvá více než 30 dnů.</w:t>
      </w:r>
      <w:bookmarkEnd w:id="80"/>
      <w:bookmarkEnd w:id="81"/>
      <w:bookmarkEnd w:id="83"/>
    </w:p>
    <w:p>
      <w:pPr>
        <w:pStyle w:val="Style18"/>
        <w:keepNext/>
        <w:keepLines/>
        <w:widowControl w:val="0"/>
        <w:numPr>
          <w:ilvl w:val="0"/>
          <w:numId w:val="23"/>
        </w:numPr>
        <w:shd w:val="clear" w:color="auto" w:fill="auto"/>
        <w:tabs>
          <w:tab w:pos="359" w:val="left"/>
        </w:tabs>
        <w:bidi w:val="0"/>
        <w:spacing w:before="0" w:line="240" w:lineRule="auto"/>
        <w:ind w:right="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Práce nad rámec zadání, budou oboustranně odsouhlaseny a budou předmětem dodatku k této smlouvě.</w:t>
      </w:r>
      <w:bookmarkEnd w:id="84"/>
      <w:bookmarkEnd w:id="85"/>
      <w:bookmarkEnd w:id="87"/>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9" w:val="left"/>
        </w:tabs>
        <w:bidi w:val="0"/>
        <w:spacing w:before="0" w:after="6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9" w:val="left"/>
        </w:tabs>
        <w:bidi w:val="0"/>
        <w:spacing w:before="0" w:after="0" w:line="240" w:lineRule="auto"/>
        <w:ind w:left="0" w:right="0" w:firstLine="0"/>
        <w:jc w:val="both"/>
      </w:pPr>
      <w:bookmarkStart w:id="92" w:name="bookmark92"/>
      <w:bookmarkEnd w:id="92"/>
      <w:r>
        <w:rPr>
          <w:color w:val="000000"/>
          <w:spacing w:val="0"/>
          <w:w w:val="100"/>
          <w:position w:val="0"/>
          <w:shd w:val="clear" w:color="auto" w:fill="auto"/>
          <w:lang w:val="cs-CZ" w:eastAsia="cs-CZ" w:bidi="cs-CZ"/>
        </w:rPr>
        <w:t>Zhotovitel prohlašuje, že se seznámil se zásadami, hodnotami a cíli Compliance programu</w:t>
      </w:r>
    </w:p>
    <w:p>
      <w:pPr>
        <w:pStyle w:val="Style2"/>
        <w:keepNext w:val="0"/>
        <w:keepLines w:val="0"/>
        <w:widowControl w:val="0"/>
        <w:shd w:val="clear" w:color="auto" w:fill="auto"/>
        <w:tabs>
          <w:tab w:pos="3505" w:val="left"/>
          <w:tab w:pos="6505" w:val="left"/>
          <w:tab w:pos="9308"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5" w:val="left"/>
        </w:tabs>
        <w:bidi w:val="0"/>
        <w:spacing w:before="0" w:after="6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5" w:val="left"/>
        </w:tabs>
        <w:bidi w:val="0"/>
        <w:spacing w:before="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jsou uvedeny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5" w:val="left"/>
        </w:tabs>
        <w:bidi w:val="0"/>
        <w:spacing w:before="0" w:after="30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5"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r>
        <w:br w:type="page"/>
      </w:r>
    </w:p>
    <w:p>
      <w:pPr>
        <w:pStyle w:val="Style2"/>
        <w:keepNext w:val="0"/>
        <w:keepLines w:val="0"/>
        <w:widowControl w:val="0"/>
        <w:numPr>
          <w:ilvl w:val="0"/>
          <w:numId w:val="23"/>
        </w:numPr>
        <w:shd w:val="clear" w:color="auto" w:fill="auto"/>
        <w:tabs>
          <w:tab w:pos="502" w:val="left"/>
        </w:tabs>
        <w:bidi w:val="0"/>
        <w:spacing w:before="0" w:after="520" w:line="240" w:lineRule="auto"/>
        <w:ind w:left="380" w:right="0" w:hanging="380"/>
        <w:jc w:val="left"/>
      </w:pPr>
      <w:bookmarkStart w:id="97" w:name="bookmark97"/>
      <w:bookmarkEnd w:id="9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63" w:left="1109" w:right="1103" w:bottom="1324" w:header="635" w:footer="3" w:gutter="0"/>
          <w:pgNumType w:start="1"/>
          <w:cols w:space="720"/>
          <w:noEndnote/>
          <w:rtlGutter w:val="0"/>
          <w:docGrid w:linePitch="360"/>
        </w:sectPr>
      </w:pPr>
      <w:r>
        <w:rPr>
          <w:color w:val="000000"/>
          <w:spacing w:val="0"/>
          <w:w w:val="100"/>
          <w:position w:val="0"/>
          <w:shd w:val="clear" w:color="auto" w:fill="auto"/>
          <w:lang w:val="cs-CZ" w:eastAsia="cs-CZ" w:bidi="cs-CZ"/>
        </w:rPr>
        <w:t>Priorita 2) Příloha č. 1: N</w:t>
      </w:r>
      <w:r>
        <w:rPr>
          <w:color w:val="000000"/>
          <w:spacing w:val="0"/>
          <w:w w:val="100"/>
          <w:position w:val="0"/>
          <w:sz w:val="24"/>
          <w:szCs w:val="24"/>
          <w:shd w:val="clear" w:color="auto" w:fill="auto"/>
          <w:lang w:val="cs-CZ" w:eastAsia="cs-CZ" w:bidi="cs-CZ"/>
        </w:rPr>
        <w:t xml:space="preserve">abídka: </w:t>
      </w:r>
      <w:r>
        <w:rPr>
          <w:color w:val="000000"/>
          <w:spacing w:val="0"/>
          <w:w w:val="100"/>
          <w:position w:val="0"/>
          <w:shd w:val="clear" w:color="auto" w:fill="auto"/>
          <w:lang w:val="cs-CZ" w:eastAsia="cs-CZ" w:bidi="cs-CZ"/>
        </w:rPr>
        <w:t>„VD Nechranice – mapování spár návodního líce v roce 2025“</w:t>
      </w:r>
    </w:p>
    <w:p>
      <w:pPr>
        <w:widowControl w:val="0"/>
        <w:spacing w:line="192" w:lineRule="exact"/>
        <w:rPr>
          <w:sz w:val="15"/>
          <w:szCs w:val="15"/>
        </w:rPr>
      </w:pPr>
    </w:p>
    <w:p>
      <w:pPr>
        <w:widowControl w:val="0"/>
        <w:spacing w:line="1" w:lineRule="exact"/>
        <w:sectPr>
          <w:footnotePr>
            <w:pos w:val="pageBottom"/>
            <w:numFmt w:val="decimal"/>
            <w:numRestart w:val="continuous"/>
          </w:footnotePr>
          <w:type w:val="continuous"/>
          <w:pgSz w:w="11909" w:h="16838"/>
          <w:pgMar w:top="1195" w:left="0" w:right="0" w:bottom="9697"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2"/>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95" w:left="1111" w:right="2061" w:bottom="9697" w:header="0" w:footer="3" w:gutter="0"/>
          <w:cols w:num="2" w:space="720" w:equalWidth="0">
            <w:col w:w="3230" w:space="1810"/>
            <w:col w:w="3696"/>
          </w:cols>
          <w:noEndnote/>
          <w:rtlGutter w:val="0"/>
          <w:docGrid w:linePitch="360"/>
        </w:sectPr>
      </w:pPr>
      <w:r>
        <w:rPr>
          <w:color w:val="000000"/>
          <w:spacing w:val="0"/>
          <w:w w:val="100"/>
          <w:position w:val="0"/>
          <w:shd w:val="clear" w:color="auto" w:fill="auto"/>
          <w:lang w:val="cs-CZ" w:eastAsia="cs-CZ" w:bidi="cs-CZ"/>
        </w:rPr>
        <w:t>V Ústí nad Labem dne ……………….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7" w:after="107"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95" w:left="0" w:right="0" w:bottom="1243"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3909060</wp:posOffset>
                </wp:positionH>
                <wp:positionV relativeFrom="paragraph">
                  <wp:posOffset>12700</wp:posOffset>
                </wp:positionV>
                <wp:extent cx="984250" cy="225425"/>
                <wp:wrapSquare wrapText="bothSides"/>
                <wp:docPr id="7" name="Shape 7"/>
                <a:graphic xmlns:a="http://schemas.openxmlformats.org/drawingml/2006/main">
                  <a:graphicData uri="http://schemas.microsoft.com/office/word/2010/wordprocessingShape">
                    <wps:wsp>
                      <wps:cNvSpPr txBox="1"/>
                      <wps:spPr>
                        <a:xfrm>
                          <a:ext cx="98425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EASYmap, a.s.</w:t>
                            </w:r>
                          </w:p>
                        </w:txbxContent>
                      </wps:txbx>
                      <wps:bodyPr wrap="none" lIns="0" tIns="0" rIns="0" bIns="0">
                        <a:noAutoFit/>
                      </wps:bodyPr>
                    </wps:wsp>
                  </a:graphicData>
                </a:graphic>
              </wp:anchor>
            </w:drawing>
          </mc:Choice>
          <mc:Fallback>
            <w:pict>
              <v:shape id="_x0000_s1033" type="#_x0000_t202" style="position:absolute;margin-left:307.80000000000001pt;margin-top:1.pt;width:77.5pt;height:17.75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EASYmap, a.s.</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195" w:left="1111" w:right="5757" w:bottom="124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5866130</wp:posOffset>
              </wp:positionH>
              <wp:positionV relativeFrom="page">
                <wp:posOffset>9914890</wp:posOffset>
              </wp:positionV>
              <wp:extent cx="798830" cy="210185"/>
              <wp:wrapNone/>
              <wp:docPr id="5" name="Shape 5"/>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wps:txbx>
                    <wps:bodyPr wrap="none" lIns="0" tIns="0" rIns="0" bIns="0">
                      <a:spAutoFit/>
                    </wps:bodyPr>
                  </wps:wsp>
                </a:graphicData>
              </a:graphic>
            </wp:anchor>
          </w:drawing>
        </mc:Choice>
        <mc:Fallback>
          <w:pict>
            <v:shape id="_x0000_s1031" type="#_x0000_t202" style="position:absolute;margin-left:461.90000000000003pt;margin-top:780.70000000000005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80"/>
      <w:ind w:left="380" w:hanging="38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