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2F08" w14:textId="77777777"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14:paraId="6C4F1986" w14:textId="77777777"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14:paraId="31931EC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14:paraId="741127FC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14:paraId="5137F15F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 xml:space="preserve">Na </w:t>
      </w:r>
      <w:proofErr w:type="spellStart"/>
      <w:r w:rsidRPr="005C0D82">
        <w:rPr>
          <w:rFonts w:ascii="Calibri" w:hAnsi="Calibri" w:cs="Calibri"/>
        </w:rPr>
        <w:t>Maninách</w:t>
      </w:r>
      <w:proofErr w:type="spellEnd"/>
      <w:r w:rsidRPr="005C0D82">
        <w:rPr>
          <w:rFonts w:ascii="Calibri" w:hAnsi="Calibri" w:cs="Calibri"/>
        </w:rPr>
        <w:t xml:space="preserve"> 1092/20, 170 00 Praha 7</w:t>
      </w:r>
    </w:p>
    <w:p w14:paraId="6A33A90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14:paraId="5AE8FB89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  <w:t xml:space="preserve">Radek </w:t>
      </w:r>
      <w:proofErr w:type="spellStart"/>
      <w:r w:rsidRPr="005C0D82">
        <w:rPr>
          <w:rFonts w:ascii="Calibri" w:hAnsi="Calibri" w:cs="Calibri"/>
        </w:rPr>
        <w:t>Schich</w:t>
      </w:r>
      <w:proofErr w:type="spellEnd"/>
      <w:r w:rsidRPr="005C0D82">
        <w:rPr>
          <w:rFonts w:ascii="Calibri" w:hAnsi="Calibri" w:cs="Calibri"/>
        </w:rPr>
        <w:t>, ředitel</w:t>
      </w:r>
    </w:p>
    <w:p w14:paraId="3706B03B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14:paraId="16A38BC5" w14:textId="2C0AFDB0" w:rsidR="00145348" w:rsidRPr="000C7E85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bookmarkEnd w:id="1"/>
      <w:r w:rsidR="000C7E85" w:rsidRPr="000C7E85">
        <w:rPr>
          <w:rFonts w:ascii="Calibri" w:hAnsi="Calibri" w:cs="Calibri"/>
          <w:b/>
        </w:rPr>
        <w:t>Základní škola, Praha 4, Pošepného náměstí 2022</w:t>
      </w:r>
    </w:p>
    <w:p w14:paraId="1B35D138" w14:textId="64E1D935" w:rsidR="00145348" w:rsidRPr="000C7E85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0C7E85">
        <w:rPr>
          <w:rFonts w:ascii="Calibri" w:hAnsi="Calibri" w:cs="Calibri"/>
        </w:rPr>
        <w:t>IČ:</w:t>
      </w:r>
      <w:r w:rsidRPr="000C7E85">
        <w:rPr>
          <w:rFonts w:ascii="Calibri" w:hAnsi="Calibri" w:cs="Calibri"/>
        </w:rPr>
        <w:tab/>
      </w:r>
      <w:r w:rsidR="000C7E85" w:rsidRPr="000C7E85">
        <w:rPr>
          <w:rFonts w:ascii="Calibri" w:hAnsi="Calibri" w:cs="Calibri"/>
        </w:rPr>
        <w:t>61388432</w:t>
      </w:r>
    </w:p>
    <w:p w14:paraId="1961905E" w14:textId="77777777" w:rsidR="000C7E85" w:rsidRPr="000C7E85" w:rsidRDefault="00145348" w:rsidP="000C7E85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0C7E85">
        <w:rPr>
          <w:rFonts w:ascii="Calibri" w:hAnsi="Calibri" w:cs="Calibri"/>
        </w:rPr>
        <w:t>Sídlo:</w:t>
      </w:r>
      <w:r w:rsidRPr="000C7E85">
        <w:rPr>
          <w:rFonts w:ascii="Calibri" w:hAnsi="Calibri" w:cs="Calibri"/>
        </w:rPr>
        <w:tab/>
      </w:r>
      <w:r w:rsidR="000C7E85" w:rsidRPr="000C7E85">
        <w:rPr>
          <w:rFonts w:ascii="Calibri" w:hAnsi="Calibri" w:cs="Calibri"/>
        </w:rPr>
        <w:t>Pošepného náměstí 2022, 148 00 Praha 4 – Chodov</w:t>
      </w:r>
    </w:p>
    <w:p w14:paraId="0542C03F" w14:textId="20FCB2BC" w:rsidR="000C7E85" w:rsidRPr="000C7E85" w:rsidRDefault="000C7E85" w:rsidP="000C7E85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0C7E85">
        <w:rPr>
          <w:rFonts w:ascii="Calibri" w:hAnsi="Calibri" w:cs="Calibri"/>
        </w:rPr>
        <w:t xml:space="preserve">Základní škola byla zapsána do Rejstříku škol a školských zařízení 6. 10. 2005 (datum zahájení činnosti 1. 9. 1987). </w:t>
      </w:r>
    </w:p>
    <w:p w14:paraId="1F8227C7" w14:textId="6117123E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0C7E85">
        <w:rPr>
          <w:rFonts w:ascii="Calibri" w:hAnsi="Calibri" w:cs="Calibri"/>
        </w:rPr>
        <w:t>zastoupení:</w:t>
      </w:r>
      <w:r w:rsidRPr="000C7E85">
        <w:rPr>
          <w:rFonts w:ascii="Calibri" w:hAnsi="Calibri" w:cs="Calibri"/>
        </w:rPr>
        <w:tab/>
      </w:r>
      <w:r w:rsidR="000C7E85" w:rsidRPr="000C7E85">
        <w:rPr>
          <w:rFonts w:ascii="Calibri" w:hAnsi="Calibri" w:cs="Calibri"/>
        </w:rPr>
        <w:t xml:space="preserve">Mgr. Daniela Pořízková, ředitelka </w:t>
      </w:r>
    </w:p>
    <w:p w14:paraId="5F3CB005" w14:textId="77777777"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14:paraId="5837A5A4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14:paraId="69DA756B" w14:textId="51412BD1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 w:rsidRPr="005C0D82">
        <w:rPr>
          <w:rFonts w:ascii="Calibri" w:hAnsi="Calibri" w:cs="Calibri"/>
        </w:rPr>
        <w:t>Association</w:t>
      </w:r>
      <w:proofErr w:type="spellEnd"/>
      <w:r w:rsidRPr="005C0D82">
        <w:rPr>
          <w:rFonts w:ascii="Calibri" w:hAnsi="Calibri" w:cs="Calibri"/>
        </w:rPr>
        <w:t xml:space="preserve"> mezinárodní uznání statusu studenta/žáka a výhod v přibližně 130 zemích světa.</w:t>
      </w:r>
    </w:p>
    <w:p w14:paraId="7CD778D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14:paraId="7143AA5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14:paraId="655AB768" w14:textId="77777777"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14:paraId="643B0E3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14:paraId="489D0A01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14:paraId="4B95A0C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14:paraId="4645D905" w14:textId="49949476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00A36FC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14:paraId="190412C4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lastRenderedPageBreak/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14:paraId="4DC2636D" w14:textId="77777777"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Práva a povinnosti smluvních stran</w:t>
      </w:r>
    </w:p>
    <w:p w14:paraId="356D189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14:paraId="3554A04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14:paraId="0A95E50B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14:paraId="33808647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14:paraId="64AC1CDF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14:paraId="39DC7100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14:paraId="546CEDD1" w14:textId="77777777"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14:paraId="71EC6043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14:paraId="1435D56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14:paraId="70490CB6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14:paraId="3D798DB7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14:paraId="7B3E7906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14:paraId="26B5C953" w14:textId="77777777"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14:paraId="456F36E9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14:paraId="569A676E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obdržela jedno vyhotovení od každé přílohy a že se se všemi přílohami a podmínkami této Smlouvy se před jejím podpisem seznámila, s obsahem příloh a Smlouvy souhlasí a zavazuje se je dodržovat.</w:t>
      </w:r>
    </w:p>
    <w:p w14:paraId="246CB905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14:paraId="7A02B57A" w14:textId="77777777"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145348" w:rsidRPr="005C0D82" w14:paraId="004F361F" w14:textId="77777777" w:rsidTr="00BA4580">
        <w:trPr>
          <w:trHeight w:val="193"/>
        </w:trPr>
        <w:tc>
          <w:tcPr>
            <w:tcW w:w="4801" w:type="dxa"/>
          </w:tcPr>
          <w:p w14:paraId="6120D0DE" w14:textId="77777777" w:rsidR="009F031B" w:rsidRPr="009F031B" w:rsidRDefault="009F031B" w:rsidP="00BA4580">
            <w:pPr>
              <w:jc w:val="both"/>
              <w:rPr>
                <w:rFonts w:cs="Calibri"/>
              </w:rPr>
            </w:pPr>
          </w:p>
          <w:p w14:paraId="6F87DBAA" w14:textId="79CDD33B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 Praze dne</w:t>
            </w:r>
            <w:r w:rsidR="00364D6B">
              <w:rPr>
                <w:rFonts w:cs="Calibri"/>
              </w:rPr>
              <w:t xml:space="preserve"> 3. 3. 2025</w:t>
            </w:r>
            <w:bookmarkStart w:id="2" w:name="_GoBack"/>
            <w:bookmarkEnd w:id="2"/>
          </w:p>
        </w:tc>
        <w:tc>
          <w:tcPr>
            <w:tcW w:w="4801" w:type="dxa"/>
          </w:tcPr>
          <w:p w14:paraId="4A03007E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7036C5CD" w14:textId="5C77459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</w:t>
            </w:r>
            <w:r w:rsidR="000C7E85">
              <w:rPr>
                <w:rFonts w:cs="Calibri"/>
              </w:rPr>
              <w:t xml:space="preserve"> Praze </w:t>
            </w:r>
            <w:r w:rsidRPr="005C0D82">
              <w:rPr>
                <w:rFonts w:cs="Calibri"/>
              </w:rPr>
              <w:t xml:space="preserve">dne </w:t>
            </w:r>
            <w:r w:rsidR="000C7E85">
              <w:rPr>
                <w:rFonts w:cs="Calibri"/>
              </w:rPr>
              <w:t>28. 2. 2025</w:t>
            </w:r>
          </w:p>
        </w:tc>
      </w:tr>
      <w:tr w:rsidR="00145348" w:rsidRPr="005C0D82" w14:paraId="4B7D55D3" w14:textId="77777777" w:rsidTr="00BA4580">
        <w:trPr>
          <w:trHeight w:val="775"/>
        </w:trPr>
        <w:tc>
          <w:tcPr>
            <w:tcW w:w="4801" w:type="dxa"/>
          </w:tcPr>
          <w:p w14:paraId="79DC056C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08C8E8FD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1E9EF13A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  <w:tc>
          <w:tcPr>
            <w:tcW w:w="4801" w:type="dxa"/>
          </w:tcPr>
          <w:p w14:paraId="5299043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3431954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14:paraId="502F8E92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</w:tr>
      <w:tr w:rsidR="00145348" w:rsidRPr="005C0D82" w14:paraId="45EF4561" w14:textId="77777777" w:rsidTr="00BA4580">
        <w:trPr>
          <w:trHeight w:val="183"/>
        </w:trPr>
        <w:tc>
          <w:tcPr>
            <w:tcW w:w="4801" w:type="dxa"/>
            <w:hideMark/>
          </w:tcPr>
          <w:p w14:paraId="225250E0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GTS</w:t>
            </w:r>
          </w:p>
        </w:tc>
        <w:tc>
          <w:tcPr>
            <w:tcW w:w="4801" w:type="dxa"/>
            <w:hideMark/>
          </w:tcPr>
          <w:p w14:paraId="4AF57751" w14:textId="77777777"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Školu</w:t>
            </w:r>
          </w:p>
        </w:tc>
      </w:tr>
      <w:tr w:rsidR="00145348" w:rsidRPr="005C0D82" w14:paraId="69054869" w14:textId="77777777" w:rsidTr="00BA4580">
        <w:trPr>
          <w:trHeight w:val="488"/>
        </w:trPr>
        <w:tc>
          <w:tcPr>
            <w:tcW w:w="4801" w:type="dxa"/>
            <w:hideMark/>
          </w:tcPr>
          <w:p w14:paraId="074563BF" w14:textId="77777777"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 xml:space="preserve">Radek </w:t>
            </w:r>
            <w:proofErr w:type="spellStart"/>
            <w:r w:rsidRPr="005C0D82">
              <w:rPr>
                <w:rFonts w:cs="Calibri"/>
              </w:rPr>
              <w:t>Schich</w:t>
            </w:r>
            <w:proofErr w:type="spellEnd"/>
            <w:r w:rsidRPr="005C0D82">
              <w:rPr>
                <w:rFonts w:cs="Calibri"/>
              </w:rPr>
              <w:t>, ředitel</w:t>
            </w:r>
          </w:p>
        </w:tc>
        <w:tc>
          <w:tcPr>
            <w:tcW w:w="4801" w:type="dxa"/>
            <w:hideMark/>
          </w:tcPr>
          <w:p w14:paraId="0C105122" w14:textId="686174D7" w:rsidR="00145348" w:rsidRPr="005C0D82" w:rsidRDefault="000C7E85" w:rsidP="00BA4580">
            <w:pPr>
              <w:jc w:val="both"/>
              <w:rPr>
                <w:rFonts w:cs="Calibri"/>
                <w:highlight w:val="yellow"/>
              </w:rPr>
            </w:pPr>
            <w:r w:rsidRPr="000C7E85">
              <w:rPr>
                <w:rFonts w:cs="Calibri"/>
              </w:rPr>
              <w:t xml:space="preserve">Mgr. Daniela Pořízková, ředitelka </w:t>
            </w:r>
          </w:p>
        </w:tc>
      </w:tr>
    </w:tbl>
    <w:p w14:paraId="2CC7C50E" w14:textId="613FBB34"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5903CA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BC9B" w14:textId="77777777" w:rsidR="005903CA" w:rsidRDefault="005903CA">
      <w:pPr>
        <w:spacing w:after="0" w:line="240" w:lineRule="auto"/>
      </w:pPr>
      <w:r>
        <w:separator/>
      </w:r>
    </w:p>
  </w:endnote>
  <w:endnote w:type="continuationSeparator" w:id="0">
    <w:p w14:paraId="590919F6" w14:textId="77777777" w:rsidR="005903CA" w:rsidRDefault="0059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0643" w14:textId="07434784"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B435C" wp14:editId="1468982A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D6C6" w14:textId="77777777" w:rsidR="005903CA" w:rsidRDefault="005903CA">
      <w:pPr>
        <w:spacing w:after="0" w:line="240" w:lineRule="auto"/>
      </w:pPr>
      <w:r>
        <w:separator/>
      </w:r>
    </w:p>
  </w:footnote>
  <w:footnote w:type="continuationSeparator" w:id="0">
    <w:p w14:paraId="6294FB3B" w14:textId="77777777" w:rsidR="005903CA" w:rsidRDefault="0059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C50F" w14:textId="0DE545DE" w:rsidR="00DF4464" w:rsidRDefault="004A3D4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0E6CF516" wp14:editId="42DD4E33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88"/>
                  <a:stretch/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64"/>
    <w:rsid w:val="000270AD"/>
    <w:rsid w:val="00030F30"/>
    <w:rsid w:val="000443AB"/>
    <w:rsid w:val="000663F4"/>
    <w:rsid w:val="000A1C7A"/>
    <w:rsid w:val="000B3B34"/>
    <w:rsid w:val="000C7E85"/>
    <w:rsid w:val="000E7947"/>
    <w:rsid w:val="001438D1"/>
    <w:rsid w:val="00145348"/>
    <w:rsid w:val="001627B5"/>
    <w:rsid w:val="00164426"/>
    <w:rsid w:val="00176333"/>
    <w:rsid w:val="001C1463"/>
    <w:rsid w:val="001E0C67"/>
    <w:rsid w:val="00225266"/>
    <w:rsid w:val="00232B2F"/>
    <w:rsid w:val="00265087"/>
    <w:rsid w:val="002918C4"/>
    <w:rsid w:val="0029734D"/>
    <w:rsid w:val="002D3215"/>
    <w:rsid w:val="002E6CCA"/>
    <w:rsid w:val="0030172A"/>
    <w:rsid w:val="00306570"/>
    <w:rsid w:val="00364D6B"/>
    <w:rsid w:val="003869EB"/>
    <w:rsid w:val="00431B4D"/>
    <w:rsid w:val="00461194"/>
    <w:rsid w:val="004A3D40"/>
    <w:rsid w:val="00502004"/>
    <w:rsid w:val="00556278"/>
    <w:rsid w:val="005903CA"/>
    <w:rsid w:val="005C0D82"/>
    <w:rsid w:val="00704EF4"/>
    <w:rsid w:val="00722B6E"/>
    <w:rsid w:val="00731478"/>
    <w:rsid w:val="007340C4"/>
    <w:rsid w:val="00750DEC"/>
    <w:rsid w:val="00756EEB"/>
    <w:rsid w:val="007B484E"/>
    <w:rsid w:val="007D119B"/>
    <w:rsid w:val="007D4C67"/>
    <w:rsid w:val="00801BBB"/>
    <w:rsid w:val="00812239"/>
    <w:rsid w:val="00885FCF"/>
    <w:rsid w:val="009138F8"/>
    <w:rsid w:val="0092207E"/>
    <w:rsid w:val="00967070"/>
    <w:rsid w:val="009812B8"/>
    <w:rsid w:val="009A2523"/>
    <w:rsid w:val="009A7B05"/>
    <w:rsid w:val="009C1A87"/>
    <w:rsid w:val="009C703E"/>
    <w:rsid w:val="009F031B"/>
    <w:rsid w:val="009F5A7E"/>
    <w:rsid w:val="00A02B76"/>
    <w:rsid w:val="00A22613"/>
    <w:rsid w:val="00A33CA6"/>
    <w:rsid w:val="00A8070F"/>
    <w:rsid w:val="00A947F4"/>
    <w:rsid w:val="00AA1BC9"/>
    <w:rsid w:val="00AA387B"/>
    <w:rsid w:val="00AF7204"/>
    <w:rsid w:val="00B04837"/>
    <w:rsid w:val="00B15D42"/>
    <w:rsid w:val="00B212ED"/>
    <w:rsid w:val="00BB0499"/>
    <w:rsid w:val="00BD33B9"/>
    <w:rsid w:val="00CB78E7"/>
    <w:rsid w:val="00CD1F68"/>
    <w:rsid w:val="00D66560"/>
    <w:rsid w:val="00DE4F7F"/>
    <w:rsid w:val="00DE6B17"/>
    <w:rsid w:val="00DF4464"/>
    <w:rsid w:val="00E8762E"/>
    <w:rsid w:val="00E9550E"/>
    <w:rsid w:val="00ED2BDD"/>
    <w:rsid w:val="00F117D8"/>
    <w:rsid w:val="00F913FB"/>
    <w:rsid w:val="00FA65B4"/>
    <w:rsid w:val="00FC1B0F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7C50E"/>
  <w15:docId w15:val="{BA5A4034-18C9-4210-AADD-FD36771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6" ma:contentTypeDescription="Vytvoří nový dokument" ma:contentTypeScope="" ma:versionID="a132113a110148b811b1192dde6f9a35">
  <xsd:schema xmlns:xsd="http://www.w3.org/2001/XMLSchema" xmlns:xs="http://www.w3.org/2001/XMLSchema" xmlns:p="http://schemas.microsoft.com/office/2006/metadata/properties" xmlns:ns3="9e86d8a5-04c6-40c3-affb-1641df409653" xmlns:ns4="1caa1349-927d-4208-8f2b-e28954d366fd" targetNamespace="http://schemas.microsoft.com/office/2006/metadata/properties" ma:root="true" ma:fieldsID="cd92f0e73dc371d060420440cfdf72d2" ns3:_="" ns4:_="">
    <xsd:import namespace="9e86d8a5-04c6-40c3-affb-1641df409653"/>
    <xsd:import namespace="1caa1349-927d-4208-8f2b-e28954d366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1349-927d-4208-8f2b-e28954d3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9e86d8a5-04c6-40c3-affb-1641df40965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caa1349-927d-4208-8f2b-e28954d366f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0073DC5-6FE0-49B4-BC44-C3100C5E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1caa1349-927d-4208-8f2b-e28954d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72610-C77B-4BAC-B218-8ACCC878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Barbara Bláhová</cp:lastModifiedBy>
  <cp:revision>4</cp:revision>
  <cp:lastPrinted>2025-02-28T08:06:00Z</cp:lastPrinted>
  <dcterms:created xsi:type="dcterms:W3CDTF">2025-02-28T07:53:00Z</dcterms:created>
  <dcterms:modified xsi:type="dcterms:W3CDTF">2025-03-20T09:57:00Z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  <property fmtid="{D5CDD505-2E9C-101B-9397-08002B2CF9AE}" pid="3" name="MediaServiceImageTags">
    <vt:lpwstr/>
  </property>
</Properties>
</file>