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0E9" w:rsidRDefault="0000105D">
      <w:pPr>
        <w:pStyle w:val="Nadpis10"/>
        <w:keepNext/>
        <w:keepLines/>
        <w:pBdr>
          <w:bottom w:val="single" w:sz="4" w:space="0" w:color="auto"/>
        </w:pBdr>
        <w:shd w:val="clear" w:color="auto" w:fill="auto"/>
      </w:pPr>
      <w:bookmarkStart w:id="0" w:name="bookmark0"/>
      <w:bookmarkStart w:id="1" w:name="bookmark1"/>
      <w:r>
        <w:t>SMLOUVA O ZPROSTŘEDKOVÁNÍ OPRÁVNĚNÍ</w:t>
      </w:r>
      <w:r>
        <w:br/>
        <w:t xml:space="preserve">                                        UŽÍVAT SOFTWARE</w:t>
      </w:r>
      <w:bookmarkEnd w:id="0"/>
      <w:bookmarkEnd w:id="1"/>
      <w:r>
        <w:t xml:space="preserve">                            </w:t>
      </w:r>
      <w:r w:rsidRPr="0000105D">
        <w:rPr>
          <w:b w:val="0"/>
          <w:sz w:val="24"/>
          <w:szCs w:val="24"/>
        </w:rPr>
        <w:t>8020860325E</w:t>
      </w:r>
    </w:p>
    <w:p w:rsidR="00D150E9" w:rsidRDefault="0000105D">
      <w:pPr>
        <w:pStyle w:val="Nadpis30"/>
        <w:keepNext/>
        <w:keepLines/>
        <w:shd w:val="clear" w:color="auto" w:fill="auto"/>
      </w:pPr>
      <w:bookmarkStart w:id="2" w:name="bookmark2"/>
      <w:bookmarkStart w:id="3" w:name="bookmark3"/>
      <w:r>
        <w:rPr>
          <w:u w:val="single"/>
        </w:rPr>
        <w:t>SMLUVNÍ STRANY</w:t>
      </w:r>
      <w:bookmarkEnd w:id="2"/>
      <w:bookmarkEnd w:id="3"/>
    </w:p>
    <w:p w:rsidR="00D150E9" w:rsidRPr="00124C30" w:rsidRDefault="0000105D">
      <w:pPr>
        <w:pStyle w:val="Zkladntext1"/>
        <w:shd w:val="clear" w:color="auto" w:fill="auto"/>
        <w:jc w:val="both"/>
      </w:pPr>
      <w:r>
        <w:rPr>
          <w:b/>
          <w:bCs/>
          <w:lang w:val="en-US" w:eastAsia="en-US" w:bidi="en-US"/>
        </w:rPr>
        <w:t xml:space="preserve">ADYTON </w:t>
      </w:r>
      <w:r>
        <w:rPr>
          <w:b/>
          <w:bCs/>
        </w:rPr>
        <w:t>s.r.o., (</w:t>
      </w:r>
      <w:proofErr w:type="gramStart"/>
      <w:r>
        <w:rPr>
          <w:b/>
          <w:bCs/>
        </w:rPr>
        <w:t>angl</w:t>
      </w:r>
      <w:proofErr w:type="gramEnd"/>
      <w:r>
        <w:rPr>
          <w:b/>
          <w:bCs/>
        </w:rPr>
        <w:t xml:space="preserve">. </w:t>
      </w:r>
      <w:proofErr w:type="gramStart"/>
      <w:r>
        <w:rPr>
          <w:b/>
          <w:bCs/>
          <w:lang w:val="en-US" w:eastAsia="en-US" w:bidi="en-US"/>
        </w:rPr>
        <w:t xml:space="preserve">Ltd, </w:t>
      </w:r>
      <w:r>
        <w:rPr>
          <w:b/>
          <w:bCs/>
        </w:rPr>
        <w:t>něm.</w:t>
      </w:r>
      <w:proofErr w:type="gramEnd"/>
      <w:r>
        <w:rPr>
          <w:b/>
          <w:bCs/>
        </w:rPr>
        <w:t xml:space="preserve"> </w:t>
      </w:r>
      <w:proofErr w:type="spellStart"/>
      <w:r>
        <w:rPr>
          <w:b/>
          <w:bCs/>
        </w:rPr>
        <w:t>GmbH</w:t>
      </w:r>
      <w:proofErr w:type="spellEnd"/>
      <w:r>
        <w:rPr>
          <w:b/>
          <w:bCs/>
        </w:rPr>
        <w:t xml:space="preserve">, </w:t>
      </w:r>
      <w:r>
        <w:rPr>
          <w:b/>
          <w:bCs/>
          <w:lang w:val="en-US" w:eastAsia="en-US" w:bidi="en-US"/>
        </w:rPr>
        <w:t xml:space="preserve">franc. </w:t>
      </w:r>
      <w:r>
        <w:rPr>
          <w:b/>
          <w:bCs/>
        </w:rPr>
        <w:t>S.R.</w:t>
      </w:r>
      <w:proofErr w:type="gramStart"/>
      <w:r>
        <w:rPr>
          <w:b/>
          <w:bCs/>
        </w:rPr>
        <w:t>L.A.</w:t>
      </w:r>
      <w:proofErr w:type="gramEnd"/>
      <w:r>
        <w:rPr>
          <w:b/>
          <w:bCs/>
        </w:rPr>
        <w:t>)</w:t>
      </w:r>
      <w:r>
        <w:t xml:space="preserve">, IČO 45807051, se sídlem Kateřinská 15, 120 00 Praha 2, společnost zapsaná v obchodním rejstříku vedeném Městským soudem v Praze, oddíl C, vložka 12087, zastoupená </w:t>
      </w:r>
      <w:r w:rsidRPr="00124C30">
        <w:t>XXXX, XXXX</w:t>
      </w:r>
    </w:p>
    <w:p w:rsidR="00D150E9" w:rsidRPr="00124C30" w:rsidRDefault="0000105D">
      <w:pPr>
        <w:pStyle w:val="Zkladntext1"/>
        <w:shd w:val="clear" w:color="auto" w:fill="auto"/>
      </w:pPr>
      <w:r w:rsidRPr="00124C30">
        <w:t xml:space="preserve">(dále jen jako </w:t>
      </w:r>
      <w:r w:rsidRPr="00124C30">
        <w:rPr>
          <w:u w:val="single"/>
        </w:rPr>
        <w:t>„ADYTON</w:t>
      </w:r>
      <w:r w:rsidRPr="00124C30">
        <w:t>“)</w:t>
      </w:r>
    </w:p>
    <w:p w:rsidR="00D150E9" w:rsidRPr="00124C30" w:rsidRDefault="0000105D">
      <w:pPr>
        <w:pStyle w:val="Zkladntext1"/>
        <w:shd w:val="clear" w:color="auto" w:fill="auto"/>
        <w:jc w:val="both"/>
      </w:pPr>
      <w:r w:rsidRPr="00124C30">
        <w:t>a</w:t>
      </w:r>
    </w:p>
    <w:p w:rsidR="00D150E9" w:rsidRPr="00124C30" w:rsidRDefault="0000105D">
      <w:pPr>
        <w:pStyle w:val="Zkladntext1"/>
        <w:shd w:val="clear" w:color="auto" w:fill="auto"/>
        <w:jc w:val="both"/>
      </w:pPr>
      <w:r w:rsidRPr="00124C30">
        <w:rPr>
          <w:b/>
          <w:bCs/>
        </w:rPr>
        <w:t xml:space="preserve">Nemocnice Nové Město na Moravě, příspěvková organizace, </w:t>
      </w:r>
      <w:r w:rsidRPr="00124C30">
        <w:t xml:space="preserve">IČO: 00842001, DIČ: CZ00842001, se sídlem Žďárská 610, 592 31 Nové Město na Moravě, zapsaná v obchodním rejstříku vedeném Krajským soudem v Brně, oddíl </w:t>
      </w:r>
      <w:proofErr w:type="spellStart"/>
      <w:r w:rsidRPr="00124C30">
        <w:t>Pr</w:t>
      </w:r>
      <w:proofErr w:type="spellEnd"/>
      <w:r w:rsidRPr="00124C30">
        <w:t xml:space="preserve">., vložka 1446, zastoupená XXXX, XXXX (dále jen jako </w:t>
      </w:r>
      <w:r w:rsidRPr="00124C30">
        <w:rPr>
          <w:u w:val="single"/>
        </w:rPr>
        <w:t>„Klient</w:t>
      </w:r>
      <w:r w:rsidRPr="00124C30">
        <w:t>“)</w:t>
      </w:r>
    </w:p>
    <w:p w:rsidR="00D150E9" w:rsidRPr="00124C30" w:rsidRDefault="0000105D">
      <w:pPr>
        <w:pStyle w:val="Zkladntext1"/>
        <w:shd w:val="clear" w:color="auto" w:fill="auto"/>
      </w:pPr>
      <w:r w:rsidRPr="00124C30">
        <w:t xml:space="preserve">(ADYTON a Klient společně dále jen </w:t>
      </w:r>
      <w:r w:rsidRPr="00124C30">
        <w:rPr>
          <w:u w:val="single"/>
        </w:rPr>
        <w:t>„Smluvní strany</w:t>
      </w:r>
      <w:r w:rsidRPr="00124C30">
        <w:t xml:space="preserve">“ a každý sám dále také jako </w:t>
      </w:r>
      <w:r w:rsidRPr="00124C30">
        <w:rPr>
          <w:u w:val="single"/>
        </w:rPr>
        <w:t>„Smluvní strana</w:t>
      </w:r>
      <w:r w:rsidRPr="00124C30">
        <w:t>“)</w:t>
      </w:r>
    </w:p>
    <w:p w:rsidR="00D150E9" w:rsidRDefault="0000105D">
      <w:pPr>
        <w:pStyle w:val="Zkladntext1"/>
        <w:shd w:val="clear" w:color="auto" w:fill="auto"/>
        <w:jc w:val="both"/>
      </w:pPr>
      <w:r w:rsidRPr="00124C30">
        <w:t xml:space="preserve">uzavírají mezi sebou závěrem uvedeného dne v souladu s ustanovením § 1746 odst. 2 zákona č. 89/2012 Sb., občanský zákoník ve znění pozdějších předpisů (dále jen „občanský zákoník“) a v souladu s ustanovením § 2358 a násl. občanského </w:t>
      </w:r>
      <w:proofErr w:type="spellStart"/>
      <w:r w:rsidRPr="00124C30">
        <w:t>zákoníkututo</w:t>
      </w:r>
      <w:proofErr w:type="spellEnd"/>
      <w:r w:rsidRPr="00124C30">
        <w:t xml:space="preserve"> smlouvu o zprostředkování oprávnění užívat software (dále jen „Smlouva“). Klient prohlašuje, že si je vědom skutečnosti, že ADYTON</w:t>
      </w:r>
      <w:r>
        <w:t xml:space="preserve"> na základě této Smlouvy neuděluje licenci k užívání Software, jak je definován níže, ale ve smyslu čl.</w:t>
      </w:r>
      <w:hyperlink w:anchor="bookmark8" w:tooltip="Current Document">
        <w:r>
          <w:t xml:space="preserve"> II.1a</w:t>
        </w:r>
      </w:hyperlink>
      <w:hyperlink w:anchor="bookmark9" w:tooltip="Current Document">
        <w:r>
          <w:t xml:space="preserve"> </w:t>
        </w:r>
        <w:proofErr w:type="gramStart"/>
        <w:r>
          <w:t>II.4</w:t>
        </w:r>
      </w:hyperlink>
      <w:r>
        <w:t xml:space="preserve"> Klientovi</w:t>
      </w:r>
      <w:proofErr w:type="gramEnd"/>
      <w:r>
        <w:t xml:space="preserve"> zprostředkovává udělení licence k Software ze strany jeho autora, společnosti GLEAMER a že odkazované ustanovení občanského zákoníku upravující licenci ADYTON k poskytnutí licence nezavazuje.</w:t>
      </w:r>
    </w:p>
    <w:p w:rsidR="00D150E9" w:rsidRDefault="0000105D">
      <w:pPr>
        <w:pStyle w:val="Nadpis30"/>
        <w:keepNext/>
        <w:keepLines/>
        <w:numPr>
          <w:ilvl w:val="0"/>
          <w:numId w:val="1"/>
        </w:numPr>
        <w:shd w:val="clear" w:color="auto" w:fill="auto"/>
        <w:tabs>
          <w:tab w:val="left" w:pos="849"/>
        </w:tabs>
      </w:pPr>
      <w:bookmarkStart w:id="4" w:name="bookmark4"/>
      <w:bookmarkStart w:id="5" w:name="bookmark5"/>
      <w:r>
        <w:rPr>
          <w:u w:val="single"/>
        </w:rPr>
        <w:t>PREAMBULE</w:t>
      </w:r>
      <w:bookmarkEnd w:id="4"/>
      <w:bookmarkEnd w:id="5"/>
    </w:p>
    <w:p w:rsidR="00D150E9" w:rsidRDefault="0000105D">
      <w:pPr>
        <w:pStyle w:val="Zkladntext1"/>
        <w:numPr>
          <w:ilvl w:val="0"/>
          <w:numId w:val="2"/>
        </w:numPr>
        <w:shd w:val="clear" w:color="auto" w:fill="auto"/>
        <w:tabs>
          <w:tab w:val="left" w:pos="849"/>
        </w:tabs>
        <w:ind w:left="860" w:hanging="860"/>
        <w:jc w:val="both"/>
      </w:pPr>
      <w:r>
        <w:t xml:space="preserve">ADYTON prohlašuje, že je na základě distribuční smlouvy uzavřené se společností GLEAMER, se sídlem 5 avenue </w:t>
      </w:r>
      <w:proofErr w:type="spellStart"/>
      <w:r>
        <w:t>du</w:t>
      </w:r>
      <w:proofErr w:type="spellEnd"/>
      <w:r>
        <w:t xml:space="preserve"> </w:t>
      </w:r>
      <w:proofErr w:type="spellStart"/>
      <w:r>
        <w:t>Général</w:t>
      </w:r>
      <w:proofErr w:type="spellEnd"/>
      <w:r>
        <w:t xml:space="preserve"> de </w:t>
      </w:r>
      <w:proofErr w:type="spellStart"/>
      <w:r>
        <w:t>Gaulle</w:t>
      </w:r>
      <w:proofErr w:type="spellEnd"/>
      <w:r>
        <w:t>, 94160 Saint-</w:t>
      </w:r>
      <w:proofErr w:type="spellStart"/>
      <w:r>
        <w:t>Mandé</w:t>
      </w:r>
      <w:proofErr w:type="spellEnd"/>
      <w:r>
        <w:t xml:space="preserve">, Francie (dále jen </w:t>
      </w:r>
      <w:r>
        <w:rPr>
          <w:u w:val="single"/>
        </w:rPr>
        <w:t>„GLEAMER</w:t>
      </w:r>
      <w:r>
        <w:t xml:space="preserve">“), oprávněn na území České republiky, Slovenska a Polska distribuovat software pod názvem </w:t>
      </w:r>
      <w:proofErr w:type="spellStart"/>
      <w:r>
        <w:t>BoneView</w:t>
      </w:r>
      <w:proofErr w:type="spellEnd"/>
      <w:r>
        <w:t xml:space="preserve">, </w:t>
      </w:r>
      <w:proofErr w:type="spellStart"/>
      <w:r>
        <w:t>ChestView</w:t>
      </w:r>
      <w:proofErr w:type="spellEnd"/>
      <w:r>
        <w:t xml:space="preserve"> </w:t>
      </w:r>
      <w:r>
        <w:rPr>
          <w:lang w:val="en-US" w:eastAsia="en-US" w:bidi="en-US"/>
        </w:rPr>
        <w:t xml:space="preserve">a GMSK Proxy </w:t>
      </w:r>
      <w:r>
        <w:t xml:space="preserve">(dále jen </w:t>
      </w:r>
      <w:r>
        <w:rPr>
          <w:u w:val="single"/>
        </w:rPr>
        <w:t>„Software</w:t>
      </w:r>
      <w:r>
        <w:t>“).</w:t>
      </w:r>
    </w:p>
    <w:p w:rsidR="00D150E9" w:rsidRDefault="0000105D">
      <w:pPr>
        <w:pStyle w:val="Zkladntext1"/>
        <w:numPr>
          <w:ilvl w:val="0"/>
          <w:numId w:val="2"/>
        </w:numPr>
        <w:shd w:val="clear" w:color="auto" w:fill="auto"/>
        <w:tabs>
          <w:tab w:val="left" w:pos="849"/>
        </w:tabs>
        <w:ind w:left="860" w:hanging="860"/>
        <w:jc w:val="both"/>
      </w:pPr>
      <w:r>
        <w:t>Software pomáhá lékařům při interpretaci rentgenových snímků tím, že rentgenové snímky ve formátu DICOM zpracovává pomocí umělé inteligence a jako výstup poskytuje detekci anomálií a/nebo určení kostního věku a/nebo hodnoty měření různých úhlů/délky pro různé anatomické oblasti.</w:t>
      </w:r>
    </w:p>
    <w:p w:rsidR="00D150E9" w:rsidRDefault="0000105D">
      <w:pPr>
        <w:pStyle w:val="Zkladntext1"/>
        <w:numPr>
          <w:ilvl w:val="0"/>
          <w:numId w:val="2"/>
        </w:numPr>
        <w:shd w:val="clear" w:color="auto" w:fill="auto"/>
        <w:tabs>
          <w:tab w:val="left" w:pos="849"/>
        </w:tabs>
        <w:ind w:left="860" w:hanging="860"/>
        <w:jc w:val="both"/>
      </w:pPr>
      <w:r>
        <w:t>ADYTON prohlašuje, že je na základě platných smluvních vztahů oprávněn zprostředkovat Klientovi oprávnění užívat Software a zajistit oprávnění k užívání interpretace rentgenových snímků provedené Softwarem Klientovi v souladu s touto Smlouvou a že takovým zprostředkování možnosti užívání Softwaru nebudou porušena autorská práva třetích osob.</w:t>
      </w:r>
    </w:p>
    <w:p w:rsidR="00D150E9" w:rsidRDefault="0000105D">
      <w:pPr>
        <w:pStyle w:val="Zkladntext1"/>
        <w:numPr>
          <w:ilvl w:val="0"/>
          <w:numId w:val="2"/>
        </w:numPr>
        <w:shd w:val="clear" w:color="auto" w:fill="auto"/>
        <w:tabs>
          <w:tab w:val="left" w:pos="849"/>
        </w:tabs>
        <w:ind w:left="860" w:hanging="860"/>
        <w:jc w:val="both"/>
      </w:pPr>
      <w:r>
        <w:t>ADYTON prohlašuje, že Software je zdravotnickým prostředkem, u kterého výrobce stanoveným způsobem posoudil soulad jeho vlastností s technickými požadavky stanovenými zvláštními právními předpisy s přihlédnutím k určenému účelu použití, a vydal o tom písemné prohlášení o shodě.</w:t>
      </w:r>
    </w:p>
    <w:p w:rsidR="00D150E9" w:rsidRDefault="0000105D">
      <w:pPr>
        <w:pStyle w:val="Zkladntext1"/>
        <w:numPr>
          <w:ilvl w:val="0"/>
          <w:numId w:val="2"/>
        </w:numPr>
        <w:shd w:val="clear" w:color="auto" w:fill="auto"/>
        <w:tabs>
          <w:tab w:val="left" w:pos="849"/>
        </w:tabs>
        <w:ind w:left="860" w:hanging="860"/>
        <w:jc w:val="both"/>
      </w:pPr>
      <w:r>
        <w:t xml:space="preserve">ADYTON prohlašuje, že Software splňuje požadavky předepsané platnou legislativou pro tuto oblast zejména Nařízení Evropského parlamentu a Rady (EU) 2017/745 ze dne 5. dubna 2017 o zdravotnických prostředcích, změně směrnice 2001/83/ES, nařízení (ES) č. 178/2002 a nařízení (ES) č. 1223/2009 a o zrušení směrnic Rady 90/385/EHS a 93/42/), a dále zákon č. 375/2022 </w:t>
      </w:r>
      <w:proofErr w:type="spellStart"/>
      <w:r>
        <w:t>Sb</w:t>
      </w:r>
      <w:proofErr w:type="spellEnd"/>
      <w:r>
        <w:t>, o zdravotnických prostředcích a diagnostických zdravotnických prostředcích in vitro a jeho příslušné prováděcí předpisy.</w:t>
      </w:r>
    </w:p>
    <w:p w:rsidR="00D150E9" w:rsidRDefault="0000105D">
      <w:pPr>
        <w:pStyle w:val="Nadpis30"/>
        <w:keepNext/>
        <w:keepLines/>
        <w:numPr>
          <w:ilvl w:val="0"/>
          <w:numId w:val="1"/>
        </w:numPr>
        <w:shd w:val="clear" w:color="auto" w:fill="auto"/>
        <w:tabs>
          <w:tab w:val="left" w:pos="852"/>
        </w:tabs>
      </w:pPr>
      <w:bookmarkStart w:id="6" w:name="bookmark6"/>
      <w:bookmarkStart w:id="7" w:name="bookmark7"/>
      <w:r>
        <w:rPr>
          <w:u w:val="single"/>
        </w:rPr>
        <w:t>PŘEDMĚT SMLOUVY</w:t>
      </w:r>
      <w:bookmarkEnd w:id="6"/>
      <w:bookmarkEnd w:id="7"/>
    </w:p>
    <w:p w:rsidR="00D150E9" w:rsidRDefault="0000105D">
      <w:pPr>
        <w:pStyle w:val="Zkladntext1"/>
        <w:shd w:val="clear" w:color="auto" w:fill="auto"/>
        <w:ind w:left="860" w:hanging="860"/>
        <w:jc w:val="both"/>
      </w:pPr>
      <w:bookmarkStart w:id="8" w:name="bookmark8"/>
      <w:proofErr w:type="gramStart"/>
      <w:r>
        <w:t>II.1 ADYTON</w:t>
      </w:r>
      <w:proofErr w:type="gramEnd"/>
      <w:r>
        <w:t xml:space="preserve"> se zavazuje, že Klientovi zajistí </w:t>
      </w:r>
      <w:r>
        <w:rPr>
          <w:b/>
          <w:bCs/>
        </w:rPr>
        <w:t xml:space="preserve">po dobu 3 měsíců bezplatné oprávnění užívat </w:t>
      </w:r>
      <w:r>
        <w:rPr>
          <w:b/>
          <w:bCs/>
        </w:rPr>
        <w:lastRenderedPageBreak/>
        <w:t xml:space="preserve">Software. </w:t>
      </w:r>
      <w:r>
        <w:t>Po uplynutí této doby zanikne Klientovo oprávnění Software používat, pokud nebude mezi Stranami sjednáno jinak.</w:t>
      </w:r>
      <w:bookmarkEnd w:id="8"/>
    </w:p>
    <w:p w:rsidR="00D150E9" w:rsidRDefault="0000105D">
      <w:pPr>
        <w:pStyle w:val="Zkladntext1"/>
        <w:numPr>
          <w:ilvl w:val="1"/>
          <w:numId w:val="1"/>
        </w:numPr>
        <w:shd w:val="clear" w:color="auto" w:fill="auto"/>
        <w:tabs>
          <w:tab w:val="left" w:pos="852"/>
        </w:tabs>
        <w:ind w:left="860" w:hanging="860"/>
        <w:jc w:val="both"/>
      </w:pPr>
      <w:r>
        <w:t xml:space="preserve">Užívání Software bude Klientovi ze strany ADYTON zprostředkováno tím způsobem, že Klientovi bude umožněn online přístup za použití specifického identifikátoru a hesla (dále jen </w:t>
      </w:r>
      <w:r>
        <w:rPr>
          <w:u w:val="single"/>
        </w:rPr>
        <w:t>„Přístupové údaje</w:t>
      </w:r>
      <w:r>
        <w:t>“), a to do 5 dnů ode dne uzavření této Smlouvy.</w:t>
      </w:r>
    </w:p>
    <w:p w:rsidR="00D150E9" w:rsidRPr="00124C30" w:rsidRDefault="0000105D">
      <w:pPr>
        <w:pStyle w:val="Zkladntext1"/>
        <w:numPr>
          <w:ilvl w:val="0"/>
          <w:numId w:val="3"/>
        </w:numPr>
        <w:shd w:val="clear" w:color="auto" w:fill="auto"/>
        <w:tabs>
          <w:tab w:val="left" w:pos="852"/>
        </w:tabs>
        <w:ind w:left="860" w:hanging="860"/>
        <w:jc w:val="both"/>
      </w:pPr>
      <w:r>
        <w:t xml:space="preserve">Kontaktní osoba a osoba odpovědná za užívání Softwaru na straně Klienta, a to zejména za posouzení odborné kvality poskytovaných služeb, zabezpečení popisu radiologa a komunikace s klinickými lékaři resp. nastavení </w:t>
      </w:r>
      <w:proofErr w:type="spellStart"/>
      <w:r>
        <w:t>klinicko</w:t>
      </w:r>
      <w:proofErr w:type="spellEnd"/>
      <w:r>
        <w:t xml:space="preserve"> radiologického algoritmu vyšetření s AI je </w:t>
      </w:r>
      <w:r w:rsidRPr="00124C30">
        <w:t>XXXX</w:t>
      </w:r>
      <w:r>
        <w:t xml:space="preserve">, </w:t>
      </w:r>
      <w:r w:rsidRPr="00124C30">
        <w:t xml:space="preserve">XXXX (+XXXX, e-mail: </w:t>
      </w:r>
      <w:hyperlink r:id="rId8" w:history="1">
        <w:r w:rsidRPr="00124C30">
          <w:t xml:space="preserve"> XXXX</w:t>
        </w:r>
        <w:r w:rsidRPr="00124C30">
          <w:rPr>
            <w:u w:val="single"/>
            <w:lang w:val="en-US" w:eastAsia="en-US" w:bidi="en-US"/>
          </w:rPr>
          <w:t>)</w:t>
        </w:r>
      </w:hyperlink>
      <w:r w:rsidRPr="00124C30">
        <w:rPr>
          <w:lang w:val="en-US" w:eastAsia="en-US" w:bidi="en-US"/>
        </w:rPr>
        <w:t>.</w:t>
      </w:r>
    </w:p>
    <w:p w:rsidR="00D150E9" w:rsidRDefault="0000105D">
      <w:pPr>
        <w:pStyle w:val="Zkladntext1"/>
        <w:shd w:val="clear" w:color="auto" w:fill="auto"/>
        <w:ind w:left="860"/>
        <w:jc w:val="both"/>
      </w:pPr>
      <w:r w:rsidRPr="00124C30">
        <w:t>Kontaktní osoba a osoba odpovědná za užívání Software na straně ADYTON je XXXX (+XXXX, e-mail:</w:t>
      </w:r>
      <w:hyperlink r:id="rId9" w:history="1">
        <w:r w:rsidRPr="00124C30">
          <w:t xml:space="preserve"> XXXX</w:t>
        </w:r>
        <w:r w:rsidRPr="00124C30">
          <w:rPr>
            <w:u w:val="single"/>
            <w:lang w:val="en-US" w:eastAsia="en-US" w:bidi="en-US"/>
          </w:rPr>
          <w:t>)</w:t>
        </w:r>
      </w:hyperlink>
      <w:r w:rsidRPr="00124C30">
        <w:rPr>
          <w:lang w:val="en-US" w:eastAsia="en-US" w:bidi="en-US"/>
        </w:rPr>
        <w:t>.</w:t>
      </w:r>
    </w:p>
    <w:p w:rsidR="00D150E9" w:rsidRDefault="0000105D">
      <w:pPr>
        <w:pStyle w:val="Zkladntext1"/>
        <w:numPr>
          <w:ilvl w:val="0"/>
          <w:numId w:val="3"/>
        </w:numPr>
        <w:shd w:val="clear" w:color="auto" w:fill="auto"/>
        <w:tabs>
          <w:tab w:val="left" w:pos="852"/>
        </w:tabs>
        <w:ind w:left="860" w:hanging="860"/>
        <w:jc w:val="both"/>
      </w:pPr>
      <w:bookmarkStart w:id="9" w:name="bookmark9"/>
      <w:r>
        <w:t xml:space="preserve">ADYTON se zavazuje zajistit, aby společnost GLEAMER poskytla Klientovi nevýhradní licenci výlučně k užití Softwaru pro účely této Smlouvy (dále jen </w:t>
      </w:r>
      <w:r>
        <w:rPr>
          <w:u w:val="single"/>
        </w:rPr>
        <w:t>„Licence</w:t>
      </w:r>
      <w:r>
        <w:t>“). Licence je poskytována jako nepřenosná, to znamená, že Klient není oprávněn poskytnout přístup k Softwaru jakékoliv třetí straně a není oprávněn použít Software ke zpracování dat třetí strany.</w:t>
      </w:r>
      <w:bookmarkEnd w:id="9"/>
    </w:p>
    <w:p w:rsidR="00D150E9" w:rsidRDefault="0000105D">
      <w:pPr>
        <w:pStyle w:val="Zkladntext1"/>
        <w:numPr>
          <w:ilvl w:val="0"/>
          <w:numId w:val="3"/>
        </w:numPr>
        <w:shd w:val="clear" w:color="auto" w:fill="auto"/>
        <w:tabs>
          <w:tab w:val="left" w:pos="852"/>
        </w:tabs>
        <w:ind w:left="860" w:hanging="860"/>
        <w:jc w:val="both"/>
      </w:pPr>
      <w:r>
        <w:t xml:space="preserve">Klient není oprávněn bez předchozího souhlasu společnosti GLEAMER užívat Software jiným způsobem než užitím dle </w:t>
      </w:r>
      <w:proofErr w:type="gramStart"/>
      <w:r>
        <w:t>čl. I.2, tedy</w:t>
      </w:r>
      <w:proofErr w:type="gramEnd"/>
      <w:r>
        <w:t xml:space="preserve"> zejména, nikoliv však výlučně, není oprávněn ho rozmnožovat, rozšiřovat, pronajímat, půjčovat a sdělovat veřejnosti.</w:t>
      </w:r>
    </w:p>
    <w:p w:rsidR="00D150E9" w:rsidRDefault="0000105D">
      <w:pPr>
        <w:pStyle w:val="Zkladntext1"/>
        <w:numPr>
          <w:ilvl w:val="0"/>
          <w:numId w:val="3"/>
        </w:numPr>
        <w:shd w:val="clear" w:color="auto" w:fill="auto"/>
        <w:tabs>
          <w:tab w:val="left" w:pos="852"/>
        </w:tabs>
      </w:pPr>
      <w:r>
        <w:t>ADYTON tímto informuje Klienta, že:</w:t>
      </w:r>
    </w:p>
    <w:p w:rsidR="00D150E9" w:rsidRDefault="0000105D">
      <w:pPr>
        <w:pStyle w:val="Zkladntext1"/>
        <w:numPr>
          <w:ilvl w:val="0"/>
          <w:numId w:val="4"/>
        </w:numPr>
        <w:shd w:val="clear" w:color="auto" w:fill="auto"/>
        <w:tabs>
          <w:tab w:val="left" w:pos="1723"/>
        </w:tabs>
        <w:ind w:left="1720" w:hanging="860"/>
        <w:jc w:val="both"/>
      </w:pPr>
      <w:r>
        <w:t>Jednotliví uživatelé Softwaru musí být řádně kvalifikovaní, vyškolení a musí mít požadované lékařské znalosti a dovednosti, přičemž výběr kvalifikovaných uživatelů Softwaru je výlučnou odpovědností Klienta,</w:t>
      </w:r>
    </w:p>
    <w:p w:rsidR="00D150E9" w:rsidRDefault="0000105D">
      <w:pPr>
        <w:pStyle w:val="Zkladntext1"/>
        <w:numPr>
          <w:ilvl w:val="0"/>
          <w:numId w:val="4"/>
        </w:numPr>
        <w:shd w:val="clear" w:color="auto" w:fill="auto"/>
        <w:tabs>
          <w:tab w:val="left" w:pos="1723"/>
        </w:tabs>
        <w:ind w:left="1720" w:hanging="860"/>
        <w:jc w:val="both"/>
      </w:pPr>
      <w:r>
        <w:t>Software je pouhou pomůckou při rozhodování a v žádném případě nenahrazuje lékařskou diagnózu,</w:t>
      </w:r>
    </w:p>
    <w:p w:rsidR="00D150E9" w:rsidRDefault="0000105D">
      <w:pPr>
        <w:pStyle w:val="Zkladntext1"/>
        <w:numPr>
          <w:ilvl w:val="0"/>
          <w:numId w:val="4"/>
        </w:numPr>
        <w:shd w:val="clear" w:color="auto" w:fill="auto"/>
        <w:tabs>
          <w:tab w:val="left" w:pos="1723"/>
        </w:tabs>
        <w:ind w:firstLine="860"/>
      </w:pPr>
      <w:r>
        <w:t>Stanovení lékařské diagnózy je výhradní odpovědností kvalifikovaných uživatelů,</w:t>
      </w:r>
    </w:p>
    <w:p w:rsidR="00D150E9" w:rsidRDefault="0000105D">
      <w:pPr>
        <w:pStyle w:val="Zkladntext1"/>
        <w:numPr>
          <w:ilvl w:val="0"/>
          <w:numId w:val="4"/>
        </w:numPr>
        <w:shd w:val="clear" w:color="auto" w:fill="auto"/>
        <w:tabs>
          <w:tab w:val="left" w:pos="1723"/>
        </w:tabs>
        <w:ind w:left="1720" w:hanging="860"/>
        <w:jc w:val="both"/>
      </w:pPr>
      <w:r>
        <w:t>Pokud je podle platných právních předpisů nutné informovat pacienty o tom, že jejich údaje budou zpracovávány Softwarem za použití umělé inteligence, je povinností Klienta je o tom informovat, popřípadě získat jejich souhlas.</w:t>
      </w:r>
    </w:p>
    <w:p w:rsidR="00D150E9" w:rsidRDefault="0000105D">
      <w:pPr>
        <w:pStyle w:val="Nadpis30"/>
        <w:keepNext/>
        <w:keepLines/>
        <w:numPr>
          <w:ilvl w:val="0"/>
          <w:numId w:val="1"/>
        </w:numPr>
        <w:shd w:val="clear" w:color="auto" w:fill="auto"/>
        <w:tabs>
          <w:tab w:val="left" w:pos="852"/>
        </w:tabs>
      </w:pPr>
      <w:bookmarkStart w:id="10" w:name="bookmark10"/>
      <w:bookmarkStart w:id="11" w:name="bookmark11"/>
      <w:r>
        <w:rPr>
          <w:u w:val="single"/>
        </w:rPr>
        <w:t>POVINNOSTI SMLUVNÍCH STRAN</w:t>
      </w:r>
      <w:bookmarkEnd w:id="10"/>
      <w:bookmarkEnd w:id="11"/>
    </w:p>
    <w:p w:rsidR="00D150E9" w:rsidRDefault="0000105D">
      <w:pPr>
        <w:pStyle w:val="Zkladntext1"/>
        <w:numPr>
          <w:ilvl w:val="0"/>
          <w:numId w:val="5"/>
        </w:numPr>
        <w:shd w:val="clear" w:color="auto" w:fill="auto"/>
        <w:tabs>
          <w:tab w:val="left" w:pos="852"/>
        </w:tabs>
        <w:spacing w:after="0"/>
      </w:pPr>
      <w:r>
        <w:t>ADYTON se zavazuje předat Klientovi spolu s Licencí k Software tuto dokumentaci:</w:t>
      </w:r>
    </w:p>
    <w:p w:rsidR="00D150E9" w:rsidRDefault="0000105D">
      <w:pPr>
        <w:pStyle w:val="Zkladntext1"/>
        <w:numPr>
          <w:ilvl w:val="0"/>
          <w:numId w:val="6"/>
        </w:numPr>
        <w:shd w:val="clear" w:color="auto" w:fill="auto"/>
        <w:tabs>
          <w:tab w:val="left" w:pos="1156"/>
        </w:tabs>
        <w:spacing w:after="0" w:line="223" w:lineRule="auto"/>
        <w:ind w:firstLine="860"/>
      </w:pPr>
      <w:r>
        <w:t>prohlášení o shodě,</w:t>
      </w:r>
    </w:p>
    <w:p w:rsidR="00D150E9" w:rsidRDefault="0000105D">
      <w:pPr>
        <w:pStyle w:val="Zkladntext1"/>
        <w:numPr>
          <w:ilvl w:val="0"/>
          <w:numId w:val="6"/>
        </w:numPr>
        <w:shd w:val="clear" w:color="auto" w:fill="auto"/>
        <w:tabs>
          <w:tab w:val="left" w:pos="1156"/>
        </w:tabs>
        <w:spacing w:after="0" w:line="223" w:lineRule="auto"/>
        <w:ind w:firstLine="860"/>
      </w:pPr>
      <w:r>
        <w:t>návod k použití,</w:t>
      </w:r>
    </w:p>
    <w:p w:rsidR="00D150E9" w:rsidRDefault="0000105D">
      <w:pPr>
        <w:pStyle w:val="Zkladntext1"/>
        <w:numPr>
          <w:ilvl w:val="0"/>
          <w:numId w:val="6"/>
        </w:numPr>
        <w:shd w:val="clear" w:color="auto" w:fill="auto"/>
        <w:tabs>
          <w:tab w:val="left" w:pos="1156"/>
        </w:tabs>
        <w:spacing w:line="223" w:lineRule="auto"/>
        <w:ind w:firstLine="860"/>
      </w:pPr>
      <w:r>
        <w:t>protokol o instruktáži obsluhy (Klientem určených osob).</w:t>
      </w:r>
    </w:p>
    <w:p w:rsidR="00D150E9" w:rsidRDefault="0000105D">
      <w:pPr>
        <w:pStyle w:val="Zkladntext1"/>
        <w:numPr>
          <w:ilvl w:val="0"/>
          <w:numId w:val="5"/>
        </w:numPr>
        <w:shd w:val="clear" w:color="auto" w:fill="auto"/>
        <w:tabs>
          <w:tab w:val="left" w:pos="852"/>
        </w:tabs>
        <w:ind w:left="860" w:hanging="860"/>
        <w:jc w:val="both"/>
      </w:pPr>
      <w:r>
        <w:t>Společně s přístupem k Softwaru zajistí ADYTON provedení instruktáže Klientem určených osob (dále jen „uživatelů“).</w:t>
      </w:r>
    </w:p>
    <w:p w:rsidR="00D150E9" w:rsidRDefault="0000105D">
      <w:pPr>
        <w:pStyle w:val="Zkladntext1"/>
        <w:numPr>
          <w:ilvl w:val="0"/>
          <w:numId w:val="5"/>
        </w:numPr>
        <w:shd w:val="clear" w:color="auto" w:fill="auto"/>
        <w:tabs>
          <w:tab w:val="left" w:pos="852"/>
        </w:tabs>
        <w:ind w:left="860" w:hanging="860"/>
        <w:jc w:val="both"/>
      </w:pPr>
      <w:r>
        <w:t>Klient není oprávněn Software rozmnožovat, rozšiřovat, upravovat, překládat, zpracovávat, napodobovat, měnit, vylepšovat, dekompilovat, rozebírat, znovu sestavovat, extrahovat myšlenky, algoritmy, postupy, pracovní postupy, hierarchie nebo zkoumat funkčnost Software či jeho části, nebo z něj vytvářet odvozená díla.</w:t>
      </w:r>
    </w:p>
    <w:p w:rsidR="00D150E9" w:rsidRDefault="0000105D">
      <w:pPr>
        <w:pStyle w:val="Zkladntext1"/>
        <w:numPr>
          <w:ilvl w:val="0"/>
          <w:numId w:val="5"/>
        </w:numPr>
        <w:shd w:val="clear" w:color="auto" w:fill="auto"/>
        <w:tabs>
          <w:tab w:val="left" w:pos="852"/>
        </w:tabs>
        <w:ind w:left="860" w:hanging="860"/>
        <w:jc w:val="both"/>
      </w:pPr>
      <w:r>
        <w:t>Klient se zavazuje písemně informovat ADYTON ve lhůtě 24 hodin od chvíle, kdy se dozví, o následující skutečnosti:</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19"/>
        <w:gridCol w:w="8510"/>
      </w:tblGrid>
      <w:tr w:rsidR="00D150E9">
        <w:trPr>
          <w:trHeight w:hRule="exact" w:val="1536"/>
          <w:jc w:val="center"/>
        </w:trPr>
        <w:tc>
          <w:tcPr>
            <w:tcW w:w="619" w:type="dxa"/>
            <w:shd w:val="clear" w:color="auto" w:fill="FFFFFF"/>
          </w:tcPr>
          <w:p w:rsidR="00D150E9" w:rsidRDefault="00D150E9">
            <w:pPr>
              <w:rPr>
                <w:sz w:val="10"/>
                <w:szCs w:val="10"/>
              </w:rPr>
            </w:pPr>
          </w:p>
        </w:tc>
        <w:tc>
          <w:tcPr>
            <w:tcW w:w="8510" w:type="dxa"/>
            <w:shd w:val="clear" w:color="auto" w:fill="FFFFFF"/>
            <w:vAlign w:val="center"/>
          </w:tcPr>
          <w:p w:rsidR="00D150E9" w:rsidRDefault="0000105D">
            <w:pPr>
              <w:pStyle w:val="Jin0"/>
              <w:shd w:val="clear" w:color="auto" w:fill="auto"/>
              <w:spacing w:after="240"/>
              <w:ind w:left="1080" w:hanging="840"/>
              <w:jc w:val="both"/>
            </w:pPr>
            <w:proofErr w:type="gramStart"/>
            <w:r>
              <w:t>III</w:t>
            </w:r>
            <w:proofErr w:type="gramEnd"/>
            <w:r>
              <w:t>.</w:t>
            </w:r>
            <w:proofErr w:type="gramStart"/>
            <w:r>
              <w:t>4.1</w:t>
            </w:r>
            <w:proofErr w:type="gramEnd"/>
            <w:r>
              <w:t xml:space="preserve"> jakýchkoliv událostech, v jejichž důsledku došlo nebo mohlo dojít ke smrti nebo zranění pacienta nebo poskytovatele zdravotních služeb a které vznikly v důsledku užití Softwaru nebo s používáním Softwaru jakkoliv souvisí,</w:t>
            </w:r>
          </w:p>
          <w:p w:rsidR="00D150E9" w:rsidRDefault="0000105D">
            <w:pPr>
              <w:pStyle w:val="Jin0"/>
              <w:shd w:val="clear" w:color="auto" w:fill="auto"/>
              <w:spacing w:after="0"/>
              <w:ind w:left="1080" w:hanging="840"/>
              <w:jc w:val="both"/>
            </w:pPr>
            <w:proofErr w:type="gramStart"/>
            <w:r>
              <w:t>III</w:t>
            </w:r>
            <w:proofErr w:type="gramEnd"/>
            <w:r>
              <w:t>.</w:t>
            </w:r>
            <w:proofErr w:type="gramStart"/>
            <w:r>
              <w:t>4.2</w:t>
            </w:r>
            <w:proofErr w:type="gramEnd"/>
            <w:r>
              <w:t xml:space="preserve"> jakýchkoliv stížnostech uživatelů Softwaru, které se týkají jeho kvality, odolnosti, spolehlivosti, použitelnosti, bezpečnosti nebo výkonu (dále jen „Incidenty“).</w:t>
            </w:r>
          </w:p>
        </w:tc>
      </w:tr>
      <w:tr w:rsidR="00D150E9">
        <w:trPr>
          <w:trHeight w:hRule="exact" w:val="686"/>
          <w:jc w:val="center"/>
        </w:trPr>
        <w:tc>
          <w:tcPr>
            <w:tcW w:w="619" w:type="dxa"/>
            <w:shd w:val="clear" w:color="auto" w:fill="FFFFFF"/>
          </w:tcPr>
          <w:p w:rsidR="00D150E9" w:rsidRDefault="0000105D">
            <w:pPr>
              <w:pStyle w:val="Jin0"/>
              <w:shd w:val="clear" w:color="auto" w:fill="auto"/>
              <w:spacing w:before="100" w:after="0"/>
              <w:jc w:val="both"/>
            </w:pPr>
            <w:proofErr w:type="gramStart"/>
            <w:r>
              <w:t>III.5</w:t>
            </w:r>
            <w:proofErr w:type="gramEnd"/>
          </w:p>
        </w:tc>
        <w:tc>
          <w:tcPr>
            <w:tcW w:w="8510" w:type="dxa"/>
            <w:shd w:val="clear" w:color="auto" w:fill="FFFFFF"/>
            <w:vAlign w:val="center"/>
          </w:tcPr>
          <w:p w:rsidR="00D150E9" w:rsidRDefault="0000105D">
            <w:pPr>
              <w:pStyle w:val="Jin0"/>
              <w:shd w:val="clear" w:color="auto" w:fill="auto"/>
              <w:spacing w:after="0"/>
              <w:ind w:left="240"/>
              <w:jc w:val="both"/>
            </w:pPr>
            <w:r>
              <w:t>Na žádost ADYTON se Klient rovněž zavazuje ve stejné lhůtě poskytnout veškeré další informace, které si ADYTON vyžádá za účelem vyhodnocení a nápravy těchto Incidentů.</w:t>
            </w:r>
          </w:p>
        </w:tc>
      </w:tr>
      <w:tr w:rsidR="00D150E9">
        <w:trPr>
          <w:trHeight w:hRule="exact" w:val="466"/>
          <w:jc w:val="center"/>
        </w:trPr>
        <w:tc>
          <w:tcPr>
            <w:tcW w:w="619" w:type="dxa"/>
            <w:shd w:val="clear" w:color="auto" w:fill="FFFFFF"/>
            <w:vAlign w:val="bottom"/>
          </w:tcPr>
          <w:p w:rsidR="00D150E9" w:rsidRDefault="0000105D">
            <w:pPr>
              <w:pStyle w:val="Jin0"/>
              <w:shd w:val="clear" w:color="auto" w:fill="auto"/>
              <w:spacing w:after="0"/>
              <w:jc w:val="both"/>
            </w:pPr>
            <w:r>
              <w:rPr>
                <w:b/>
                <w:bCs/>
              </w:rPr>
              <w:t>IV.</w:t>
            </w:r>
          </w:p>
        </w:tc>
        <w:tc>
          <w:tcPr>
            <w:tcW w:w="8510" w:type="dxa"/>
            <w:shd w:val="clear" w:color="auto" w:fill="FFFFFF"/>
            <w:vAlign w:val="center"/>
          </w:tcPr>
          <w:p w:rsidR="00D150E9" w:rsidRDefault="0000105D">
            <w:pPr>
              <w:pStyle w:val="Jin0"/>
              <w:shd w:val="clear" w:color="auto" w:fill="auto"/>
              <w:spacing w:after="0"/>
              <w:ind w:firstLine="240"/>
              <w:jc w:val="both"/>
            </w:pPr>
            <w:r>
              <w:rPr>
                <w:b/>
                <w:bCs/>
              </w:rPr>
              <w:t>ODPOVĚDNOST ZA ŠKODU</w:t>
            </w:r>
          </w:p>
        </w:tc>
      </w:tr>
      <w:tr w:rsidR="00D150E9">
        <w:trPr>
          <w:trHeight w:hRule="exact" w:val="936"/>
          <w:jc w:val="center"/>
        </w:trPr>
        <w:tc>
          <w:tcPr>
            <w:tcW w:w="619" w:type="dxa"/>
            <w:shd w:val="clear" w:color="auto" w:fill="FFFFFF"/>
          </w:tcPr>
          <w:p w:rsidR="00D150E9" w:rsidRDefault="0000105D">
            <w:pPr>
              <w:pStyle w:val="Jin0"/>
              <w:shd w:val="clear" w:color="auto" w:fill="auto"/>
              <w:spacing w:before="120" w:after="0"/>
              <w:jc w:val="both"/>
            </w:pPr>
            <w:proofErr w:type="gramStart"/>
            <w:r>
              <w:t>IV.1</w:t>
            </w:r>
            <w:proofErr w:type="gramEnd"/>
          </w:p>
        </w:tc>
        <w:tc>
          <w:tcPr>
            <w:tcW w:w="8510" w:type="dxa"/>
            <w:shd w:val="clear" w:color="auto" w:fill="FFFFFF"/>
            <w:vAlign w:val="center"/>
          </w:tcPr>
          <w:p w:rsidR="00D150E9" w:rsidRDefault="0000105D">
            <w:pPr>
              <w:pStyle w:val="Jin0"/>
              <w:shd w:val="clear" w:color="auto" w:fill="auto"/>
              <w:spacing w:after="0"/>
              <w:ind w:left="240"/>
              <w:jc w:val="both"/>
            </w:pPr>
            <w:r>
              <w:t>Smluvní strany nesou odpovědnost za způsobenou škodu v rámci platných právních předpisů a této Smlouvy. Smluvní strany se zavazují k vyvinutí maximálního úsilí k předcházení škodám a k minimalizaci vzniklých škod.</w:t>
            </w:r>
          </w:p>
        </w:tc>
      </w:tr>
      <w:tr w:rsidR="00D150E9">
        <w:trPr>
          <w:trHeight w:hRule="exact" w:val="691"/>
          <w:jc w:val="center"/>
        </w:trPr>
        <w:tc>
          <w:tcPr>
            <w:tcW w:w="619" w:type="dxa"/>
            <w:shd w:val="clear" w:color="auto" w:fill="FFFFFF"/>
            <w:vAlign w:val="center"/>
          </w:tcPr>
          <w:p w:rsidR="00D150E9" w:rsidRDefault="0000105D">
            <w:pPr>
              <w:pStyle w:val="Jin0"/>
              <w:shd w:val="clear" w:color="auto" w:fill="auto"/>
              <w:spacing w:after="0"/>
              <w:jc w:val="both"/>
            </w:pPr>
            <w:proofErr w:type="gramStart"/>
            <w:r>
              <w:t>IV.2</w:t>
            </w:r>
            <w:proofErr w:type="gramEnd"/>
          </w:p>
        </w:tc>
        <w:tc>
          <w:tcPr>
            <w:tcW w:w="8510" w:type="dxa"/>
            <w:shd w:val="clear" w:color="auto" w:fill="FFFFFF"/>
            <w:vAlign w:val="center"/>
          </w:tcPr>
          <w:p w:rsidR="00D150E9" w:rsidRDefault="0000105D">
            <w:pPr>
              <w:pStyle w:val="Jin0"/>
              <w:shd w:val="clear" w:color="auto" w:fill="auto"/>
              <w:spacing w:after="0"/>
              <w:ind w:left="240"/>
              <w:jc w:val="both"/>
            </w:pPr>
            <w:r>
              <w:t>Nahrazuje se skutečná škoda a ušlý zisk. Náhrada škody se řídí obecnými ustanoveními občanského zákoníku.</w:t>
            </w:r>
          </w:p>
        </w:tc>
      </w:tr>
      <w:tr w:rsidR="00D150E9">
        <w:trPr>
          <w:trHeight w:hRule="exact" w:val="720"/>
          <w:jc w:val="center"/>
        </w:trPr>
        <w:tc>
          <w:tcPr>
            <w:tcW w:w="619" w:type="dxa"/>
            <w:shd w:val="clear" w:color="auto" w:fill="FFFFFF"/>
            <w:vAlign w:val="center"/>
          </w:tcPr>
          <w:p w:rsidR="00D150E9" w:rsidRDefault="0000105D">
            <w:pPr>
              <w:pStyle w:val="Jin0"/>
              <w:shd w:val="clear" w:color="auto" w:fill="auto"/>
              <w:spacing w:after="0"/>
              <w:jc w:val="both"/>
            </w:pPr>
            <w:proofErr w:type="gramStart"/>
            <w:r>
              <w:t>IV.3</w:t>
            </w:r>
            <w:proofErr w:type="gramEnd"/>
          </w:p>
        </w:tc>
        <w:tc>
          <w:tcPr>
            <w:tcW w:w="8510" w:type="dxa"/>
            <w:shd w:val="clear" w:color="auto" w:fill="FFFFFF"/>
            <w:vAlign w:val="center"/>
          </w:tcPr>
          <w:p w:rsidR="00D150E9" w:rsidRDefault="0000105D">
            <w:pPr>
              <w:pStyle w:val="Jin0"/>
              <w:shd w:val="clear" w:color="auto" w:fill="auto"/>
              <w:spacing w:after="0"/>
              <w:ind w:left="240"/>
              <w:jc w:val="both"/>
            </w:pPr>
            <w:r>
              <w:t>ADYTON odpovídá za to, že Software je vyvinut a testován v souladu s platnými právními předpisy a splňuje požadavky na bezpečnost a účinnost podle příslušných právních předpisů.</w:t>
            </w:r>
          </w:p>
        </w:tc>
      </w:tr>
      <w:tr w:rsidR="00D150E9">
        <w:trPr>
          <w:trHeight w:hRule="exact" w:val="691"/>
          <w:jc w:val="center"/>
        </w:trPr>
        <w:tc>
          <w:tcPr>
            <w:tcW w:w="619" w:type="dxa"/>
            <w:shd w:val="clear" w:color="auto" w:fill="FFFFFF"/>
            <w:vAlign w:val="center"/>
          </w:tcPr>
          <w:p w:rsidR="00D150E9" w:rsidRDefault="0000105D">
            <w:pPr>
              <w:pStyle w:val="Jin0"/>
              <w:shd w:val="clear" w:color="auto" w:fill="auto"/>
              <w:spacing w:after="0"/>
              <w:jc w:val="both"/>
            </w:pPr>
            <w:proofErr w:type="gramStart"/>
            <w:r>
              <w:t>IV.4</w:t>
            </w:r>
            <w:proofErr w:type="gramEnd"/>
          </w:p>
        </w:tc>
        <w:tc>
          <w:tcPr>
            <w:tcW w:w="8510" w:type="dxa"/>
            <w:shd w:val="clear" w:color="auto" w:fill="FFFFFF"/>
            <w:vAlign w:val="center"/>
          </w:tcPr>
          <w:p w:rsidR="00D150E9" w:rsidRDefault="0000105D">
            <w:pPr>
              <w:pStyle w:val="Jin0"/>
              <w:shd w:val="clear" w:color="auto" w:fill="auto"/>
              <w:spacing w:after="0"/>
              <w:ind w:left="240"/>
              <w:jc w:val="both"/>
            </w:pPr>
            <w:r>
              <w:t>ADYTON je odpovědný za škody způsobené prokazatelnou vadou Software, pokud byla tato vada způsobena nedodržením požadavků na kvalitu nebo nefunkčností Software.</w:t>
            </w:r>
          </w:p>
        </w:tc>
      </w:tr>
      <w:tr w:rsidR="00D150E9">
        <w:trPr>
          <w:trHeight w:hRule="exact" w:val="470"/>
          <w:jc w:val="center"/>
        </w:trPr>
        <w:tc>
          <w:tcPr>
            <w:tcW w:w="619" w:type="dxa"/>
            <w:shd w:val="clear" w:color="auto" w:fill="FFFFFF"/>
            <w:vAlign w:val="center"/>
          </w:tcPr>
          <w:p w:rsidR="00D150E9" w:rsidRDefault="0000105D">
            <w:pPr>
              <w:pStyle w:val="Jin0"/>
              <w:shd w:val="clear" w:color="auto" w:fill="auto"/>
              <w:spacing w:after="0"/>
              <w:jc w:val="both"/>
            </w:pPr>
            <w:proofErr w:type="gramStart"/>
            <w:r>
              <w:t>IV.5</w:t>
            </w:r>
            <w:proofErr w:type="gramEnd"/>
          </w:p>
        </w:tc>
        <w:tc>
          <w:tcPr>
            <w:tcW w:w="8510" w:type="dxa"/>
            <w:shd w:val="clear" w:color="auto" w:fill="FFFFFF"/>
            <w:vAlign w:val="center"/>
          </w:tcPr>
          <w:p w:rsidR="00D150E9" w:rsidRDefault="0000105D">
            <w:pPr>
              <w:pStyle w:val="Jin0"/>
              <w:shd w:val="clear" w:color="auto" w:fill="auto"/>
              <w:spacing w:after="0"/>
              <w:ind w:firstLine="240"/>
            </w:pPr>
            <w:r>
              <w:t>ADYTON odpoví za škody vzniklé porušením článku V. Smlouvy.</w:t>
            </w:r>
          </w:p>
        </w:tc>
      </w:tr>
      <w:tr w:rsidR="00D150E9">
        <w:trPr>
          <w:trHeight w:hRule="exact" w:val="456"/>
          <w:jc w:val="center"/>
        </w:trPr>
        <w:tc>
          <w:tcPr>
            <w:tcW w:w="619" w:type="dxa"/>
            <w:shd w:val="clear" w:color="auto" w:fill="FFFFFF"/>
            <w:vAlign w:val="bottom"/>
          </w:tcPr>
          <w:p w:rsidR="00D150E9" w:rsidRDefault="0000105D">
            <w:pPr>
              <w:pStyle w:val="Jin0"/>
              <w:shd w:val="clear" w:color="auto" w:fill="auto"/>
              <w:spacing w:after="0"/>
              <w:jc w:val="both"/>
            </w:pPr>
            <w:r>
              <w:rPr>
                <w:b/>
                <w:bCs/>
              </w:rPr>
              <w:t>V.</w:t>
            </w:r>
          </w:p>
        </w:tc>
        <w:tc>
          <w:tcPr>
            <w:tcW w:w="8510" w:type="dxa"/>
            <w:shd w:val="clear" w:color="auto" w:fill="FFFFFF"/>
            <w:vAlign w:val="center"/>
          </w:tcPr>
          <w:p w:rsidR="00D150E9" w:rsidRDefault="0000105D">
            <w:pPr>
              <w:pStyle w:val="Jin0"/>
              <w:shd w:val="clear" w:color="auto" w:fill="auto"/>
              <w:spacing w:after="0"/>
              <w:ind w:firstLine="240"/>
              <w:jc w:val="both"/>
            </w:pPr>
            <w:r>
              <w:rPr>
                <w:b/>
                <w:bCs/>
              </w:rPr>
              <w:t>MLČENLIVOST</w:t>
            </w:r>
          </w:p>
        </w:tc>
      </w:tr>
      <w:tr w:rsidR="00D150E9">
        <w:trPr>
          <w:trHeight w:hRule="exact" w:val="1632"/>
          <w:jc w:val="center"/>
        </w:trPr>
        <w:tc>
          <w:tcPr>
            <w:tcW w:w="619" w:type="dxa"/>
            <w:shd w:val="clear" w:color="auto" w:fill="FFFFFF"/>
          </w:tcPr>
          <w:p w:rsidR="00D150E9" w:rsidRDefault="0000105D">
            <w:pPr>
              <w:pStyle w:val="Jin0"/>
              <w:shd w:val="clear" w:color="auto" w:fill="auto"/>
              <w:spacing w:before="120" w:after="0"/>
              <w:jc w:val="both"/>
            </w:pPr>
            <w:proofErr w:type="gramStart"/>
            <w:r>
              <w:t>V.1</w:t>
            </w:r>
            <w:proofErr w:type="gramEnd"/>
          </w:p>
        </w:tc>
        <w:tc>
          <w:tcPr>
            <w:tcW w:w="8510" w:type="dxa"/>
            <w:shd w:val="clear" w:color="auto" w:fill="FFFFFF"/>
            <w:vAlign w:val="center"/>
          </w:tcPr>
          <w:p w:rsidR="00D150E9" w:rsidRDefault="0000105D">
            <w:pPr>
              <w:pStyle w:val="Jin0"/>
              <w:shd w:val="clear" w:color="auto" w:fill="auto"/>
              <w:spacing w:after="0"/>
              <w:ind w:left="240"/>
              <w:jc w:val="both"/>
            </w:pPr>
            <w:r>
              <w:t>V průběhu plnění Předmětu smlouvy může ADYTON přijít do styku s důvěrnými informacemi týkající se Klienta, jeho zaměstnanců či pacientů:</w:t>
            </w:r>
          </w:p>
          <w:p w:rsidR="00D150E9" w:rsidRDefault="0000105D">
            <w:pPr>
              <w:pStyle w:val="Jin0"/>
              <w:numPr>
                <w:ilvl w:val="0"/>
                <w:numId w:val="7"/>
              </w:numPr>
              <w:shd w:val="clear" w:color="auto" w:fill="auto"/>
              <w:tabs>
                <w:tab w:val="left" w:pos="523"/>
              </w:tabs>
              <w:spacing w:after="0" w:line="233" w:lineRule="auto"/>
              <w:ind w:left="520" w:hanging="280"/>
              <w:jc w:val="both"/>
            </w:pPr>
            <w:r>
              <w:t>mající povahu osobních údajů identifikovatelných fyzických osob, obchodních údajů, či údajů o jiných právních a faktických vztazích Klienta,</w:t>
            </w:r>
          </w:p>
          <w:p w:rsidR="00D150E9" w:rsidRDefault="0000105D">
            <w:pPr>
              <w:pStyle w:val="Jin0"/>
              <w:numPr>
                <w:ilvl w:val="0"/>
                <w:numId w:val="7"/>
              </w:numPr>
              <w:shd w:val="clear" w:color="auto" w:fill="auto"/>
              <w:tabs>
                <w:tab w:val="left" w:pos="533"/>
              </w:tabs>
              <w:spacing w:after="0" w:line="233" w:lineRule="auto"/>
              <w:ind w:left="520" w:hanging="280"/>
              <w:jc w:val="both"/>
            </w:pPr>
            <w:r>
              <w:t>které ADYTON obdržel či obdrží, a to ať již písemně, ústně, v elektronické či jiné formě, a to na jakémkoli nosiči, na němž takováto informace může být nahrána nebo uložena.</w:t>
            </w:r>
          </w:p>
        </w:tc>
      </w:tr>
      <w:tr w:rsidR="00D150E9">
        <w:trPr>
          <w:trHeight w:hRule="exact" w:val="941"/>
          <w:jc w:val="center"/>
        </w:trPr>
        <w:tc>
          <w:tcPr>
            <w:tcW w:w="619" w:type="dxa"/>
            <w:shd w:val="clear" w:color="auto" w:fill="FFFFFF"/>
          </w:tcPr>
          <w:p w:rsidR="00D150E9" w:rsidRDefault="0000105D">
            <w:pPr>
              <w:pStyle w:val="Jin0"/>
              <w:shd w:val="clear" w:color="auto" w:fill="auto"/>
              <w:spacing w:before="100" w:after="0"/>
              <w:jc w:val="both"/>
            </w:pPr>
            <w:proofErr w:type="gramStart"/>
            <w:r>
              <w:t>V.2</w:t>
            </w:r>
            <w:proofErr w:type="gramEnd"/>
          </w:p>
        </w:tc>
        <w:tc>
          <w:tcPr>
            <w:tcW w:w="8510" w:type="dxa"/>
            <w:shd w:val="clear" w:color="auto" w:fill="FFFFFF"/>
            <w:vAlign w:val="center"/>
          </w:tcPr>
          <w:p w:rsidR="00D150E9" w:rsidRDefault="0000105D">
            <w:pPr>
              <w:pStyle w:val="Jin0"/>
              <w:shd w:val="clear" w:color="auto" w:fill="auto"/>
              <w:spacing w:after="0"/>
              <w:ind w:left="24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tc>
      </w:tr>
      <w:tr w:rsidR="00D150E9">
        <w:trPr>
          <w:trHeight w:hRule="exact" w:val="917"/>
          <w:jc w:val="center"/>
        </w:trPr>
        <w:tc>
          <w:tcPr>
            <w:tcW w:w="619" w:type="dxa"/>
            <w:shd w:val="clear" w:color="auto" w:fill="FFFFFF"/>
          </w:tcPr>
          <w:p w:rsidR="00D150E9" w:rsidRDefault="0000105D">
            <w:pPr>
              <w:pStyle w:val="Jin0"/>
              <w:shd w:val="clear" w:color="auto" w:fill="auto"/>
              <w:spacing w:before="100" w:after="0"/>
              <w:jc w:val="both"/>
            </w:pPr>
            <w:proofErr w:type="gramStart"/>
            <w:r>
              <w:t>V.3</w:t>
            </w:r>
            <w:proofErr w:type="gramEnd"/>
          </w:p>
        </w:tc>
        <w:tc>
          <w:tcPr>
            <w:tcW w:w="8510" w:type="dxa"/>
            <w:shd w:val="clear" w:color="auto" w:fill="FFFFFF"/>
            <w:vAlign w:val="center"/>
          </w:tcPr>
          <w:p w:rsidR="00D150E9" w:rsidRDefault="0000105D">
            <w:pPr>
              <w:pStyle w:val="Jin0"/>
              <w:shd w:val="clear" w:color="auto" w:fill="auto"/>
              <w:spacing w:after="0"/>
              <w:ind w:left="240"/>
              <w:jc w:val="both"/>
            </w:pPr>
            <w:r>
              <w:t xml:space="preserve">V případě pochybností sdělí Klient na žádost </w:t>
            </w:r>
            <w:proofErr w:type="spellStart"/>
            <w:r>
              <w:t>ADYTONu</w:t>
            </w:r>
            <w:proofErr w:type="spellEnd"/>
            <w:r>
              <w:t>, zda informaci považuje za důvěrnou. Nepožádal-li ADYTON o toto sdělení, má se v případě pochybností za to, že informace je důvěrná.</w:t>
            </w:r>
          </w:p>
        </w:tc>
      </w:tr>
      <w:tr w:rsidR="00D150E9">
        <w:trPr>
          <w:trHeight w:hRule="exact" w:val="1176"/>
          <w:jc w:val="center"/>
        </w:trPr>
        <w:tc>
          <w:tcPr>
            <w:tcW w:w="619" w:type="dxa"/>
            <w:shd w:val="clear" w:color="auto" w:fill="FFFFFF"/>
          </w:tcPr>
          <w:p w:rsidR="00D150E9" w:rsidRDefault="0000105D">
            <w:pPr>
              <w:pStyle w:val="Jin0"/>
              <w:shd w:val="clear" w:color="auto" w:fill="auto"/>
              <w:spacing w:before="120" w:after="0"/>
              <w:jc w:val="both"/>
            </w:pPr>
            <w:proofErr w:type="gramStart"/>
            <w:r>
              <w:t>V.4</w:t>
            </w:r>
            <w:proofErr w:type="gramEnd"/>
          </w:p>
        </w:tc>
        <w:tc>
          <w:tcPr>
            <w:tcW w:w="8510" w:type="dxa"/>
            <w:shd w:val="clear" w:color="auto" w:fill="FFFFFF"/>
            <w:vAlign w:val="center"/>
          </w:tcPr>
          <w:p w:rsidR="00D150E9" w:rsidRDefault="0000105D">
            <w:pPr>
              <w:pStyle w:val="Jin0"/>
              <w:shd w:val="clear" w:color="auto" w:fill="auto"/>
              <w:spacing w:after="0"/>
              <w:ind w:left="240"/>
              <w:jc w:val="both"/>
            </w:pPr>
            <w:r>
              <w:t xml:space="preserve">ADYTON zajistí zachování mlčenlivosti o veškerých důvěrných informacích a zajistí přenesení povinnosti mlčenlivosti v plném rozsahu této Smlouvy na své zaměstnance i jakékoli další osoby v právním či faktickém vztahu k </w:t>
            </w:r>
            <w:proofErr w:type="spellStart"/>
            <w:r>
              <w:t>ADYTONu</w:t>
            </w:r>
            <w:proofErr w:type="spellEnd"/>
            <w:r>
              <w:t>, které se budou na realizaci Předmětu smlouvy podílet. To platí i pro ostatní povinnosti uložené touto Smlouvou.</w:t>
            </w:r>
          </w:p>
        </w:tc>
      </w:tr>
      <w:tr w:rsidR="00D150E9">
        <w:trPr>
          <w:trHeight w:hRule="exact" w:val="1373"/>
          <w:jc w:val="center"/>
        </w:trPr>
        <w:tc>
          <w:tcPr>
            <w:tcW w:w="619" w:type="dxa"/>
            <w:shd w:val="clear" w:color="auto" w:fill="FFFFFF"/>
          </w:tcPr>
          <w:p w:rsidR="00D150E9" w:rsidRDefault="0000105D">
            <w:pPr>
              <w:pStyle w:val="Jin0"/>
              <w:shd w:val="clear" w:color="auto" w:fill="auto"/>
              <w:spacing w:before="100" w:after="0"/>
              <w:jc w:val="both"/>
            </w:pPr>
            <w:proofErr w:type="gramStart"/>
            <w:r>
              <w:t>V.5</w:t>
            </w:r>
            <w:proofErr w:type="gramEnd"/>
          </w:p>
        </w:tc>
        <w:tc>
          <w:tcPr>
            <w:tcW w:w="8510" w:type="dxa"/>
            <w:shd w:val="clear" w:color="auto" w:fill="FFFFFF"/>
            <w:vAlign w:val="center"/>
          </w:tcPr>
          <w:p w:rsidR="00D150E9" w:rsidRDefault="0000105D">
            <w:pPr>
              <w:pStyle w:val="Jin0"/>
              <w:shd w:val="clear" w:color="auto" w:fill="auto"/>
              <w:spacing w:after="0"/>
              <w:ind w:left="240"/>
              <w:jc w:val="both"/>
            </w:pPr>
            <w:r>
              <w:t>ADYTON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w:t>
            </w:r>
          </w:p>
        </w:tc>
      </w:tr>
      <w:tr w:rsidR="00D150E9">
        <w:trPr>
          <w:trHeight w:hRule="exact" w:val="605"/>
          <w:jc w:val="center"/>
        </w:trPr>
        <w:tc>
          <w:tcPr>
            <w:tcW w:w="619" w:type="dxa"/>
            <w:shd w:val="clear" w:color="auto" w:fill="FFFFFF"/>
            <w:vAlign w:val="center"/>
          </w:tcPr>
          <w:p w:rsidR="00D150E9" w:rsidRDefault="0000105D">
            <w:pPr>
              <w:pStyle w:val="Jin0"/>
              <w:shd w:val="clear" w:color="auto" w:fill="auto"/>
              <w:spacing w:after="0"/>
              <w:jc w:val="both"/>
            </w:pPr>
            <w:proofErr w:type="gramStart"/>
            <w:r>
              <w:t>V.6</w:t>
            </w:r>
            <w:proofErr w:type="gramEnd"/>
          </w:p>
        </w:tc>
        <w:tc>
          <w:tcPr>
            <w:tcW w:w="8510" w:type="dxa"/>
            <w:shd w:val="clear" w:color="auto" w:fill="FFFFFF"/>
            <w:vAlign w:val="bottom"/>
          </w:tcPr>
          <w:p w:rsidR="00D150E9" w:rsidRDefault="0000105D">
            <w:pPr>
              <w:pStyle w:val="Jin0"/>
              <w:shd w:val="clear" w:color="auto" w:fill="auto"/>
              <w:spacing w:after="0"/>
              <w:ind w:left="240"/>
              <w:jc w:val="both"/>
            </w:pPr>
            <w:r>
              <w:t>Ustanovení tohoto článku se vztahují jak na období platnosti této Smlouvy, tak na období po jejím ukončení.</w:t>
            </w:r>
          </w:p>
        </w:tc>
      </w:tr>
    </w:tbl>
    <w:p w:rsidR="00D150E9" w:rsidRDefault="0000105D">
      <w:pPr>
        <w:spacing w:line="1" w:lineRule="exact"/>
        <w:rPr>
          <w:sz w:val="2"/>
          <w:szCs w:val="2"/>
        </w:rPr>
      </w:pPr>
      <w:r>
        <w:br w:type="page"/>
      </w:r>
    </w:p>
    <w:p w:rsidR="00D150E9" w:rsidRDefault="0000105D">
      <w:pPr>
        <w:pStyle w:val="Nadpis30"/>
        <w:keepNext/>
        <w:keepLines/>
        <w:shd w:val="clear" w:color="auto" w:fill="auto"/>
        <w:jc w:val="both"/>
      </w:pPr>
      <w:bookmarkStart w:id="12" w:name="bookmark12"/>
      <w:bookmarkStart w:id="13" w:name="bookmark13"/>
      <w:r>
        <w:lastRenderedPageBreak/>
        <w:t xml:space="preserve">VI. </w:t>
      </w:r>
      <w:r>
        <w:rPr>
          <w:u w:val="single"/>
        </w:rPr>
        <w:t>ZÁVĚREČNÁ USTANOVENÍ</w:t>
      </w:r>
      <w:bookmarkEnd w:id="12"/>
      <w:bookmarkEnd w:id="13"/>
    </w:p>
    <w:p w:rsidR="00D150E9" w:rsidRDefault="0000105D">
      <w:pPr>
        <w:pStyle w:val="Zkladntext1"/>
        <w:shd w:val="clear" w:color="auto" w:fill="auto"/>
        <w:ind w:left="860" w:hanging="860"/>
        <w:jc w:val="both"/>
      </w:pPr>
      <w:proofErr w:type="gramStart"/>
      <w:r>
        <w:t>VI.1 Tato</w:t>
      </w:r>
      <w:proofErr w:type="gramEnd"/>
      <w:r>
        <w:t xml:space="preserve"> Smlouva nabývá platnosti a účinnosti dnem jejího podpisu oběma Smluvními stranami. Odkládací podmínky se nesjednávají. Tato Smlouva se uzavírá na dobu určitou, a to na tři (3) měsíce ode dne její účinnosti.</w:t>
      </w:r>
    </w:p>
    <w:p w:rsidR="00D150E9" w:rsidRDefault="0000105D">
      <w:pPr>
        <w:pStyle w:val="Zkladntext1"/>
        <w:shd w:val="clear" w:color="auto" w:fill="auto"/>
        <w:tabs>
          <w:tab w:val="left" w:pos="768"/>
        </w:tabs>
        <w:spacing w:after="0"/>
        <w:jc w:val="both"/>
      </w:pPr>
      <w:proofErr w:type="gramStart"/>
      <w:r>
        <w:t>VI.2</w:t>
      </w:r>
      <w:r>
        <w:tab/>
        <w:t>ADYTON</w:t>
      </w:r>
      <w:proofErr w:type="gramEnd"/>
      <w:r>
        <w:t xml:space="preserve"> bere na vědomí, že smlouvy s hodnotou předmětu plnění převyšující 50.000 Kč bez</w:t>
      </w:r>
    </w:p>
    <w:p w:rsidR="00D150E9" w:rsidRDefault="0000105D">
      <w:pPr>
        <w:pStyle w:val="Zkladntext1"/>
        <w:shd w:val="clear" w:color="auto" w:fill="auto"/>
        <w:ind w:left="860"/>
        <w:jc w:val="both"/>
      </w:pPr>
      <w:r>
        <w:t>DPH včetně dohod, na základě, kterých se tyto smlouvy mění, nahrazují nebo ruší, zveřejní Klient v registru smluv zřízeném jako informační systém veřejné správy na základě zákona č. 340/2015 Sb., o registru smluv. V takovém případě nabyde tato Smlouva účinnosti až zveřejněním v registru smluv.</w:t>
      </w:r>
    </w:p>
    <w:p w:rsidR="00D150E9" w:rsidRDefault="0000105D">
      <w:pPr>
        <w:pStyle w:val="Zkladntext1"/>
        <w:shd w:val="clear" w:color="auto" w:fill="auto"/>
        <w:ind w:left="860" w:hanging="860"/>
        <w:jc w:val="both"/>
      </w:pPr>
      <w:proofErr w:type="gramStart"/>
      <w:r>
        <w:t>VI.3 Jakékoliv</w:t>
      </w:r>
      <w:proofErr w:type="gramEnd"/>
      <w:r>
        <w:t xml:space="preserve"> změny nebo doplňky této smlouvy musí být provedeny formou písemných, chronologicky číslovaných dodatků, podepsaných oběma smluvními stranami.</w:t>
      </w:r>
    </w:p>
    <w:p w:rsidR="00D150E9" w:rsidRDefault="0000105D">
      <w:pPr>
        <w:pStyle w:val="Zkladntext1"/>
        <w:shd w:val="clear" w:color="auto" w:fill="auto"/>
        <w:ind w:left="860" w:hanging="860"/>
        <w:jc w:val="both"/>
      </w:pPr>
      <w:proofErr w:type="gramStart"/>
      <w:r>
        <w:t>VI.4 Právní</w:t>
      </w:r>
      <w:proofErr w:type="gramEnd"/>
      <w:r>
        <w:t xml:space="preserve"> vztahy touto smlouvou výslovně neupravené se řídí příslušnými ustanoveními obecně závazných právních předpisů České republiky.</w:t>
      </w:r>
    </w:p>
    <w:p w:rsidR="00D150E9" w:rsidRDefault="0000105D">
      <w:pPr>
        <w:pStyle w:val="Zkladntext1"/>
        <w:shd w:val="clear" w:color="auto" w:fill="auto"/>
        <w:jc w:val="both"/>
      </w:pPr>
      <w:proofErr w:type="gramStart"/>
      <w:r>
        <w:t>VI.5 Tato</w:t>
      </w:r>
      <w:proofErr w:type="gramEnd"/>
      <w:r>
        <w:t xml:space="preserve"> Smlouva může být ukončena:</w:t>
      </w:r>
    </w:p>
    <w:p w:rsidR="00D150E9" w:rsidRDefault="0000105D">
      <w:pPr>
        <w:pStyle w:val="Zkladntext1"/>
        <w:shd w:val="clear" w:color="auto" w:fill="auto"/>
        <w:ind w:firstLine="860"/>
        <w:jc w:val="both"/>
      </w:pPr>
      <w:proofErr w:type="gramStart"/>
      <w:r>
        <w:t>VI.5.1</w:t>
      </w:r>
      <w:proofErr w:type="gramEnd"/>
      <w:r>
        <w:t xml:space="preserve"> dohodou Smluvních stran;</w:t>
      </w:r>
    </w:p>
    <w:p w:rsidR="00D150E9" w:rsidRDefault="0000105D">
      <w:pPr>
        <w:pStyle w:val="Zkladntext1"/>
        <w:shd w:val="clear" w:color="auto" w:fill="auto"/>
        <w:ind w:left="1720" w:hanging="860"/>
        <w:jc w:val="both"/>
      </w:pPr>
      <w:proofErr w:type="gramStart"/>
      <w:r>
        <w:t>VI.5.2</w:t>
      </w:r>
      <w:proofErr w:type="gramEnd"/>
      <w:r>
        <w:t xml:space="preserve"> odstoupením některé ze Smluvních stran v důsledku podstatného porušení této Smlouvy s účinností k okamžiku doručení oznámení o odstoupení od Smlouvy druhé Smluvní straně;</w:t>
      </w:r>
    </w:p>
    <w:p w:rsidR="00D150E9" w:rsidRDefault="0000105D">
      <w:pPr>
        <w:pStyle w:val="Zkladntext1"/>
        <w:shd w:val="clear" w:color="auto" w:fill="auto"/>
        <w:tabs>
          <w:tab w:val="left" w:pos="1666"/>
        </w:tabs>
        <w:spacing w:after="0"/>
        <w:ind w:firstLine="860"/>
        <w:jc w:val="both"/>
      </w:pPr>
      <w:proofErr w:type="gramStart"/>
      <w:r>
        <w:t>VI.5.3</w:t>
      </w:r>
      <w:proofErr w:type="gramEnd"/>
      <w:r>
        <w:tab/>
        <w:t>výpovědí kterékoliv ze Smluvních stran, a to i bez udání důvodu, s výpovědní dobou</w:t>
      </w:r>
    </w:p>
    <w:p w:rsidR="00D150E9" w:rsidRDefault="0000105D">
      <w:pPr>
        <w:pStyle w:val="Zkladntext1"/>
        <w:shd w:val="clear" w:color="auto" w:fill="auto"/>
        <w:ind w:left="1720"/>
        <w:jc w:val="both"/>
      </w:pPr>
      <w:r>
        <w:t>v délce deseti (10) dnů, která počíná běžet prvním dnem následujícím po dni, kdy byla výpověď doručena druhé Smluvní straně.</w:t>
      </w:r>
    </w:p>
    <w:p w:rsidR="00D150E9" w:rsidRDefault="0000105D">
      <w:pPr>
        <w:pStyle w:val="Zkladntext1"/>
        <w:shd w:val="clear" w:color="auto" w:fill="auto"/>
        <w:tabs>
          <w:tab w:val="left" w:pos="768"/>
        </w:tabs>
        <w:spacing w:after="0"/>
        <w:jc w:val="both"/>
      </w:pPr>
      <w:proofErr w:type="gramStart"/>
      <w:r>
        <w:t>VI.6</w:t>
      </w:r>
      <w:r>
        <w:tab/>
        <w:t>Tato</w:t>
      </w:r>
      <w:proofErr w:type="gramEnd"/>
      <w:r>
        <w:t xml:space="preserve"> Smlouva byla vyhotovena ve dvou (2) stejnopisech, z nichž každý má platnost originálu.</w:t>
      </w:r>
    </w:p>
    <w:p w:rsidR="00D150E9" w:rsidRDefault="0000105D">
      <w:pPr>
        <w:pStyle w:val="Zkladntext1"/>
        <w:shd w:val="clear" w:color="auto" w:fill="auto"/>
        <w:ind w:left="860"/>
        <w:jc w:val="both"/>
      </w:pPr>
      <w:r>
        <w:t>Každá Smluvní strana obdrží jeden (1) stejnopis Smlouvy. To neplatí v případě, že tato smlouva byla podepsána elektronickým podpisem dle zákona č. 297/2016 Sb., o službách vytvářejících důvěru pro elektronické transakce, ve znění pozdějších předpisů, kdy každá smluvní strana obdrží vyhotovení smlouvy s elektronickými podpisy oprávněných zástupců obou smluvních stran.</w:t>
      </w:r>
    </w:p>
    <w:p w:rsidR="00D150E9" w:rsidRDefault="0000105D">
      <w:pPr>
        <w:pStyle w:val="Zkladntext1"/>
        <w:shd w:val="clear" w:color="auto" w:fill="auto"/>
        <w:ind w:left="860" w:hanging="860"/>
        <w:jc w:val="both"/>
      </w:pPr>
      <w:proofErr w:type="gramStart"/>
      <w:r>
        <w:t>VI.7 Smluvní</w:t>
      </w:r>
      <w:proofErr w:type="gramEnd"/>
      <w:r>
        <w:t xml:space="preserve"> strany prohlašují, že jsou plně svéprávné, že Smlouvu uzavřely vážně a svobodně, že při jejím sepsání nebylo zneužito tísně, nezkušenosti, rozumové slabosti, rozrušení nebo lehkomyslnosti ani jedné ze Smluvních stran, že si Smlouvu přečetly a s jejím obsahem souhlasí a jsou si vědomy svých závazků ze Smlouvy vyplývajících, a na důkaz toho připojují níže své vlastnoruční podpisy.</w:t>
      </w:r>
    </w:p>
    <w:p w:rsidR="00D150E9" w:rsidRDefault="0000105D">
      <w:pPr>
        <w:pStyle w:val="Zkladntext1"/>
        <w:shd w:val="clear" w:color="auto" w:fill="auto"/>
        <w:tabs>
          <w:tab w:val="left" w:pos="768"/>
        </w:tabs>
        <w:spacing w:after="0"/>
        <w:jc w:val="both"/>
      </w:pPr>
      <w:proofErr w:type="gramStart"/>
      <w:r>
        <w:t>VI.8</w:t>
      </w:r>
      <w:r>
        <w:tab/>
        <w:t>Nedílnou</w:t>
      </w:r>
      <w:proofErr w:type="gramEnd"/>
      <w:r>
        <w:t xml:space="preserve"> součástí této smlouvy je její příloha č. 1 - Pravidla pro zřízení a používání vzdáleného</w:t>
      </w:r>
    </w:p>
    <w:p w:rsidR="00D150E9" w:rsidRDefault="0000105D">
      <w:pPr>
        <w:pStyle w:val="Zkladntext1"/>
        <w:shd w:val="clear" w:color="auto" w:fill="auto"/>
        <w:ind w:firstLine="860"/>
        <w:jc w:val="both"/>
      </w:pPr>
      <w:r>
        <w:t>přístupu do počítačové sítě Klienta.</w:t>
      </w:r>
    </w:p>
    <w:p w:rsidR="00D150E9" w:rsidRDefault="0000105D">
      <w:pPr>
        <w:pStyle w:val="Zkladntext1"/>
        <w:shd w:val="clear" w:color="auto" w:fill="auto"/>
        <w:tabs>
          <w:tab w:val="left" w:pos="5616"/>
        </w:tabs>
        <w:jc w:val="both"/>
      </w:pPr>
      <w:r>
        <w:t xml:space="preserve">Dne </w:t>
      </w:r>
      <w:proofErr w:type="gramStart"/>
      <w:r>
        <w:t>17.03.2025</w:t>
      </w:r>
      <w:proofErr w:type="gramEnd"/>
      <w:r>
        <w:tab/>
        <w:t>Dne 14.03.2025</w:t>
      </w:r>
    </w:p>
    <w:p w:rsidR="00D150E9" w:rsidRDefault="0000105D">
      <w:pPr>
        <w:pStyle w:val="Nadpis30"/>
        <w:keepNext/>
        <w:keepLines/>
        <w:shd w:val="clear" w:color="auto" w:fill="auto"/>
        <w:ind w:left="5680" w:hanging="5680"/>
        <w:jc w:val="both"/>
      </w:pPr>
      <w:bookmarkStart w:id="14" w:name="bookmark14"/>
      <w:bookmarkStart w:id="15" w:name="bookmark15"/>
      <w:r>
        <w:t xml:space="preserve">ADYTON s.r.o., (angl. </w:t>
      </w:r>
      <w:proofErr w:type="gramStart"/>
      <w:r>
        <w:t>Ltd, něm</w:t>
      </w:r>
      <w:proofErr w:type="gramEnd"/>
      <w:r>
        <w:t xml:space="preserve">. </w:t>
      </w:r>
      <w:proofErr w:type="spellStart"/>
      <w:r>
        <w:t>GmbH</w:t>
      </w:r>
      <w:proofErr w:type="spellEnd"/>
      <w:r>
        <w:t xml:space="preserve">, </w:t>
      </w:r>
      <w:proofErr w:type="spellStart"/>
      <w:r>
        <w:t>franc</w:t>
      </w:r>
      <w:proofErr w:type="spellEnd"/>
      <w:r>
        <w:t>. S.R.</w:t>
      </w:r>
      <w:proofErr w:type="gramStart"/>
      <w:r>
        <w:t>L.A.</w:t>
      </w:r>
      <w:proofErr w:type="gramEnd"/>
      <w:r>
        <w:t>) Nemocnice Nové Město na Moravě, příspěvková organizace</w:t>
      </w:r>
      <w:bookmarkEnd w:id="14"/>
      <w:bookmarkEnd w:id="15"/>
    </w:p>
    <w:p w:rsidR="00D150E9" w:rsidRDefault="0000105D">
      <w:pPr>
        <w:spacing w:line="1" w:lineRule="exact"/>
        <w:sectPr w:rsidR="00D150E9">
          <w:footerReference w:type="default" r:id="rId10"/>
          <w:pgSz w:w="11900" w:h="16840"/>
          <w:pgMar w:top="1388" w:right="1370" w:bottom="1231" w:left="1367" w:header="960" w:footer="3" w:gutter="0"/>
          <w:pgNumType w:start="1"/>
          <w:cols w:space="720"/>
          <w:noEndnote/>
          <w:docGrid w:linePitch="360"/>
        </w:sectPr>
      </w:pPr>
      <w:r>
        <w:rPr>
          <w:noProof/>
          <w:lang w:bidi="ar-SA"/>
        </w:rPr>
        <w:lastRenderedPageBreak/>
        <mc:AlternateContent>
          <mc:Choice Requires="wps">
            <w:drawing>
              <wp:anchor distT="585470" distB="447675" distL="0" distR="0" simplePos="0" relativeHeight="125829382" behindDoc="0" locked="0" layoutInCell="1" allowOverlap="1">
                <wp:simplePos x="0" y="0"/>
                <wp:positionH relativeFrom="page">
                  <wp:posOffset>2142490</wp:posOffset>
                </wp:positionH>
                <wp:positionV relativeFrom="paragraph">
                  <wp:posOffset>585470</wp:posOffset>
                </wp:positionV>
                <wp:extent cx="783590" cy="2349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83590" cy="234950"/>
                        </a:xfrm>
                        <a:prstGeom prst="rect">
                          <a:avLst/>
                        </a:prstGeom>
                        <a:noFill/>
                      </wps:spPr>
                      <wps:txbx>
                        <w:txbxContent>
                          <w:p w:rsidR="00D150E9" w:rsidRDefault="0000105D">
                            <w:pPr>
                              <w:pStyle w:val="Zkladntext30"/>
                              <w:shd w:val="clear" w:color="auto" w:fill="auto"/>
                              <w:spacing w:line="240" w:lineRule="auto"/>
                            </w:pPr>
                            <w:r w:rsidRPr="00124C30">
                              <w:t>XXXX</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168.7pt;margin-top:46.1pt;width:61.7pt;height:18.5pt;z-index:125829382;visibility:visible;mso-wrap-style:square;mso-wrap-distance-left:0;mso-wrap-distance-top:46.1pt;mso-wrap-distance-right:0;mso-wrap-distance-bottom:35.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" filled="f" stroked="f">
                <v:textbox inset="0,0,0,0">
                  <w:txbxContent>
                    <w:p w:rsidR="00D150E9" w:rsidRDefault="0000105D">
                      <w:pPr>
                        <w:pStyle w:val="Zkladntext30"/>
                        <w:shd w:val="clear" w:color="auto" w:fill="auto"/>
                        <w:spacing w:line="240" w:lineRule="auto"/>
                      </w:pPr>
                      <w:r w:rsidRPr="00124C30">
                        <w:t>XXXX</w:t>
                      </w:r>
                    </w:p>
                  </w:txbxContent>
                </v:textbox>
                <w10:wrap type="topAndBottom" anchorx="page"/>
              </v:shape>
            </w:pict>
          </mc:Fallback>
        </mc:AlternateContent>
      </w:r>
      <w:r>
        <w:rPr>
          <w:noProof/>
          <w:lang w:bidi="ar-SA"/>
        </w:rPr>
        <mc:AlternateContent>
          <mc:Choice Requires="wps">
            <w:drawing>
              <wp:anchor distT="804545" distB="177165" distL="0" distR="0" simplePos="0" relativeHeight="125829384" behindDoc="0" locked="0" layoutInCell="1" allowOverlap="1">
                <wp:simplePos x="0" y="0"/>
                <wp:positionH relativeFrom="page">
                  <wp:posOffset>874395</wp:posOffset>
                </wp:positionH>
                <wp:positionV relativeFrom="paragraph">
                  <wp:posOffset>804545</wp:posOffset>
                </wp:positionV>
                <wp:extent cx="2051050" cy="28638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051050" cy="286385"/>
                        </a:xfrm>
                        <a:prstGeom prst="rect">
                          <a:avLst/>
                        </a:prstGeom>
                        <a:noFill/>
                      </wps:spPr>
                      <wps:txbx>
                        <w:txbxContent>
                          <w:p w:rsidR="00D150E9" w:rsidRDefault="0000105D">
                            <w:pPr>
                              <w:pStyle w:val="Zkladntext1"/>
                              <w:shd w:val="clear" w:color="auto" w:fill="auto"/>
                              <w:tabs>
                                <w:tab w:val="left" w:leader="underscore" w:pos="3163"/>
                              </w:tabs>
                              <w:spacing w:after="0"/>
                            </w:pPr>
                            <w:r>
                              <w:t xml:space="preserve">Podpis: </w:t>
                            </w:r>
                            <w:r>
                              <w:tab/>
                            </w:r>
                          </w:p>
                          <w:p w:rsidR="00D150E9" w:rsidRDefault="0000105D">
                            <w:pPr>
                              <w:pStyle w:val="Zkladntext1"/>
                              <w:shd w:val="clear" w:color="auto" w:fill="auto"/>
                              <w:spacing w:after="0"/>
                            </w:pPr>
                            <w:r w:rsidRPr="00124C30">
                              <w:t>Jméno XXXX</w:t>
                            </w:r>
                          </w:p>
                        </w:txbxContent>
                      </wps:txbx>
                      <wps:bodyPr lIns="0" tIns="0" rIns="0" bIns="0"/>
                    </wps:wsp>
                  </a:graphicData>
                </a:graphic>
              </wp:anchor>
            </w:drawing>
          </mc:Choice>
          <mc:Fallback>
            <w:pict>
              <v:shape id="Shape 9" o:spid="_x0000_s1027" type="#_x0000_t202" style="position:absolute;margin-left:68.85pt;margin-top:63.35pt;width:161.5pt;height:22.55pt;z-index:125829384;visibility:visible;mso-wrap-style:square;mso-wrap-distance-left:0;mso-wrap-distance-top:63.35pt;mso-wrap-distance-right:0;mso-wrap-distance-bottom:1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" filled="f" stroked="f">
                <v:textbox inset="0,0,0,0">
                  <w:txbxContent>
                    <w:p w:rsidR="00D150E9" w:rsidRDefault="0000105D">
                      <w:pPr>
                        <w:pStyle w:val="Zkladntext1"/>
                        <w:shd w:val="clear" w:color="auto" w:fill="auto"/>
                        <w:tabs>
                          <w:tab w:val="left" w:leader="underscore" w:pos="3163"/>
                        </w:tabs>
                        <w:spacing w:after="0"/>
                      </w:pPr>
                      <w:r>
                        <w:t xml:space="preserve">Podpis: </w:t>
                      </w:r>
                      <w:r>
                        <w:tab/>
                      </w:r>
                    </w:p>
                    <w:p w:rsidR="00D150E9" w:rsidRDefault="0000105D">
                      <w:pPr>
                        <w:pStyle w:val="Zkladntext1"/>
                        <w:shd w:val="clear" w:color="auto" w:fill="auto"/>
                        <w:spacing w:after="0"/>
                      </w:pPr>
                      <w:r w:rsidRPr="00124C30">
                        <w:t>Jméno XXXX</w:t>
                      </w:r>
                    </w:p>
                  </w:txbxContent>
                </v:textbox>
                <w10:wrap type="topAndBottom" anchorx="page"/>
              </v:shape>
            </w:pict>
          </mc:Fallback>
        </mc:AlternateContent>
      </w:r>
      <w:r>
        <w:rPr>
          <w:noProof/>
          <w:lang w:bidi="ar-SA"/>
        </w:rPr>
        <mc:AlternateContent>
          <mc:Choice Requires="wps">
            <w:drawing>
              <wp:anchor distT="1094105" distB="0" distL="0" distR="0" simplePos="0" relativeHeight="125829386" behindDoc="0" locked="0" layoutInCell="1" allowOverlap="1">
                <wp:simplePos x="0" y="0"/>
                <wp:positionH relativeFrom="page">
                  <wp:posOffset>874395</wp:posOffset>
                </wp:positionH>
                <wp:positionV relativeFrom="paragraph">
                  <wp:posOffset>1094105</wp:posOffset>
                </wp:positionV>
                <wp:extent cx="938530" cy="1739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38530" cy="173990"/>
                        </a:xfrm>
                        <a:prstGeom prst="rect">
                          <a:avLst/>
                        </a:prstGeom>
                        <a:noFill/>
                      </wps:spPr>
                      <wps:txbx>
                        <w:txbxContent>
                          <w:p w:rsidR="00D150E9" w:rsidRDefault="0000105D">
                            <w:pPr>
                              <w:pStyle w:val="Zkladntext1"/>
                              <w:shd w:val="clear" w:color="auto" w:fill="auto"/>
                              <w:spacing w:after="0"/>
                            </w:pPr>
                            <w:r>
                              <w:t xml:space="preserve">Pozice: </w:t>
                            </w:r>
                            <w:r w:rsidRPr="00124C30">
                              <w:t>XXXX</w:t>
                            </w:r>
                          </w:p>
                        </w:txbxContent>
                      </wps:txbx>
                      <wps:bodyPr wrap="none" lIns="0" tIns="0" rIns="0" bIns="0"/>
                    </wps:wsp>
                  </a:graphicData>
                </a:graphic>
              </wp:anchor>
            </w:drawing>
          </mc:Choice>
          <mc:Fallback>
            <w:pict>
              <v:shape id="Shape 11" o:spid="_x0000_s1028" type="#_x0000_t202" style="position:absolute;margin-left:68.85pt;margin-top:86.15pt;width:73.9pt;height:13.7pt;z-index:125829386;visibility:visible;mso-wrap-style:none;mso-wrap-distance-left:0;mso-wrap-distance-top:86.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" filled="f" stroked="f">
                <v:textbox inset="0,0,0,0">
                  <w:txbxContent>
                    <w:p w:rsidR="00D150E9" w:rsidRDefault="0000105D">
                      <w:pPr>
                        <w:pStyle w:val="Zkladntext1"/>
                        <w:shd w:val="clear" w:color="auto" w:fill="auto"/>
                        <w:spacing w:after="0"/>
                      </w:pPr>
                      <w:r>
                        <w:t xml:space="preserve">Pozice: </w:t>
                      </w:r>
                      <w:r w:rsidRPr="00124C30">
                        <w:t>XXXX</w:t>
                      </w:r>
                    </w:p>
                  </w:txbxContent>
                </v:textbox>
                <w10:wrap type="topAndBottom" anchorx="page"/>
              </v:shape>
            </w:pict>
          </mc:Fallback>
        </mc:AlternateContent>
      </w:r>
      <w:r>
        <w:rPr>
          <w:noProof/>
          <w:lang w:bidi="ar-SA"/>
        </w:rPr>
        <mc:AlternateContent>
          <mc:Choice Requires="wps">
            <w:drawing>
              <wp:anchor distT="228600" distB="33655" distL="0" distR="0" simplePos="0" relativeHeight="125829388" behindDoc="0" locked="0" layoutInCell="1" allowOverlap="1" wp14:anchorId="1FAA299E" wp14:editId="5E0B54EF">
                <wp:simplePos x="0" y="0"/>
                <wp:positionH relativeFrom="page">
                  <wp:posOffset>4471035</wp:posOffset>
                </wp:positionH>
                <wp:positionV relativeFrom="paragraph">
                  <wp:posOffset>228600</wp:posOffset>
                </wp:positionV>
                <wp:extent cx="2063750" cy="100584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063750" cy="1005840"/>
                        </a:xfrm>
                        <a:prstGeom prst="rect">
                          <a:avLst/>
                        </a:prstGeom>
                        <a:noFill/>
                      </wps:spPr>
                      <wps:txbx>
                        <w:txbxContent>
                          <w:p w:rsidR="00D150E9" w:rsidRPr="00124C30" w:rsidRDefault="0000105D">
                            <w:pPr>
                              <w:pStyle w:val="Zkladntext1"/>
                              <w:shd w:val="clear" w:color="auto" w:fill="auto"/>
                              <w:tabs>
                                <w:tab w:val="left" w:leader="underscore" w:pos="3163"/>
                              </w:tabs>
                              <w:spacing w:after="40" w:line="134" w:lineRule="auto"/>
                            </w:pPr>
                            <w:r w:rsidRPr="00124C30">
                              <w:t>XXXX</w:t>
                            </w:r>
                            <w:r w:rsidRPr="00124C30">
                              <w:tab/>
                            </w:r>
                          </w:p>
                          <w:p w:rsidR="00D150E9" w:rsidRPr="00124C30" w:rsidRDefault="0000105D">
                            <w:pPr>
                              <w:pStyle w:val="Zkladntext1"/>
                              <w:shd w:val="clear" w:color="auto" w:fill="auto"/>
                              <w:spacing w:after="40" w:line="134" w:lineRule="auto"/>
                            </w:pPr>
                            <w:r w:rsidRPr="00124C30">
                              <w:t>Jméno: XXXX</w:t>
                            </w:r>
                          </w:p>
                          <w:p w:rsidR="00D150E9" w:rsidRDefault="0000105D">
                            <w:pPr>
                              <w:pStyle w:val="Zkladntext1"/>
                              <w:shd w:val="clear" w:color="auto" w:fill="auto"/>
                              <w:spacing w:after="60" w:line="134" w:lineRule="auto"/>
                            </w:pPr>
                            <w:r w:rsidRPr="00124C30">
                              <w:t>Pozice: XXXX</w:t>
                            </w:r>
                          </w:p>
                        </w:txbxContent>
                      </wps:txbx>
                      <wps:bodyPr lIns="0" tIns="0" rIns="0" bIns="0"/>
                    </wps:wsp>
                  </a:graphicData>
                </a:graphic>
                <wp14:sizeRelV relativeFrom="margin">
                  <wp14:pctHeight>0</wp14:pctHeight>
                </wp14:sizeRelV>
              </wp:anchor>
            </w:drawing>
          </mc:Choice>
          <mc:Fallback>
            <w:pict>
              <v:shape id="Shape 13" o:spid="_x0000_s1029" type="#_x0000_t202" style="position:absolute;margin-left:352.05pt;margin-top:18pt;width:162.5pt;height:79.2pt;z-index:125829388;visibility:visible;mso-wrap-style:square;mso-height-percent:0;mso-wrap-distance-left:0;mso-wrap-distance-top:18pt;mso-wrap-distance-right:0;mso-wrap-distance-bottom:2.6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" filled="f" stroked="f">
                <v:textbox inset="0,0,0,0">
                  <w:txbxContent>
                    <w:p w:rsidR="00D150E9" w:rsidRPr="00124C30" w:rsidRDefault="0000105D">
                      <w:pPr>
                        <w:pStyle w:val="Zkladntext1"/>
                        <w:shd w:val="clear" w:color="auto" w:fill="auto"/>
                        <w:tabs>
                          <w:tab w:val="left" w:leader="underscore" w:pos="3163"/>
                        </w:tabs>
                        <w:spacing w:after="40" w:line="134" w:lineRule="auto"/>
                      </w:pPr>
                      <w:r w:rsidRPr="00124C30">
                        <w:t>XXXX</w:t>
                      </w:r>
                      <w:r w:rsidRPr="00124C30">
                        <w:tab/>
                      </w:r>
                    </w:p>
                    <w:p w:rsidR="00D150E9" w:rsidRPr="00124C30" w:rsidRDefault="0000105D">
                      <w:pPr>
                        <w:pStyle w:val="Zkladntext1"/>
                        <w:shd w:val="clear" w:color="auto" w:fill="auto"/>
                        <w:spacing w:after="40" w:line="134" w:lineRule="auto"/>
                      </w:pPr>
                      <w:r w:rsidRPr="00124C30">
                        <w:t>Jméno: XXXX</w:t>
                      </w:r>
                    </w:p>
                    <w:p w:rsidR="00D150E9" w:rsidRDefault="0000105D">
                      <w:pPr>
                        <w:pStyle w:val="Zkladntext1"/>
                        <w:shd w:val="clear" w:color="auto" w:fill="auto"/>
                        <w:spacing w:after="60" w:line="134" w:lineRule="auto"/>
                      </w:pPr>
                      <w:r w:rsidRPr="00124C30">
                        <w:t>Pozice: XXXX</w:t>
                      </w:r>
                    </w:p>
                  </w:txbxContent>
                </v:textbox>
                <w10:wrap type="topAndBottom" anchorx="page"/>
              </v:shape>
            </w:pict>
          </mc:Fallback>
        </mc:AlternateContent>
      </w:r>
    </w:p>
    <w:p w:rsidR="0000105D" w:rsidRDefault="0000105D">
      <w:pPr>
        <w:pStyle w:val="Nadpis20"/>
        <w:keepNext/>
        <w:keepLines/>
        <w:shd w:val="clear" w:color="auto" w:fill="auto"/>
      </w:pPr>
      <w:bookmarkStart w:id="16" w:name="bookmark16"/>
      <w:bookmarkStart w:id="17" w:name="bookmark17"/>
    </w:p>
    <w:p w:rsidR="0000105D" w:rsidRDefault="0000105D">
      <w:pPr>
        <w:pStyle w:val="Nadpis20"/>
        <w:keepNext/>
        <w:keepLines/>
        <w:shd w:val="clear" w:color="auto" w:fill="auto"/>
      </w:pPr>
    </w:p>
    <w:p w:rsidR="00D150E9" w:rsidRDefault="0000105D">
      <w:pPr>
        <w:pStyle w:val="Nadpis20"/>
        <w:keepNext/>
        <w:keepLines/>
        <w:shd w:val="clear" w:color="auto" w:fill="auto"/>
      </w:pPr>
      <w:r>
        <w:t>Příloha č. 1</w:t>
      </w:r>
      <w:bookmarkEnd w:id="16"/>
      <w:bookmarkEnd w:id="17"/>
    </w:p>
    <w:p w:rsidR="00D150E9" w:rsidRDefault="0000105D">
      <w:pPr>
        <w:pStyle w:val="Nadpis30"/>
        <w:keepNext/>
        <w:keepLines/>
        <w:shd w:val="clear" w:color="auto" w:fill="auto"/>
        <w:spacing w:after="260"/>
        <w:jc w:val="both"/>
        <w:rPr>
          <w:sz w:val="22"/>
          <w:szCs w:val="22"/>
        </w:rPr>
      </w:pPr>
      <w:bookmarkStart w:id="18" w:name="bookmark18"/>
      <w:bookmarkStart w:id="19" w:name="bookmark19"/>
      <w:r>
        <w:rPr>
          <w:rFonts w:ascii="Calibri" w:eastAsia="Calibri" w:hAnsi="Calibri" w:cs="Calibri"/>
          <w:sz w:val="22"/>
          <w:szCs w:val="22"/>
        </w:rPr>
        <w:t>Pravidla pro zřízení a používání vzdáleného přístupu do počítačové sítě Klienta</w:t>
      </w:r>
      <w:bookmarkEnd w:id="18"/>
      <w:bookmarkEnd w:id="19"/>
    </w:p>
    <w:p w:rsidR="00124C30" w:rsidRDefault="00124C30">
      <w:pPr>
        <w:pStyle w:val="Zkladntext20"/>
        <w:shd w:val="clear" w:color="auto" w:fill="auto"/>
        <w:jc w:val="both"/>
        <w:rPr>
          <w:sz w:val="24"/>
          <w:szCs w:val="24"/>
        </w:rPr>
      </w:pPr>
      <w:r>
        <w:rPr>
          <w:sz w:val="24"/>
          <w:szCs w:val="24"/>
        </w:rPr>
        <w:t>ANONYMIZOVÁNO</w:t>
      </w:r>
      <w:bookmarkStart w:id="20" w:name="_GoBack"/>
      <w:bookmarkEnd w:id="20"/>
    </w:p>
    <w:sectPr w:rsidR="00124C30">
      <w:footerReference w:type="default" r:id="rId11"/>
      <w:type w:val="continuous"/>
      <w:pgSz w:w="11900" w:h="16840"/>
      <w:pgMar w:top="1388" w:right="1370" w:bottom="1231" w:left="1367" w:header="960" w:footer="80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764" w:rsidRDefault="0000105D">
      <w:r>
        <w:separator/>
      </w:r>
    </w:p>
  </w:endnote>
  <w:endnote w:type="continuationSeparator" w:id="0">
    <w:p w:rsidR="000F0764" w:rsidRDefault="0000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0E9" w:rsidRDefault="0000105D">
    <w:pPr>
      <w:spacing w:line="1" w:lineRule="exact"/>
    </w:pPr>
    <w:r>
      <w:rPr>
        <w:noProof/>
        <w:lang w:bidi="ar-SA"/>
      </w:rPr>
      <mc:AlternateContent>
        <mc:Choice Requires="wps">
          <w:drawing>
            <wp:anchor distT="0" distB="0" distL="0" distR="0" simplePos="0" relativeHeight="62914690" behindDoc="1" locked="0" layoutInCell="1" allowOverlap="1" wp14:anchorId="1A7F39FA" wp14:editId="1DDFE238">
              <wp:simplePos x="0" y="0"/>
              <wp:positionH relativeFrom="page">
                <wp:posOffset>6604635</wp:posOffset>
              </wp:positionH>
              <wp:positionV relativeFrom="page">
                <wp:posOffset>10001250</wp:posOffset>
              </wp:positionV>
              <wp:extent cx="5778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7785" cy="91440"/>
                      </a:xfrm>
                      <a:prstGeom prst="rect">
                        <a:avLst/>
                      </a:prstGeom>
                      <a:noFill/>
                    </wps:spPr>
                    <wps:txbx>
                      <w:txbxContent>
                        <w:p w:rsidR="00D150E9" w:rsidRDefault="0000105D">
                          <w:pPr>
                            <w:pStyle w:val="Zhlavnebozpat20"/>
                            <w:shd w:val="clear" w:color="auto" w:fill="auto"/>
                            <w:rPr>
                              <w:sz w:val="16"/>
                              <w:szCs w:val="16"/>
                            </w:rPr>
                          </w:pPr>
                          <w:r>
                            <w:fldChar w:fldCharType="begin"/>
                          </w:r>
                          <w:r>
                            <w:instrText xml:space="preserve"> PAGE \* MERGEFORMAT </w:instrText>
                          </w:r>
                          <w:r>
                            <w:fldChar w:fldCharType="separate"/>
                          </w:r>
                          <w:r w:rsidR="00124C30" w:rsidRPr="00124C30">
                            <w:rPr>
                              <w:rFonts w:ascii="Arial" w:eastAsia="Arial" w:hAnsi="Arial" w:cs="Arial"/>
                              <w:noProof/>
                              <w:sz w:val="16"/>
                              <w:szCs w:val="16"/>
                            </w:rPr>
                            <w:t>2</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0" type="#_x0000_t202" style="position:absolute;margin-left:520.05pt;margin-top:787.5pt;width:4.5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" filled="f" stroked="f">
              <v:textbox style="mso-fit-shape-to-text:t" inset="0,0,0,0">
                <w:txbxContent>
                  <w:p w:rsidR="00D150E9" w:rsidRDefault="0000105D">
                    <w:pPr>
                      <w:pStyle w:val="Zhlavnebozpat20"/>
                      <w:shd w:val="clear" w:color="auto" w:fill="auto"/>
                      <w:rPr>
                        <w:sz w:val="16"/>
                        <w:szCs w:val="16"/>
                      </w:rPr>
                    </w:pPr>
                    <w:r>
                      <w:fldChar w:fldCharType="begin"/>
                    </w:r>
                    <w:r>
                      <w:instrText xml:space="preserve"> PAGE \* MERGEFORMAT </w:instrText>
                    </w:r>
                    <w:r>
                      <w:fldChar w:fldCharType="separate"/>
                    </w:r>
                    <w:r w:rsidR="00124C30" w:rsidRPr="00124C30">
                      <w:rPr>
                        <w:rFonts w:ascii="Arial" w:eastAsia="Arial" w:hAnsi="Arial" w:cs="Arial"/>
                        <w:noProof/>
                        <w:sz w:val="16"/>
                        <w:szCs w:val="16"/>
                      </w:rPr>
                      <w:t>2</w:t>
                    </w:r>
                    <w:r>
                      <w:rPr>
                        <w:rFonts w:ascii="Arial" w:eastAsia="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0E9" w:rsidRDefault="00D150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0E9" w:rsidRDefault="00D150E9"/>
  </w:footnote>
  <w:footnote w:type="continuationSeparator" w:id="0">
    <w:p w:rsidR="00D150E9" w:rsidRDefault="00D150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4A1F"/>
    <w:multiLevelType w:val="multilevel"/>
    <w:tmpl w:val="8E12B40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211621"/>
    <w:multiLevelType w:val="multilevel"/>
    <w:tmpl w:val="443E742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8B5840"/>
    <w:multiLevelType w:val="multilevel"/>
    <w:tmpl w:val="D2B636EC"/>
    <w:lvl w:ilvl="0">
      <w:start w:val="1"/>
      <w:numFmt w:val="decimal"/>
      <w:lvlText w:val="1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A40046"/>
    <w:multiLevelType w:val="multilevel"/>
    <w:tmpl w:val="3A448C82"/>
    <w:lvl w:ilvl="0">
      <w:start w:val="3"/>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3C4511"/>
    <w:multiLevelType w:val="multilevel"/>
    <w:tmpl w:val="D2DCF3F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520C74"/>
    <w:multiLevelType w:val="multilevel"/>
    <w:tmpl w:val="D0BC5DA8"/>
    <w:lvl w:ilvl="0">
      <w:start w:val="1"/>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C83B91"/>
    <w:multiLevelType w:val="multilevel"/>
    <w:tmpl w:val="CA50E420"/>
    <w:lvl w:ilvl="0">
      <w:start w:val="1"/>
      <w:numFmt w:val="decimal"/>
      <w:lvlText w:val="11.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017B8C"/>
    <w:multiLevelType w:val="multilevel"/>
    <w:tmpl w:val="EB10785A"/>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3"/>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D150E9"/>
    <w:rsid w:val="0000105D"/>
    <w:rsid w:val="000F0764"/>
    <w:rsid w:val="00124C30"/>
    <w:rsid w:val="00D15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paragraph" w:customStyle="1" w:styleId="Zkladntext30">
    <w:name w:val="Základní text (3)"/>
    <w:basedOn w:val="Normln"/>
    <w:link w:val="Zkladntext3"/>
    <w:pPr>
      <w:shd w:val="clear" w:color="auto" w:fill="FFFFFF"/>
      <w:spacing w:line="182" w:lineRule="auto"/>
    </w:pPr>
    <w:rPr>
      <w:rFonts w:ascii="Arial" w:eastAsia="Arial" w:hAnsi="Arial" w:cs="Arial"/>
      <w:sz w:val="13"/>
      <w:szCs w:val="13"/>
    </w:rPr>
  </w:style>
  <w:style w:type="paragraph" w:customStyle="1" w:styleId="Zkladntext50">
    <w:name w:val="Základní text (5)"/>
    <w:basedOn w:val="Normln"/>
    <w:link w:val="Zkladntext5"/>
    <w:pPr>
      <w:shd w:val="clear" w:color="auto" w:fill="FFFFFF"/>
    </w:pPr>
    <w:rPr>
      <w:rFonts w:ascii="Arial" w:eastAsia="Arial" w:hAnsi="Arial" w:cs="Arial"/>
      <w:sz w:val="28"/>
      <w:szCs w:val="28"/>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after="160" w:line="134" w:lineRule="auto"/>
      <w:ind w:left="200"/>
    </w:pPr>
    <w:rPr>
      <w:rFonts w:ascii="Arial" w:eastAsia="Arial" w:hAnsi="Arial" w:cs="Arial"/>
      <w:sz w:val="15"/>
      <w:szCs w:val="15"/>
    </w:rPr>
  </w:style>
  <w:style w:type="paragraph" w:customStyle="1" w:styleId="Nadpis10">
    <w:name w:val="Nadpis #1"/>
    <w:basedOn w:val="Normln"/>
    <w:link w:val="Nadpis1"/>
    <w:pPr>
      <w:shd w:val="clear" w:color="auto" w:fill="FFFFFF"/>
      <w:spacing w:before="260" w:after="28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20"/>
      <w:outlineLvl w:val="2"/>
    </w:pPr>
    <w:rPr>
      <w:rFonts w:ascii="Arial" w:eastAsia="Arial" w:hAnsi="Arial" w:cs="Arial"/>
      <w:b/>
      <w:bCs/>
      <w:sz w:val="20"/>
      <w:szCs w:val="20"/>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Nadpis20">
    <w:name w:val="Nadpis #2"/>
    <w:basedOn w:val="Normln"/>
    <w:link w:val="Nadpis2"/>
    <w:pPr>
      <w:shd w:val="clear" w:color="auto" w:fill="FFFFFF"/>
      <w:spacing w:after="180"/>
      <w:outlineLvl w:val="1"/>
    </w:pPr>
    <w:rPr>
      <w:rFonts w:ascii="Calibri" w:eastAsia="Calibri" w:hAnsi="Calibri" w:cs="Calibri"/>
      <w:b/>
      <w:bCs/>
      <w:sz w:val="28"/>
      <w:szCs w:val="28"/>
    </w:rPr>
  </w:style>
  <w:style w:type="paragraph" w:customStyle="1" w:styleId="Zkladntext20">
    <w:name w:val="Základní text (2)"/>
    <w:basedOn w:val="Normln"/>
    <w:link w:val="Zkladntext2"/>
    <w:pPr>
      <w:shd w:val="clear" w:color="auto" w:fill="FFFFFF"/>
      <w:spacing w:after="260"/>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pPr>
    <w:rPr>
      <w:rFonts w:ascii="Calibri" w:eastAsia="Calibri" w:hAnsi="Calibri"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paragraph" w:customStyle="1" w:styleId="Zkladntext30">
    <w:name w:val="Základní text (3)"/>
    <w:basedOn w:val="Normln"/>
    <w:link w:val="Zkladntext3"/>
    <w:pPr>
      <w:shd w:val="clear" w:color="auto" w:fill="FFFFFF"/>
      <w:spacing w:line="182" w:lineRule="auto"/>
    </w:pPr>
    <w:rPr>
      <w:rFonts w:ascii="Arial" w:eastAsia="Arial" w:hAnsi="Arial" w:cs="Arial"/>
      <w:sz w:val="13"/>
      <w:szCs w:val="13"/>
    </w:rPr>
  </w:style>
  <w:style w:type="paragraph" w:customStyle="1" w:styleId="Zkladntext50">
    <w:name w:val="Základní text (5)"/>
    <w:basedOn w:val="Normln"/>
    <w:link w:val="Zkladntext5"/>
    <w:pPr>
      <w:shd w:val="clear" w:color="auto" w:fill="FFFFFF"/>
    </w:pPr>
    <w:rPr>
      <w:rFonts w:ascii="Arial" w:eastAsia="Arial" w:hAnsi="Arial" w:cs="Arial"/>
      <w:sz w:val="28"/>
      <w:szCs w:val="28"/>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after="160" w:line="134" w:lineRule="auto"/>
      <w:ind w:left="200"/>
    </w:pPr>
    <w:rPr>
      <w:rFonts w:ascii="Arial" w:eastAsia="Arial" w:hAnsi="Arial" w:cs="Arial"/>
      <w:sz w:val="15"/>
      <w:szCs w:val="15"/>
    </w:rPr>
  </w:style>
  <w:style w:type="paragraph" w:customStyle="1" w:styleId="Nadpis10">
    <w:name w:val="Nadpis #1"/>
    <w:basedOn w:val="Normln"/>
    <w:link w:val="Nadpis1"/>
    <w:pPr>
      <w:shd w:val="clear" w:color="auto" w:fill="FFFFFF"/>
      <w:spacing w:before="260" w:after="28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20"/>
      <w:outlineLvl w:val="2"/>
    </w:pPr>
    <w:rPr>
      <w:rFonts w:ascii="Arial" w:eastAsia="Arial" w:hAnsi="Arial" w:cs="Arial"/>
      <w:b/>
      <w:bCs/>
      <w:sz w:val="20"/>
      <w:szCs w:val="20"/>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Nadpis20">
    <w:name w:val="Nadpis #2"/>
    <w:basedOn w:val="Normln"/>
    <w:link w:val="Nadpis2"/>
    <w:pPr>
      <w:shd w:val="clear" w:color="auto" w:fill="FFFFFF"/>
      <w:spacing w:after="180"/>
      <w:outlineLvl w:val="1"/>
    </w:pPr>
    <w:rPr>
      <w:rFonts w:ascii="Calibri" w:eastAsia="Calibri" w:hAnsi="Calibri" w:cs="Calibri"/>
      <w:b/>
      <w:bCs/>
      <w:sz w:val="28"/>
      <w:szCs w:val="28"/>
    </w:rPr>
  </w:style>
  <w:style w:type="paragraph" w:customStyle="1" w:styleId="Zkladntext20">
    <w:name w:val="Základní text (2)"/>
    <w:basedOn w:val="Normln"/>
    <w:link w:val="Zkladntext2"/>
    <w:pPr>
      <w:shd w:val="clear" w:color="auto" w:fill="FFFFFF"/>
      <w:spacing w:after="260"/>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rtina.slamova@nnm.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ppe@adyton.or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1736</Words>
  <Characters>10245</Characters>
  <Application>Microsoft Office Word</Application>
  <DocSecurity>0</DocSecurity>
  <Lines>85</Lines>
  <Paragraphs>23</Paragraphs>
  <ScaleCrop>false</ScaleCrop>
  <Company/>
  <LinksUpToDate>false</LinksUpToDate>
  <CharactersWithSpaces>11958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2025-03-19T05:16:00Z</dcterms:created>
  <dcterms:modified xsi:type="dcterms:W3CDTF">2025-03-19T14:36:00Z</dcterms:modified>
</cp:coreProperties>
</file>