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68B5" w14:textId="77777777" w:rsidR="00F614EE" w:rsidRPr="005F2CEF" w:rsidRDefault="00F614EE" w:rsidP="00F614EE">
      <w:pPr>
        <w:spacing w:after="0" w:line="240" w:lineRule="auto"/>
        <w:rPr>
          <w:b/>
        </w:rPr>
      </w:pPr>
      <w:bookmarkStart w:id="0" w:name="_GoBack"/>
      <w:bookmarkEnd w:id="0"/>
      <w:r w:rsidRPr="005F2CEF">
        <w:rPr>
          <w:b/>
        </w:rPr>
        <w:t xml:space="preserve">Městská část Praha 7 </w:t>
      </w:r>
    </w:p>
    <w:p w14:paraId="109FB828" w14:textId="77777777" w:rsidR="00F614EE" w:rsidRDefault="00F614EE" w:rsidP="00F614EE">
      <w:pPr>
        <w:spacing w:after="0" w:line="240" w:lineRule="auto"/>
      </w:pPr>
      <w:r w:rsidRPr="005F2CEF">
        <w:t xml:space="preserve">IČ: </w:t>
      </w:r>
      <w:r>
        <w:t>000</w:t>
      </w:r>
      <w:r w:rsidRPr="005F2CEF">
        <w:t>63754</w:t>
      </w:r>
    </w:p>
    <w:p w14:paraId="5A68862F" w14:textId="77777777" w:rsidR="00F614EE" w:rsidRPr="005F2CEF" w:rsidRDefault="00F614EE" w:rsidP="00F614EE">
      <w:pPr>
        <w:spacing w:after="0" w:line="240" w:lineRule="auto"/>
      </w:pPr>
      <w:r>
        <w:t>U Průhonu 38/1338</w:t>
      </w:r>
      <w:r w:rsidRPr="005F2CEF">
        <w:t>, 170 00 Praha 7</w:t>
      </w:r>
    </w:p>
    <w:p w14:paraId="76F0A6FE" w14:textId="77777777" w:rsidR="00F614EE" w:rsidRDefault="00F614EE" w:rsidP="00F614EE">
      <w:pPr>
        <w:spacing w:after="0" w:line="240" w:lineRule="auto"/>
      </w:pPr>
      <w:r w:rsidRPr="005F2CEF">
        <w:t>zastoupena Mgr. Janem Čižinským, starostou</w:t>
      </w:r>
    </w:p>
    <w:p w14:paraId="09434A06" w14:textId="5346A121" w:rsidR="00F614EE" w:rsidRPr="005F2CEF" w:rsidRDefault="00F614EE" w:rsidP="00F614EE">
      <w:pPr>
        <w:spacing w:after="0" w:line="240" w:lineRule="auto"/>
      </w:pPr>
      <w:r>
        <w:t xml:space="preserve">č. smlouvy </w:t>
      </w:r>
      <w:proofErr w:type="spellStart"/>
      <w:r w:rsidR="00047625">
        <w:t>Sml</w:t>
      </w:r>
      <w:proofErr w:type="spellEnd"/>
      <w:r w:rsidR="00047625">
        <w:t xml:space="preserve"> 00281/2022</w:t>
      </w:r>
    </w:p>
    <w:p w14:paraId="757B8372" w14:textId="77777777" w:rsidR="00F614EE" w:rsidRPr="005F2CEF" w:rsidRDefault="00F614EE" w:rsidP="00F614EE">
      <w:pPr>
        <w:spacing w:after="0" w:line="240" w:lineRule="auto"/>
      </w:pPr>
      <w:r w:rsidRPr="005F2CEF">
        <w:t>(dále jen „příkazce“)</w:t>
      </w:r>
    </w:p>
    <w:p w14:paraId="1E6EA041" w14:textId="77777777" w:rsidR="00F614EE" w:rsidRPr="005F2CEF" w:rsidRDefault="00F614EE" w:rsidP="00F614EE">
      <w:pPr>
        <w:spacing w:after="0" w:line="240" w:lineRule="auto"/>
      </w:pPr>
    </w:p>
    <w:p w14:paraId="1506B090" w14:textId="77777777" w:rsidR="00F614EE" w:rsidRPr="005F2CEF" w:rsidRDefault="00F614EE" w:rsidP="00F614EE">
      <w:pPr>
        <w:spacing w:after="0" w:line="240" w:lineRule="auto"/>
      </w:pPr>
      <w:r w:rsidRPr="005F2CEF">
        <w:tab/>
        <w:t>a</w:t>
      </w:r>
    </w:p>
    <w:p w14:paraId="3CB03AB6" w14:textId="77777777" w:rsidR="00F614EE" w:rsidRPr="005F2CEF" w:rsidRDefault="00F614EE" w:rsidP="00F614EE">
      <w:pPr>
        <w:spacing w:after="0" w:line="240" w:lineRule="auto"/>
      </w:pPr>
    </w:p>
    <w:p w14:paraId="4FC92D03" w14:textId="77777777" w:rsidR="00F614EE" w:rsidRPr="005F2CEF" w:rsidRDefault="00F614EE" w:rsidP="00F614EE">
      <w:pPr>
        <w:spacing w:after="0" w:line="240" w:lineRule="auto"/>
      </w:pPr>
      <w:r>
        <w:rPr>
          <w:b/>
        </w:rPr>
        <w:t>7U</w:t>
      </w:r>
      <w:r w:rsidRPr="005F2CEF">
        <w:rPr>
          <w:b/>
        </w:rPr>
        <w:t xml:space="preserve"> s. r. o.</w:t>
      </w:r>
      <w:r w:rsidRPr="005F2CEF">
        <w:t xml:space="preserve"> </w:t>
      </w:r>
    </w:p>
    <w:p w14:paraId="73D09E35" w14:textId="77777777" w:rsidR="00F614EE" w:rsidRPr="005F2CEF" w:rsidRDefault="00F614EE" w:rsidP="00F614EE">
      <w:pPr>
        <w:spacing w:after="0" w:line="240" w:lineRule="auto"/>
      </w:pPr>
      <w:r>
        <w:t>IČ: 264</w:t>
      </w:r>
      <w:r w:rsidRPr="005F2CEF">
        <w:t>18</w:t>
      </w:r>
      <w:r>
        <w:t>274</w:t>
      </w:r>
    </w:p>
    <w:p w14:paraId="25525A75" w14:textId="77777777" w:rsidR="00F614EE" w:rsidRPr="005F2CEF" w:rsidRDefault="00F614EE" w:rsidP="00F614EE">
      <w:pPr>
        <w:spacing w:after="0" w:line="240" w:lineRule="auto"/>
      </w:pPr>
      <w:r w:rsidRPr="005F2CEF">
        <w:t xml:space="preserve">Ortenovo náměstí </w:t>
      </w:r>
      <w:r>
        <w:t>947/</w:t>
      </w:r>
      <w:r w:rsidRPr="005F2CEF">
        <w:t>12a, 170 00 Praha 7</w:t>
      </w:r>
    </w:p>
    <w:p w14:paraId="6364F013" w14:textId="77777777" w:rsidR="00F614EE" w:rsidRDefault="00F614EE" w:rsidP="00F614EE">
      <w:pPr>
        <w:spacing w:after="0" w:line="240" w:lineRule="auto"/>
      </w:pPr>
      <w:r>
        <w:t xml:space="preserve">provozovna Komunardů 46, </w:t>
      </w:r>
      <w:r w:rsidRPr="005F2CEF">
        <w:t>170 00 Praha 7</w:t>
      </w:r>
    </w:p>
    <w:p w14:paraId="325B043C" w14:textId="77777777" w:rsidR="00F614EE" w:rsidRPr="005F2CEF" w:rsidRDefault="00F614EE" w:rsidP="00F614EE">
      <w:pPr>
        <w:spacing w:after="0" w:line="240" w:lineRule="auto"/>
      </w:pPr>
      <w:r w:rsidRPr="005F2CEF">
        <w:t>z</w:t>
      </w:r>
      <w:r>
        <w:t>astoupena</w:t>
      </w:r>
      <w:r w:rsidRPr="005F2CEF">
        <w:t xml:space="preserve"> </w:t>
      </w:r>
      <w:r>
        <w:t>Mgr. Tomášem Trnkou, jednatelem</w:t>
      </w:r>
    </w:p>
    <w:p w14:paraId="68BE4AE2" w14:textId="77777777" w:rsidR="00F614EE" w:rsidRPr="005F2CEF" w:rsidRDefault="00F614EE" w:rsidP="00F614EE">
      <w:pPr>
        <w:spacing w:after="0" w:line="240" w:lineRule="auto"/>
      </w:pPr>
      <w:r w:rsidRPr="005F2CEF">
        <w:t>(dále jen „příkazník“)</w:t>
      </w:r>
    </w:p>
    <w:p w14:paraId="674BBF2E" w14:textId="77777777" w:rsidR="00F614EE" w:rsidRPr="005F2CEF" w:rsidRDefault="00F614EE" w:rsidP="00F614EE">
      <w:pPr>
        <w:spacing w:after="0" w:line="240" w:lineRule="auto"/>
      </w:pPr>
    </w:p>
    <w:p w14:paraId="5FF223F2" w14:textId="1ACF0B86" w:rsidR="00F614EE" w:rsidRPr="005F2CEF" w:rsidRDefault="00F614EE" w:rsidP="00F614EE">
      <w:pPr>
        <w:spacing w:after="0" w:line="240" w:lineRule="auto"/>
        <w:jc w:val="both"/>
        <w:rPr>
          <w:rFonts w:eastAsia="Arial Unicode MS"/>
        </w:rPr>
      </w:pPr>
      <w:r w:rsidRPr="005F2CEF">
        <w:rPr>
          <w:rFonts w:eastAsia="Arial Unicode MS"/>
        </w:rPr>
        <w:t>uzavřeli níže uvedeného dne, měsíce a roku na základě usnesení Rady Městské části Prahy 7 č.</w:t>
      </w:r>
      <w:r>
        <w:rPr>
          <w:rFonts w:eastAsia="Arial Unicode MS"/>
        </w:rPr>
        <w:t> </w:t>
      </w:r>
      <w:r w:rsidR="002F4B93">
        <w:rPr>
          <w:rFonts w:eastAsia="Arial Unicode MS"/>
        </w:rPr>
        <w:t>0132</w:t>
      </w:r>
      <w:r>
        <w:rPr>
          <w:rFonts w:eastAsia="Arial Unicode MS"/>
        </w:rPr>
        <w:t>/25</w:t>
      </w:r>
      <w:r w:rsidRPr="005F2CEF">
        <w:rPr>
          <w:rFonts w:eastAsia="Arial Unicode MS"/>
        </w:rPr>
        <w:t xml:space="preserve">-R ze dne </w:t>
      </w:r>
      <w:r w:rsidR="002F4B93">
        <w:rPr>
          <w:rFonts w:eastAsia="Arial Unicode MS"/>
        </w:rPr>
        <w:t>11.03</w:t>
      </w:r>
      <w:r>
        <w:rPr>
          <w:rFonts w:eastAsia="Arial Unicode MS"/>
        </w:rPr>
        <w:t>.2025</w:t>
      </w:r>
      <w:r w:rsidRPr="005F2CEF">
        <w:rPr>
          <w:rFonts w:eastAsia="Arial Unicode MS"/>
        </w:rPr>
        <w:t xml:space="preserve"> a v souladu s příkazní smlouvou</w:t>
      </w:r>
      <w:r>
        <w:rPr>
          <w:rFonts w:eastAsia="Arial Unicode MS"/>
        </w:rPr>
        <w:t xml:space="preserve"> (o </w:t>
      </w:r>
      <w:r w:rsidRPr="00DD1671">
        <w:t xml:space="preserve">obstarávání </w:t>
      </w:r>
      <w:r>
        <w:t xml:space="preserve">komplexní </w:t>
      </w:r>
      <w:r w:rsidRPr="00DD1671">
        <w:t xml:space="preserve">správy </w:t>
      </w:r>
      <w:r>
        <w:t>spravovaných</w:t>
      </w:r>
      <w:r w:rsidRPr="00DD1671">
        <w:t xml:space="preserve"> nemovitost</w:t>
      </w:r>
      <w:r>
        <w:t>í)</w:t>
      </w:r>
      <w:r w:rsidRPr="005F2CEF">
        <w:rPr>
          <w:rFonts w:eastAsia="Arial Unicode MS"/>
        </w:rPr>
        <w:t xml:space="preserve"> uzavřenou mezi příkazcem a</w:t>
      </w:r>
      <w:r>
        <w:rPr>
          <w:rFonts w:eastAsia="Arial Unicode MS"/>
        </w:rPr>
        <w:t xml:space="preserve"> příkazníkem dne 07.08.2019, ve znění Dodatku č. 1 ze dne 05.03.2021, Dodatku č. 2 ze dne 29.03.2022, Dodatku č. 3 ze dne 10.05.2023 a Dodatku č. 4 ze dne 30.04.2024 </w:t>
      </w:r>
      <w:r w:rsidRPr="005F2CEF">
        <w:rPr>
          <w:rFonts w:eastAsia="Arial Unicode MS"/>
        </w:rPr>
        <w:t xml:space="preserve">(dále jen </w:t>
      </w:r>
      <w:r w:rsidRPr="00171544">
        <w:rPr>
          <w:rFonts w:eastAsia="Arial Unicode MS"/>
        </w:rPr>
        <w:t>„Smlouva“)</w:t>
      </w:r>
      <w:r w:rsidRPr="005F2CEF">
        <w:rPr>
          <w:rFonts w:eastAsia="Arial Unicode MS"/>
        </w:rPr>
        <w:t xml:space="preserve"> tento</w:t>
      </w:r>
    </w:p>
    <w:p w14:paraId="6759EBC1" w14:textId="77777777" w:rsidR="00F614EE" w:rsidRPr="005F2CEF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69AA6DE5" w14:textId="77777777" w:rsidR="005F68B0" w:rsidRDefault="005F68B0" w:rsidP="00F614EE">
      <w:pPr>
        <w:spacing w:after="0" w:line="240" w:lineRule="auto"/>
        <w:jc w:val="center"/>
        <w:rPr>
          <w:rFonts w:eastAsia="Arial Unicode MS"/>
          <w:b/>
          <w:sz w:val="28"/>
          <w:szCs w:val="28"/>
        </w:rPr>
      </w:pPr>
    </w:p>
    <w:p w14:paraId="7FB63A14" w14:textId="77777777" w:rsidR="00F614EE" w:rsidRPr="00171544" w:rsidRDefault="00F614EE" w:rsidP="00F614EE">
      <w:pPr>
        <w:spacing w:after="0" w:line="240" w:lineRule="auto"/>
        <w:jc w:val="center"/>
        <w:rPr>
          <w:rFonts w:eastAsia="Arial Unicode MS"/>
          <w:b/>
          <w:sz w:val="28"/>
          <w:szCs w:val="28"/>
        </w:rPr>
      </w:pPr>
      <w:r w:rsidRPr="00171544">
        <w:rPr>
          <w:rFonts w:eastAsia="Arial Unicode MS"/>
          <w:b/>
          <w:sz w:val="28"/>
          <w:szCs w:val="28"/>
        </w:rPr>
        <w:t xml:space="preserve">Dodatek č. </w:t>
      </w:r>
      <w:r>
        <w:rPr>
          <w:rFonts w:eastAsia="Arial Unicode MS"/>
          <w:b/>
          <w:sz w:val="28"/>
          <w:szCs w:val="28"/>
        </w:rPr>
        <w:t>5</w:t>
      </w:r>
      <w:r w:rsidRPr="00171544">
        <w:rPr>
          <w:rFonts w:eastAsia="Arial Unicode MS"/>
          <w:b/>
          <w:sz w:val="28"/>
          <w:szCs w:val="28"/>
        </w:rPr>
        <w:t xml:space="preserve"> </w:t>
      </w:r>
    </w:p>
    <w:p w14:paraId="0CDF11D9" w14:textId="77777777" w:rsidR="00F614EE" w:rsidRPr="005F2CEF" w:rsidRDefault="00F614EE" w:rsidP="00F614EE">
      <w:pPr>
        <w:spacing w:after="0" w:line="240" w:lineRule="auto"/>
        <w:jc w:val="center"/>
        <w:rPr>
          <w:rFonts w:eastAsia="Arial Unicode MS"/>
        </w:rPr>
      </w:pPr>
      <w:r w:rsidRPr="005F2CEF">
        <w:rPr>
          <w:rFonts w:eastAsia="Arial Unicode MS"/>
        </w:rPr>
        <w:t xml:space="preserve">(dále jen „Dodatek č. </w:t>
      </w:r>
      <w:r>
        <w:rPr>
          <w:rFonts w:eastAsia="Arial Unicode MS"/>
        </w:rPr>
        <w:t>5</w:t>
      </w:r>
      <w:r w:rsidRPr="005F2CEF">
        <w:rPr>
          <w:rFonts w:eastAsia="Arial Unicode MS"/>
        </w:rPr>
        <w:t>“)</w:t>
      </w:r>
    </w:p>
    <w:p w14:paraId="64BC599E" w14:textId="77777777" w:rsidR="00F614EE" w:rsidRPr="005F2CEF" w:rsidRDefault="00F614EE" w:rsidP="00F614EE">
      <w:pPr>
        <w:spacing w:after="0" w:line="240" w:lineRule="auto"/>
        <w:jc w:val="center"/>
        <w:rPr>
          <w:rFonts w:eastAsia="Arial Unicode MS"/>
        </w:rPr>
      </w:pPr>
    </w:p>
    <w:p w14:paraId="28C6ED8C" w14:textId="77777777" w:rsidR="00F614EE" w:rsidRPr="005F2CEF" w:rsidRDefault="00F614EE" w:rsidP="00F614EE">
      <w:pPr>
        <w:spacing w:after="0" w:line="240" w:lineRule="auto"/>
        <w:rPr>
          <w:rFonts w:eastAsia="Arial Unicode MS"/>
        </w:rPr>
      </w:pPr>
      <w:r w:rsidRPr="005F2CEF">
        <w:rPr>
          <w:rFonts w:eastAsia="Arial Unicode MS"/>
        </w:rPr>
        <w:t>k výše uvedené Smlouvě:</w:t>
      </w:r>
    </w:p>
    <w:p w14:paraId="7293E3F4" w14:textId="77777777" w:rsidR="00F614EE" w:rsidRPr="005F2CEF" w:rsidRDefault="00F614EE" w:rsidP="00F614EE">
      <w:pPr>
        <w:spacing w:after="0" w:line="240" w:lineRule="auto"/>
        <w:jc w:val="center"/>
      </w:pPr>
      <w:r w:rsidRPr="005F2CEF">
        <w:rPr>
          <w:rFonts w:eastAsia="Arial Unicode MS"/>
          <w:b/>
        </w:rPr>
        <w:t>A)</w:t>
      </w:r>
    </w:p>
    <w:p w14:paraId="2E9D0E83" w14:textId="77777777" w:rsidR="00F614EE" w:rsidRPr="005F2CEF" w:rsidRDefault="00F614EE" w:rsidP="00F614EE">
      <w:pPr>
        <w:spacing w:after="0" w:line="240" w:lineRule="auto"/>
        <w:jc w:val="center"/>
        <w:rPr>
          <w:rFonts w:eastAsia="Arial Unicode MS"/>
          <w:b/>
        </w:rPr>
      </w:pPr>
    </w:p>
    <w:p w14:paraId="5A428FA1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Příloha č. 1 – </w:t>
      </w:r>
      <w:r>
        <w:t>seznam nemovitostí</w:t>
      </w:r>
      <w:r>
        <w:rPr>
          <w:rFonts w:eastAsia="Arial Unicode MS"/>
        </w:rPr>
        <w:t xml:space="preserve"> - se ruší a nahrazuje se novým seznamem, který</w:t>
      </w:r>
      <w:r w:rsidRPr="00AD706C">
        <w:rPr>
          <w:rFonts w:eastAsia="Arial Unicode MS"/>
        </w:rPr>
        <w:t xml:space="preserve"> tvoří </w:t>
      </w:r>
      <w:r>
        <w:rPr>
          <w:rFonts w:eastAsia="Arial Unicode MS"/>
        </w:rPr>
        <w:t>přílohu č. 1 tohoto Dodatku č. 5</w:t>
      </w:r>
    </w:p>
    <w:p w14:paraId="468CFDBD" w14:textId="77777777" w:rsidR="00A81A50" w:rsidRDefault="00A81A50" w:rsidP="00F614EE">
      <w:pPr>
        <w:spacing w:after="0" w:line="240" w:lineRule="auto"/>
        <w:jc w:val="both"/>
        <w:rPr>
          <w:rFonts w:eastAsia="Arial Unicode MS"/>
        </w:rPr>
      </w:pPr>
    </w:p>
    <w:p w14:paraId="29EF04DE" w14:textId="77777777" w:rsidR="00A81A50" w:rsidRDefault="00A81A50" w:rsidP="00F614EE">
      <w:pPr>
        <w:spacing w:after="0" w:line="240" w:lineRule="auto"/>
        <w:jc w:val="both"/>
        <w:rPr>
          <w:rFonts w:eastAsia="Arial Unicode MS"/>
        </w:rPr>
      </w:pPr>
      <w:r w:rsidRPr="000F5203">
        <w:rPr>
          <w:rFonts w:eastAsia="Arial Unicode MS"/>
        </w:rPr>
        <w:t xml:space="preserve">Příloha č. 2 – povinnosti příkazníka - se ruší a nahrazuje se upravenými povinnostmi, které tvoří přílohu č. 2 tohoto Dodatku č. </w:t>
      </w:r>
      <w:r>
        <w:rPr>
          <w:rFonts w:eastAsia="Arial Unicode MS"/>
        </w:rPr>
        <w:t>5</w:t>
      </w:r>
    </w:p>
    <w:p w14:paraId="519A7DE2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2EDC1AA6" w14:textId="77777777" w:rsidR="00F614EE" w:rsidRPr="005F2CEF" w:rsidRDefault="00F614EE" w:rsidP="00F614EE">
      <w:pPr>
        <w:spacing w:after="0" w:line="240" w:lineRule="auto"/>
        <w:jc w:val="center"/>
      </w:pPr>
      <w:r>
        <w:rPr>
          <w:rFonts w:eastAsia="Arial Unicode MS"/>
          <w:b/>
        </w:rPr>
        <w:t>B</w:t>
      </w:r>
      <w:r w:rsidRPr="005F2CEF">
        <w:rPr>
          <w:rFonts w:eastAsia="Arial Unicode MS"/>
          <w:b/>
        </w:rPr>
        <w:t>)</w:t>
      </w:r>
    </w:p>
    <w:p w14:paraId="4CF71A16" w14:textId="77777777" w:rsidR="00F614EE" w:rsidRDefault="00F614EE" w:rsidP="00F614EE">
      <w:pPr>
        <w:spacing w:after="0" w:line="240" w:lineRule="auto"/>
        <w:jc w:val="both"/>
        <w:rPr>
          <w:rFonts w:eastAsia="Arial Unicode MS"/>
          <w:b/>
        </w:rPr>
      </w:pPr>
    </w:p>
    <w:p w14:paraId="3EB09848" w14:textId="77777777" w:rsidR="00F614EE" w:rsidRDefault="006015E0" w:rsidP="006015E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rial Unicode MS"/>
        </w:rPr>
      </w:pPr>
      <w:r w:rsidRPr="006015E0">
        <w:rPr>
          <w:rFonts w:eastAsia="Arial Unicode MS"/>
        </w:rPr>
        <w:t>Stávající text Čl. III</w:t>
      </w:r>
      <w:r>
        <w:rPr>
          <w:rFonts w:eastAsia="Arial Unicode MS"/>
        </w:rPr>
        <w:t>. se doplňuje o nový odstavec 22</w:t>
      </w:r>
      <w:r w:rsidRPr="006015E0">
        <w:rPr>
          <w:rFonts w:eastAsia="Arial Unicode MS"/>
        </w:rPr>
        <w:t>, který zní:</w:t>
      </w:r>
    </w:p>
    <w:p w14:paraId="17CED747" w14:textId="77777777" w:rsidR="00F614EE" w:rsidRDefault="00F614EE" w:rsidP="00F614EE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</w:p>
    <w:p w14:paraId="75257F74" w14:textId="17FE8AD7" w:rsidR="006015E0" w:rsidRDefault="006015E0" w:rsidP="00F614EE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  <w:r>
        <w:rPr>
          <w:rFonts w:eastAsia="Arial Unicode MS"/>
        </w:rPr>
        <w:t>,,</w:t>
      </w:r>
      <w:r w:rsidRPr="00585152">
        <w:rPr>
          <w:rFonts w:eastAsia="Arial Unicode MS"/>
          <w:i/>
        </w:rPr>
        <w:t>Příkazník při technické správě spravovaných nemovitostí</w:t>
      </w:r>
      <w:r w:rsidR="00581242">
        <w:rPr>
          <w:rFonts w:eastAsia="Arial Unicode MS"/>
          <w:i/>
        </w:rPr>
        <w:t xml:space="preserve"> (zejména při událostech</w:t>
      </w:r>
      <w:r w:rsidR="00767394">
        <w:rPr>
          <w:rFonts w:eastAsia="Arial Unicode MS"/>
          <w:i/>
        </w:rPr>
        <w:t>,</w:t>
      </w:r>
      <w:r w:rsidR="00581242">
        <w:rPr>
          <w:rFonts w:eastAsia="Arial Unicode MS"/>
          <w:i/>
        </w:rPr>
        <w:t xml:space="preserve"> za které vynakládá finanční protiplnění)</w:t>
      </w:r>
      <w:r w:rsidRPr="00585152">
        <w:rPr>
          <w:rFonts w:eastAsia="Arial Unicode MS"/>
          <w:i/>
        </w:rPr>
        <w:t xml:space="preserve"> průběžně</w:t>
      </w:r>
      <w:r w:rsidR="00767394">
        <w:rPr>
          <w:rFonts w:eastAsia="Arial Unicode MS"/>
          <w:i/>
        </w:rPr>
        <w:t xml:space="preserve"> a dle svého odborného uvážení, či na základě svých interních předpisů,</w:t>
      </w:r>
      <w:r w:rsidRPr="00585152">
        <w:rPr>
          <w:rFonts w:eastAsia="Arial Unicode MS"/>
          <w:i/>
        </w:rPr>
        <w:t xml:space="preserve"> pořizuje fotodokumentaci a </w:t>
      </w:r>
      <w:r w:rsidR="00581242">
        <w:rPr>
          <w:rFonts w:eastAsia="Arial Unicode MS"/>
          <w:i/>
        </w:rPr>
        <w:t>archivuje ji vhodným způsobem tak, aby bylo možné jednotlivé případy dostatečně identifikovat</w:t>
      </w:r>
      <w:r w:rsidRPr="00585152">
        <w:rPr>
          <w:rFonts w:eastAsia="Arial Unicode MS"/>
          <w:i/>
        </w:rPr>
        <w:t xml:space="preserve">. Na výzvu příkazce je příkazník povinen fotodokumentaci </w:t>
      </w:r>
      <w:r w:rsidR="001859D2" w:rsidRPr="00585152">
        <w:rPr>
          <w:rFonts w:eastAsia="Arial Unicode MS"/>
          <w:i/>
        </w:rPr>
        <w:t>k dané věci předat příkazci. V případě vhodného počítačového programového vybavení umožní příkazník sdílení fotodokumentace s příkazcem.</w:t>
      </w:r>
      <w:r w:rsidR="0090047A">
        <w:rPr>
          <w:rFonts w:eastAsia="Arial Unicode MS"/>
          <w:i/>
        </w:rPr>
        <w:t xml:space="preserve"> Spolu s fotodokumentací je příkazníkovi důrazně doporučeno uchovávat informace o důvodu vynaložení spravovaných finančních prostředků, včetně finanční kontroly, že smluvená cena je v místě a čase obvyklá</w:t>
      </w:r>
      <w:r w:rsidR="004F5242">
        <w:rPr>
          <w:rFonts w:eastAsia="Arial Unicode MS"/>
          <w:i/>
        </w:rPr>
        <w:t xml:space="preserve">, a to i </w:t>
      </w:r>
      <w:r w:rsidR="00942C51">
        <w:rPr>
          <w:rFonts w:eastAsia="Arial Unicode MS"/>
          <w:i/>
        </w:rPr>
        <w:t>v případech, kdy dle</w:t>
      </w:r>
      <w:r w:rsidR="004F5242">
        <w:rPr>
          <w:rFonts w:eastAsia="Arial Unicode MS"/>
          <w:i/>
        </w:rPr>
        <w:t xml:space="preserve"> </w:t>
      </w:r>
      <w:r w:rsidR="004F5242" w:rsidRPr="004F5242">
        <w:rPr>
          <w:rFonts w:eastAsia="Arial Unicode MS"/>
          <w:i/>
        </w:rPr>
        <w:t>interní směrnice příkazce Pravidla pro zadávání veřejných zakázek, v platném znění</w:t>
      </w:r>
      <w:r w:rsidR="00942C51">
        <w:rPr>
          <w:rFonts w:eastAsia="Arial Unicode MS"/>
          <w:i/>
        </w:rPr>
        <w:t xml:space="preserve">, </w:t>
      </w:r>
      <w:r w:rsidR="004957B3">
        <w:rPr>
          <w:rFonts w:eastAsia="Arial Unicode MS"/>
          <w:i/>
        </w:rPr>
        <w:t>je dostačující pouze poptání jednoho dodavatele/zhotovitele/poskytovatele</w:t>
      </w:r>
      <w:r w:rsidR="0090047A">
        <w:rPr>
          <w:rFonts w:eastAsia="Arial Unicode MS"/>
          <w:i/>
        </w:rPr>
        <w:t>. Díky souboru těchto informací je docíleno tzv. prokazatelné auditní stopy.</w:t>
      </w:r>
      <w:r w:rsidR="001859D2">
        <w:rPr>
          <w:rFonts w:eastAsia="Arial Unicode MS"/>
        </w:rPr>
        <w:t>“</w:t>
      </w:r>
    </w:p>
    <w:p w14:paraId="3A977BFA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607C02F4" w14:textId="77777777" w:rsidR="00585152" w:rsidRDefault="00585152" w:rsidP="0058515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rial Unicode MS"/>
        </w:rPr>
      </w:pPr>
      <w:r w:rsidRPr="006015E0">
        <w:rPr>
          <w:rFonts w:eastAsia="Arial Unicode MS"/>
        </w:rPr>
        <w:lastRenderedPageBreak/>
        <w:t>Stávající text Čl. III</w:t>
      </w:r>
      <w:r>
        <w:rPr>
          <w:rFonts w:eastAsia="Arial Unicode MS"/>
        </w:rPr>
        <w:t>. se doplňuje o nový odstavec 23</w:t>
      </w:r>
      <w:r w:rsidRPr="006015E0">
        <w:rPr>
          <w:rFonts w:eastAsia="Arial Unicode MS"/>
        </w:rPr>
        <w:t>, který zní:</w:t>
      </w:r>
    </w:p>
    <w:p w14:paraId="108A4261" w14:textId="77777777" w:rsidR="00585152" w:rsidRDefault="00585152" w:rsidP="00585152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</w:p>
    <w:p w14:paraId="232140C2" w14:textId="3A796BC0" w:rsidR="00F614EE" w:rsidRDefault="00585152" w:rsidP="00585152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  <w:r>
        <w:rPr>
          <w:rFonts w:eastAsia="Arial Unicode MS"/>
        </w:rPr>
        <w:t>,,</w:t>
      </w:r>
      <w:r w:rsidRPr="00585152">
        <w:rPr>
          <w:rFonts w:eastAsia="Arial Unicode MS"/>
          <w:i/>
        </w:rPr>
        <w:t>Příkazník</w:t>
      </w:r>
      <w:r>
        <w:rPr>
          <w:rFonts w:eastAsia="Arial Unicode MS"/>
          <w:i/>
        </w:rPr>
        <w:t xml:space="preserve"> </w:t>
      </w:r>
      <w:r w:rsidR="00DC0E86">
        <w:rPr>
          <w:rFonts w:eastAsia="Arial Unicode MS"/>
          <w:i/>
        </w:rPr>
        <w:t xml:space="preserve">je povinen průběžně předávat příkazci </w:t>
      </w:r>
      <w:r w:rsidR="00784CF6">
        <w:rPr>
          <w:rFonts w:eastAsia="Arial Unicode MS"/>
          <w:i/>
        </w:rPr>
        <w:t xml:space="preserve">zajištěné </w:t>
      </w:r>
      <w:r w:rsidR="00DC0E86">
        <w:rPr>
          <w:rFonts w:eastAsia="Arial Unicode MS"/>
          <w:i/>
        </w:rPr>
        <w:t xml:space="preserve">dokumentace skutečného provedení </w:t>
      </w:r>
      <w:r w:rsidR="009D521A">
        <w:rPr>
          <w:rFonts w:eastAsia="Arial Unicode MS"/>
          <w:i/>
        </w:rPr>
        <w:t xml:space="preserve">změn </w:t>
      </w:r>
      <w:r w:rsidR="00784CF6" w:rsidRPr="00585152">
        <w:rPr>
          <w:rFonts w:eastAsia="Arial Unicode MS"/>
          <w:i/>
        </w:rPr>
        <w:t>spravovaných nemovitostí</w:t>
      </w:r>
      <w:r w:rsidR="00784CF6">
        <w:rPr>
          <w:rFonts w:eastAsia="Arial Unicode MS"/>
          <w:i/>
        </w:rPr>
        <w:t>, přičemž v případě domů s výkonem společenství vlastníků se toto vztahuje i na společné části domu.“</w:t>
      </w:r>
    </w:p>
    <w:p w14:paraId="4DBE0AD2" w14:textId="77777777" w:rsidR="00F614EE" w:rsidRDefault="00F614EE" w:rsidP="00F614EE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</w:p>
    <w:p w14:paraId="5F594058" w14:textId="77777777" w:rsidR="00F614EE" w:rsidRDefault="006206D2" w:rsidP="00F614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rial Unicode MS"/>
        </w:rPr>
      </w:pPr>
      <w:r w:rsidRPr="00930017">
        <w:rPr>
          <w:rFonts w:eastAsia="Arial Unicode MS"/>
        </w:rPr>
        <w:t>Stávající text Čl. XI. odst. 2 se ruší</w:t>
      </w:r>
      <w:r w:rsidRPr="006E495C">
        <w:rPr>
          <w:rFonts w:eastAsia="Arial Unicode MS"/>
        </w:rPr>
        <w:t xml:space="preserve"> a nahrazuje novým textem, který zní:</w:t>
      </w:r>
    </w:p>
    <w:p w14:paraId="7E06568B" w14:textId="77777777" w:rsidR="006206D2" w:rsidRDefault="006206D2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</w:p>
    <w:p w14:paraId="543305E2" w14:textId="3BAE09B3" w:rsidR="006206D2" w:rsidRPr="008668E4" w:rsidRDefault="006206D2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  <w:r>
        <w:rPr>
          <w:rFonts w:eastAsia="Arial Unicode MS"/>
        </w:rPr>
        <w:t>,,</w:t>
      </w:r>
      <w:r w:rsidR="00F05836" w:rsidRPr="00F05836">
        <w:t xml:space="preserve"> </w:t>
      </w:r>
      <w:r w:rsidR="00F05836" w:rsidRPr="00F05836">
        <w:rPr>
          <w:rFonts w:eastAsia="Arial Unicode MS"/>
          <w:i/>
        </w:rPr>
        <w:t xml:space="preserve">Příkazce je dále oprávněn požadovat </w:t>
      </w:r>
      <w:r w:rsidR="00E86089" w:rsidRPr="008668E4">
        <w:rPr>
          <w:rFonts w:eastAsia="Arial Unicode MS"/>
          <w:i/>
        </w:rPr>
        <w:t xml:space="preserve">smluvní pokutu za nesplnění termínu uvedeného v příloze č. 2 Smlouvy odst. 1, písm. a. bodu </w:t>
      </w:r>
      <w:proofErr w:type="spellStart"/>
      <w:r w:rsidR="00E86089" w:rsidRPr="008668E4">
        <w:rPr>
          <w:rFonts w:eastAsia="Arial Unicode MS"/>
          <w:i/>
        </w:rPr>
        <w:t>xiv</w:t>
      </w:r>
      <w:proofErr w:type="spellEnd"/>
      <w:r w:rsidR="00E86089" w:rsidRPr="008668E4">
        <w:rPr>
          <w:rFonts w:eastAsia="Arial Unicode MS"/>
          <w:i/>
        </w:rPr>
        <w:t>.</w:t>
      </w:r>
      <w:r w:rsidR="00050CD3" w:rsidRPr="008668E4">
        <w:rPr>
          <w:rFonts w:eastAsia="Arial Unicode MS"/>
          <w:i/>
        </w:rPr>
        <w:t xml:space="preserve"> a </w:t>
      </w:r>
      <w:proofErr w:type="spellStart"/>
      <w:r w:rsidR="00050CD3" w:rsidRPr="008668E4">
        <w:rPr>
          <w:rFonts w:eastAsia="Arial Unicode MS"/>
          <w:i/>
        </w:rPr>
        <w:t>xv</w:t>
      </w:r>
      <w:proofErr w:type="spellEnd"/>
      <w:r w:rsidR="00050CD3" w:rsidRPr="008668E4">
        <w:rPr>
          <w:rFonts w:eastAsia="Arial Unicode MS"/>
          <w:i/>
        </w:rPr>
        <w:t>.</w:t>
      </w:r>
      <w:r w:rsidR="00E86089" w:rsidRPr="008668E4">
        <w:rPr>
          <w:rFonts w:eastAsia="Arial Unicode MS"/>
          <w:i/>
        </w:rPr>
        <w:t xml:space="preserve"> Tato smluvní pokuta vychází z obvyklého nájemného dané nájemní jednotky a vypočte se z měsíční sazby dle </w:t>
      </w:r>
      <w:r w:rsidR="00B14EE6" w:rsidRPr="008668E4">
        <w:rPr>
          <w:rFonts w:eastAsia="Arial Unicode MS"/>
          <w:i/>
        </w:rPr>
        <w:t>Ministerstva financí</w:t>
      </w:r>
      <w:r w:rsidR="00B14EE6" w:rsidRPr="008668E4">
        <w:rPr>
          <w:rStyle w:val="Znakapoznpodarou"/>
          <w:rFonts w:eastAsia="Arial Unicode MS"/>
          <w:i/>
        </w:rPr>
        <w:footnoteReference w:id="1"/>
      </w:r>
      <w:r w:rsidR="00FB0A55" w:rsidRPr="008668E4">
        <w:rPr>
          <w:rFonts w:eastAsia="Arial Unicode MS"/>
          <w:i/>
        </w:rPr>
        <w:t xml:space="preserve"> násled</w:t>
      </w:r>
      <w:r w:rsidR="00A33972" w:rsidRPr="008668E4">
        <w:rPr>
          <w:rFonts w:eastAsia="Arial Unicode MS"/>
          <w:i/>
        </w:rPr>
        <w:t>ovně</w:t>
      </w:r>
      <w:r w:rsidR="00E86089" w:rsidRPr="008668E4">
        <w:rPr>
          <w:rFonts w:eastAsia="Arial Unicode MS"/>
          <w:i/>
        </w:rPr>
        <w:t xml:space="preserve">: zpoždění </w:t>
      </w:r>
      <w:r w:rsidR="00FD2ADC">
        <w:rPr>
          <w:rFonts w:eastAsia="Arial Unicode MS"/>
          <w:i/>
        </w:rPr>
        <w:t xml:space="preserve">X </w:t>
      </w:r>
      <w:r w:rsidR="00E86089" w:rsidRPr="008668E4">
        <w:rPr>
          <w:rFonts w:eastAsia="Arial Unicode MS"/>
          <w:i/>
        </w:rPr>
        <w:t>[dní] *MF [Kč/m2/měsíc]</w:t>
      </w:r>
      <w:r w:rsidR="00A33972" w:rsidRPr="008668E4">
        <w:rPr>
          <w:rFonts w:eastAsia="Arial Unicode MS"/>
          <w:i/>
        </w:rPr>
        <w:t xml:space="preserve"> </w:t>
      </w:r>
      <w:r w:rsidR="00E86089" w:rsidRPr="008668E4">
        <w:rPr>
          <w:rFonts w:eastAsia="Arial Unicode MS"/>
          <w:i/>
        </w:rPr>
        <w:t xml:space="preserve">*plocha </w:t>
      </w:r>
      <w:r w:rsidR="00A33972" w:rsidRPr="008668E4">
        <w:rPr>
          <w:rFonts w:eastAsia="Arial Unicode MS"/>
          <w:i/>
        </w:rPr>
        <w:t>jednotky [m</w:t>
      </w:r>
      <w:r w:rsidR="00A33972" w:rsidRPr="008668E4">
        <w:rPr>
          <w:rFonts w:eastAsia="Arial Unicode MS" w:cstheme="minorHAnsi"/>
          <w:i/>
        </w:rPr>
        <w:t>²</w:t>
      </w:r>
      <w:r w:rsidR="00E86089" w:rsidRPr="008668E4">
        <w:rPr>
          <w:rFonts w:eastAsia="Arial Unicode MS"/>
          <w:i/>
        </w:rPr>
        <w:t xml:space="preserve">]/30, kde </w:t>
      </w:r>
      <w:r w:rsidR="00A33972" w:rsidRPr="008668E4">
        <w:rPr>
          <w:rFonts w:eastAsia="Arial Unicode MS"/>
          <w:i/>
        </w:rPr>
        <w:t>X je počet dní zpoždění. Pokuta dle tohoto odstavce smí činit nejvýše 150.000,-</w:t>
      </w:r>
      <w:r w:rsidR="00E86089" w:rsidRPr="008668E4">
        <w:rPr>
          <w:rFonts w:eastAsia="Arial Unicode MS"/>
          <w:i/>
        </w:rPr>
        <w:t xml:space="preserve"> Kč </w:t>
      </w:r>
      <w:r w:rsidR="00F05836">
        <w:rPr>
          <w:rFonts w:eastAsia="Arial Unicode MS"/>
          <w:i/>
        </w:rPr>
        <w:t xml:space="preserve">bez DPH </w:t>
      </w:r>
      <w:r w:rsidR="00E86089" w:rsidRPr="008668E4">
        <w:rPr>
          <w:rFonts w:eastAsia="Arial Unicode MS"/>
          <w:i/>
        </w:rPr>
        <w:t>pro každý jednotlivý případ.</w:t>
      </w:r>
      <w:r w:rsidR="00EB0248">
        <w:rPr>
          <w:rFonts w:eastAsia="Arial Unicode MS"/>
          <w:i/>
        </w:rPr>
        <w:t xml:space="preserve"> </w:t>
      </w:r>
      <w:r w:rsidR="00EB0248" w:rsidRPr="00EB0248">
        <w:rPr>
          <w:rFonts w:eastAsia="Arial Unicode MS"/>
          <w:i/>
        </w:rPr>
        <w:t xml:space="preserve">Pokuta se nevztahuje na případy, kdy příkazník prokazatelně doloží, že neplnění v této věci není způsobeno jeho přičiněním (např. </w:t>
      </w:r>
      <w:r w:rsidR="00EB0248">
        <w:rPr>
          <w:rFonts w:eastAsia="Arial Unicode MS"/>
          <w:i/>
        </w:rPr>
        <w:t>nedostatek finančních prostředků, prodlení způsobeno na straně příkazce, prodlení na straně správce domu)</w:t>
      </w:r>
      <w:r w:rsidR="00E7643F">
        <w:rPr>
          <w:rFonts w:eastAsia="Arial Unicode MS"/>
          <w:i/>
        </w:rPr>
        <w:t>.</w:t>
      </w:r>
    </w:p>
    <w:p w14:paraId="4475A4D0" w14:textId="77777777" w:rsidR="00FB0A55" w:rsidRPr="008668E4" w:rsidRDefault="00FB0A55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</w:p>
    <w:p w14:paraId="7040A71C" w14:textId="6FBF25DD" w:rsidR="00FB0A55" w:rsidRPr="008668E4" w:rsidRDefault="00581242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  <w:r>
        <w:rPr>
          <w:rFonts w:eastAsia="Arial Unicode MS"/>
          <w:i/>
        </w:rPr>
        <w:t>Příkazce</w:t>
      </w:r>
      <w:r w:rsidRPr="008668E4">
        <w:rPr>
          <w:rFonts w:eastAsia="Arial Unicode MS"/>
          <w:i/>
        </w:rPr>
        <w:t xml:space="preserve"> </w:t>
      </w:r>
      <w:r w:rsidR="00050CD3" w:rsidRPr="008668E4">
        <w:rPr>
          <w:rFonts w:eastAsia="Arial Unicode MS"/>
          <w:i/>
        </w:rPr>
        <w:t xml:space="preserve">je dále </w:t>
      </w:r>
      <w:r>
        <w:rPr>
          <w:rFonts w:eastAsia="Arial Unicode MS"/>
          <w:i/>
        </w:rPr>
        <w:t>oprávněn požadovat</w:t>
      </w:r>
      <w:r w:rsidR="00050CD3" w:rsidRPr="008668E4">
        <w:rPr>
          <w:rFonts w:eastAsia="Arial Unicode MS"/>
          <w:i/>
        </w:rPr>
        <w:t xml:space="preserve"> smluvní pokutu za nesplnění zákonných</w:t>
      </w:r>
      <w:r w:rsidR="004E145C" w:rsidRPr="008668E4">
        <w:rPr>
          <w:rStyle w:val="Znakapoznpodarou"/>
          <w:rFonts w:eastAsia="Arial Unicode MS"/>
          <w:i/>
        </w:rPr>
        <w:footnoteReference w:id="2"/>
      </w:r>
      <w:r w:rsidR="00050CD3" w:rsidRPr="008668E4">
        <w:rPr>
          <w:rFonts w:eastAsia="Arial Unicode MS"/>
          <w:i/>
        </w:rPr>
        <w:t xml:space="preserve"> povinností a termínů souvisejících zejména s provozní správnou spravovaných nemovitostí. Výše této pokuty činí </w:t>
      </w:r>
      <w:r w:rsidR="00395BC9">
        <w:rPr>
          <w:rFonts w:eastAsia="Arial Unicode MS"/>
          <w:i/>
        </w:rPr>
        <w:t xml:space="preserve">5 </w:t>
      </w:r>
      <w:r w:rsidR="00050CD3" w:rsidRPr="008668E4">
        <w:rPr>
          <w:rFonts w:eastAsia="Arial Unicode MS"/>
          <w:i/>
        </w:rPr>
        <w:t>000,- Kč</w:t>
      </w:r>
      <w:r w:rsidR="00F05836">
        <w:rPr>
          <w:rFonts w:eastAsia="Arial Unicode MS"/>
          <w:i/>
        </w:rPr>
        <w:t xml:space="preserve"> bez DPH</w:t>
      </w:r>
      <w:r w:rsidR="00050CD3" w:rsidRPr="008668E4">
        <w:rPr>
          <w:rFonts w:eastAsia="Arial Unicode MS"/>
          <w:i/>
        </w:rPr>
        <w:t xml:space="preserve"> za každý jednotlivý případ.</w:t>
      </w:r>
      <w:r w:rsidR="00127A02">
        <w:rPr>
          <w:rFonts w:eastAsia="Arial Unicode MS"/>
          <w:i/>
        </w:rPr>
        <w:t xml:space="preserve"> </w:t>
      </w:r>
      <w:bookmarkStart w:id="1" w:name="_Hlk191983944"/>
      <w:r w:rsidR="00127A02">
        <w:rPr>
          <w:rFonts w:eastAsia="Arial Unicode MS"/>
          <w:i/>
        </w:rPr>
        <w:t xml:space="preserve">Pokuta se nevztahuje na případy, kdy příkazník prokazatelně </w:t>
      </w:r>
      <w:r w:rsidR="0001302B">
        <w:rPr>
          <w:rFonts w:eastAsia="Arial Unicode MS"/>
          <w:i/>
        </w:rPr>
        <w:t>doloží</w:t>
      </w:r>
      <w:r w:rsidR="00127A02">
        <w:rPr>
          <w:rFonts w:eastAsia="Arial Unicode MS"/>
          <w:i/>
        </w:rPr>
        <w:t>, že neplnění v této věci není způsobeno jeho přičiněním (např. prodlení ze strany dodavatele; nedostatečné kapacity dodavatelů; chybějící materiál apod.).</w:t>
      </w:r>
      <w:bookmarkEnd w:id="1"/>
    </w:p>
    <w:p w14:paraId="7B57DE6B" w14:textId="77777777" w:rsidR="00050CD3" w:rsidRPr="008668E4" w:rsidRDefault="00050CD3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</w:p>
    <w:p w14:paraId="74FCBBCF" w14:textId="131C8D05" w:rsidR="00050CD3" w:rsidRPr="008668E4" w:rsidRDefault="008668E4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  <w:r w:rsidRPr="008668E4">
        <w:rPr>
          <w:rFonts w:eastAsia="Arial Unicode MS"/>
          <w:i/>
        </w:rPr>
        <w:t>V případě, že příkazník nesplní některou z dalších povinností této Smlouvy, nejprve jej příkazce vyzve k podání vysvětlení a provedení nápravy</w:t>
      </w:r>
      <w:r w:rsidR="00627F7B">
        <w:rPr>
          <w:rFonts w:eastAsia="Arial Unicode MS"/>
          <w:i/>
        </w:rPr>
        <w:t xml:space="preserve"> ve stanoveném termínu</w:t>
      </w:r>
      <w:r w:rsidRPr="008668E4">
        <w:rPr>
          <w:rFonts w:eastAsia="Arial Unicode MS"/>
          <w:i/>
        </w:rPr>
        <w:t xml:space="preserve">. V případě </w:t>
      </w:r>
      <w:r w:rsidR="00627F7B">
        <w:rPr>
          <w:rFonts w:eastAsia="Arial Unicode MS"/>
          <w:i/>
        </w:rPr>
        <w:t>nedodržení stanoveného termínu je</w:t>
      </w:r>
      <w:r w:rsidRPr="008668E4">
        <w:rPr>
          <w:rFonts w:eastAsia="Arial Unicode MS"/>
          <w:i/>
        </w:rPr>
        <w:t xml:space="preserve"> příkazník povinen uhradit smluvní pokutu</w:t>
      </w:r>
      <w:r w:rsidR="0001302B">
        <w:rPr>
          <w:rFonts w:eastAsia="Arial Unicode MS"/>
          <w:i/>
        </w:rPr>
        <w:t xml:space="preserve"> ve výši</w:t>
      </w:r>
      <w:r w:rsidRPr="008668E4">
        <w:rPr>
          <w:rFonts w:eastAsia="Arial Unicode MS"/>
          <w:i/>
        </w:rPr>
        <w:t xml:space="preserve"> </w:t>
      </w:r>
      <w:r w:rsidR="00627F7B">
        <w:rPr>
          <w:rFonts w:eastAsia="Arial Unicode MS"/>
          <w:i/>
        </w:rPr>
        <w:t>1</w:t>
      </w:r>
      <w:r w:rsidRPr="008668E4">
        <w:rPr>
          <w:rFonts w:eastAsia="Arial Unicode MS"/>
          <w:i/>
        </w:rPr>
        <w:t xml:space="preserve">.000,- Kč </w:t>
      </w:r>
      <w:r w:rsidR="00F05836">
        <w:rPr>
          <w:rFonts w:eastAsia="Arial Unicode MS"/>
          <w:i/>
        </w:rPr>
        <w:t>bez DPH</w:t>
      </w:r>
      <w:r w:rsidR="0001302B">
        <w:rPr>
          <w:rFonts w:eastAsia="Arial Unicode MS"/>
          <w:i/>
        </w:rPr>
        <w:t xml:space="preserve"> </w:t>
      </w:r>
      <w:r w:rsidRPr="008668E4">
        <w:rPr>
          <w:rFonts w:eastAsia="Arial Unicode MS"/>
          <w:i/>
        </w:rPr>
        <w:t xml:space="preserve">za každý </w:t>
      </w:r>
      <w:r w:rsidR="00627F7B">
        <w:rPr>
          <w:rFonts w:eastAsia="Arial Unicode MS"/>
          <w:i/>
        </w:rPr>
        <w:t>den prodlen</w:t>
      </w:r>
      <w:r w:rsidR="0001302B">
        <w:rPr>
          <w:rFonts w:eastAsia="Arial Unicode MS"/>
          <w:i/>
        </w:rPr>
        <w:t>í</w:t>
      </w:r>
      <w:r w:rsidRPr="008668E4">
        <w:rPr>
          <w:rFonts w:eastAsia="Arial Unicode MS"/>
          <w:i/>
        </w:rPr>
        <w:t>.</w:t>
      </w:r>
    </w:p>
    <w:p w14:paraId="1EBDE7AB" w14:textId="77777777" w:rsidR="00930017" w:rsidRPr="008668E4" w:rsidRDefault="00930017" w:rsidP="006206D2">
      <w:pPr>
        <w:pStyle w:val="Odstavecseseznamem"/>
        <w:spacing w:after="0" w:line="240" w:lineRule="auto"/>
        <w:ind w:left="360"/>
        <w:jc w:val="both"/>
        <w:rPr>
          <w:rFonts w:eastAsia="Arial Unicode MS"/>
          <w:i/>
        </w:rPr>
      </w:pPr>
    </w:p>
    <w:p w14:paraId="766D3B26" w14:textId="77777777" w:rsidR="00F614EE" w:rsidRPr="008668E4" w:rsidRDefault="008668E4" w:rsidP="00F614EE">
      <w:pPr>
        <w:pStyle w:val="Odstavecseseznamem"/>
        <w:spacing w:after="0" w:line="240" w:lineRule="auto"/>
        <w:ind w:left="360"/>
        <w:jc w:val="both"/>
        <w:rPr>
          <w:rFonts w:eastAsia="Arial Unicode MS"/>
        </w:rPr>
      </w:pPr>
      <w:r w:rsidRPr="008668E4">
        <w:rPr>
          <w:rFonts w:eastAsia="Arial Unicode MS"/>
          <w:i/>
        </w:rPr>
        <w:t>Příkazník může výše uvedené nahradit návrhem náhradního plnění formou slevy z poskytovaných služeb, ovšem za podmínky, že s tím příkazce vyjádří souhlas.</w:t>
      </w:r>
      <w:r>
        <w:rPr>
          <w:rFonts w:eastAsia="Arial Unicode MS"/>
        </w:rPr>
        <w:t>“</w:t>
      </w:r>
    </w:p>
    <w:p w14:paraId="57830B34" w14:textId="77777777" w:rsidR="00F614EE" w:rsidRDefault="00F614EE" w:rsidP="00F614EE">
      <w:pPr>
        <w:spacing w:after="0" w:line="240" w:lineRule="auto"/>
        <w:jc w:val="both"/>
      </w:pPr>
    </w:p>
    <w:p w14:paraId="5951A108" w14:textId="7AA034F3" w:rsidR="00F614EE" w:rsidRPr="009956AB" w:rsidRDefault="00F614EE" w:rsidP="00F614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Arial Unicode MS"/>
        </w:rPr>
      </w:pPr>
      <w:r w:rsidRPr="006206D2">
        <w:rPr>
          <w:rFonts w:eastAsia="Arial Unicode MS"/>
        </w:rPr>
        <w:t xml:space="preserve">U částek uváděných v tomto Dodatku č. 5 je již zohledněna v souladu se Smlouvou uplatněná inflace, dle oznámení příkazníka ze dne </w:t>
      </w:r>
      <w:r w:rsidR="00CA5E57">
        <w:rPr>
          <w:rFonts w:eastAsia="Arial Unicode MS"/>
        </w:rPr>
        <w:t>30.01.2025</w:t>
      </w:r>
      <w:r w:rsidRPr="006206D2">
        <w:rPr>
          <w:rFonts w:eastAsia="Arial Unicode MS"/>
        </w:rPr>
        <w:t xml:space="preserve">, s účinností od </w:t>
      </w:r>
      <w:r w:rsidR="00CA5E57">
        <w:rPr>
          <w:rFonts w:eastAsia="Arial Unicode MS"/>
        </w:rPr>
        <w:t>01.02.2025.</w:t>
      </w:r>
    </w:p>
    <w:p w14:paraId="2B9B9343" w14:textId="77777777" w:rsidR="00F614EE" w:rsidRDefault="00F614EE" w:rsidP="00F614EE">
      <w:pPr>
        <w:spacing w:after="0" w:line="240" w:lineRule="auto"/>
        <w:jc w:val="both"/>
        <w:rPr>
          <w:rFonts w:eastAsia="Arial Unicode MS" w:cstheme="minorHAnsi"/>
        </w:rPr>
      </w:pPr>
    </w:p>
    <w:p w14:paraId="0A6D45A3" w14:textId="77777777" w:rsidR="00F614EE" w:rsidRPr="005F2CEF" w:rsidRDefault="00F614EE" w:rsidP="00F614EE">
      <w:pPr>
        <w:spacing w:after="0" w:line="240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>C</w:t>
      </w:r>
      <w:r w:rsidRPr="005F2CEF">
        <w:rPr>
          <w:rFonts w:eastAsia="Arial Unicode MS"/>
          <w:b/>
        </w:rPr>
        <w:t>)</w:t>
      </w:r>
    </w:p>
    <w:p w14:paraId="1D153EF5" w14:textId="77777777" w:rsidR="00F614EE" w:rsidRPr="005F2CEF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531CEE15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  <w:r w:rsidRPr="005F2CEF">
        <w:rPr>
          <w:rFonts w:eastAsia="Arial Unicode MS"/>
        </w:rPr>
        <w:t xml:space="preserve">1) </w:t>
      </w:r>
      <w:r w:rsidRPr="006E3F39">
        <w:rPr>
          <w:rFonts w:eastAsia="Arial Unicode MS"/>
        </w:rPr>
        <w:t xml:space="preserve">Tento Dodatek č. </w:t>
      </w:r>
      <w:r>
        <w:rPr>
          <w:rFonts w:eastAsia="Arial Unicode MS"/>
        </w:rPr>
        <w:t>5</w:t>
      </w:r>
      <w:r w:rsidRPr="006E3F39">
        <w:rPr>
          <w:rFonts w:eastAsia="Arial Unicode MS"/>
        </w:rPr>
        <w:t xml:space="preserve"> je vyhotoven ve </w:t>
      </w:r>
      <w:r>
        <w:rPr>
          <w:rFonts w:eastAsia="Arial Unicode MS"/>
        </w:rPr>
        <w:t>dvou (2</w:t>
      </w:r>
      <w:r w:rsidRPr="006E3F39">
        <w:rPr>
          <w:rFonts w:eastAsia="Arial Unicode MS"/>
        </w:rPr>
        <w:t xml:space="preserve">) stejnopisech, </w:t>
      </w:r>
      <w:r w:rsidRPr="006E3F39">
        <w:t xml:space="preserve">z nichž každá strana obdrží </w:t>
      </w:r>
      <w:r>
        <w:t>1</w:t>
      </w:r>
      <w:r w:rsidRPr="006E3F39">
        <w:t> </w:t>
      </w:r>
      <w:r>
        <w:t>stejnopis</w:t>
      </w:r>
      <w:r w:rsidRPr="006E3F39">
        <w:t>.</w:t>
      </w:r>
      <w:r w:rsidRPr="006E3F39">
        <w:rPr>
          <w:rFonts w:eastAsia="Arial Unicode MS"/>
        </w:rPr>
        <w:t xml:space="preserve">  </w:t>
      </w:r>
    </w:p>
    <w:p w14:paraId="17E6747F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7F0FEFF1" w14:textId="15754BD0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  <w:r w:rsidRPr="006E3F39">
        <w:rPr>
          <w:rFonts w:eastAsia="Arial Unicode MS"/>
        </w:rPr>
        <w:t xml:space="preserve">2) </w:t>
      </w:r>
      <w:r w:rsidRPr="006E3F39">
        <w:rPr>
          <w:rFonts w:cs="Arial"/>
        </w:rPr>
        <w:t xml:space="preserve">Tento Dodatek č. </w:t>
      </w:r>
      <w:r>
        <w:rPr>
          <w:rFonts w:cs="Arial"/>
        </w:rPr>
        <w:t>5</w:t>
      </w:r>
      <w:r w:rsidRPr="006E3F39">
        <w:rPr>
          <w:rFonts w:cs="Arial"/>
        </w:rPr>
        <w:t xml:space="preserve"> nabývá platnosti dnem jeho podpisu smluvními stranami a účinnosti dnem jeho registrace v registru smluv dle zákona č. 340/2015 Sb., o zvláštních podmínkách účinnosti některých smluv, uveřejňování těchto smluv a </w:t>
      </w:r>
      <w:r>
        <w:rPr>
          <w:rFonts w:cs="Arial"/>
        </w:rPr>
        <w:t xml:space="preserve">o </w:t>
      </w:r>
      <w:r w:rsidRPr="006E3F39">
        <w:rPr>
          <w:rFonts w:cs="Arial"/>
        </w:rPr>
        <w:t>registru smluv.</w:t>
      </w:r>
      <w:r>
        <w:rPr>
          <w:rFonts w:cs="Arial"/>
        </w:rPr>
        <w:t xml:space="preserve"> Účinnost plnění dle tohoto Dodatku č. 5 počíná </w:t>
      </w:r>
      <w:r w:rsidRPr="006206D2">
        <w:rPr>
          <w:rFonts w:cs="Arial"/>
        </w:rPr>
        <w:t>01</w:t>
      </w:r>
      <w:r w:rsidRPr="002653C5">
        <w:rPr>
          <w:rFonts w:cs="Arial"/>
        </w:rPr>
        <w:t>.</w:t>
      </w:r>
      <w:r w:rsidR="002653C5">
        <w:rPr>
          <w:rFonts w:cs="Arial"/>
        </w:rPr>
        <w:t>03</w:t>
      </w:r>
      <w:r w:rsidRPr="002653C5">
        <w:rPr>
          <w:rFonts w:cs="Arial"/>
        </w:rPr>
        <w:t>.202</w:t>
      </w:r>
      <w:r w:rsidR="006206D2" w:rsidRPr="002653C5">
        <w:rPr>
          <w:rFonts w:cs="Arial"/>
        </w:rPr>
        <w:t>5</w:t>
      </w:r>
      <w:r w:rsidRPr="006206D2">
        <w:rPr>
          <w:rFonts w:cs="Arial"/>
        </w:rPr>
        <w:t>.</w:t>
      </w:r>
    </w:p>
    <w:p w14:paraId="2174FF84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207B344F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  <w:r w:rsidRPr="006E3F39">
        <w:rPr>
          <w:rFonts w:eastAsia="Arial Unicode MS"/>
        </w:rPr>
        <w:t xml:space="preserve">3) </w:t>
      </w:r>
      <w:r w:rsidRPr="006E3F39">
        <w:t>Smluvní strany  výslovně sjednávají, ž</w:t>
      </w:r>
      <w:r>
        <w:t>e uveřejnění tohoto Dodatku č. 5</w:t>
      </w:r>
      <w:r w:rsidRPr="006E3F39">
        <w:t xml:space="preserve"> v registru smluv dle zákona č. 340/2015 Sb., o zvláštních podmínkách účinnosti některých smluv, uveřejňování těchto smluv a </w:t>
      </w:r>
      <w:r>
        <w:t xml:space="preserve">o </w:t>
      </w:r>
      <w:r w:rsidRPr="006E3F39">
        <w:lastRenderedPageBreak/>
        <w:t xml:space="preserve">registru smluv zajistí Městská část Praha 7 </w:t>
      </w:r>
      <w:r w:rsidRPr="006E3F39">
        <w:rPr>
          <w:bCs/>
        </w:rPr>
        <w:t>do 30 dnů od podpisu Dodatku</w:t>
      </w:r>
      <w:r>
        <w:rPr>
          <w:bCs/>
        </w:rPr>
        <w:t xml:space="preserve"> č. 5</w:t>
      </w:r>
      <w:r w:rsidRPr="006E3F39">
        <w:rPr>
          <w:bCs/>
        </w:rPr>
        <w:t xml:space="preserve"> a neprodleně bude druhou smluvní stranu o provedeném uveřejnění v registru smluv informovat</w:t>
      </w:r>
      <w:r w:rsidRPr="006E3F39">
        <w:t>.</w:t>
      </w:r>
    </w:p>
    <w:p w14:paraId="31928DDF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5E596F50" w14:textId="77777777" w:rsidR="00F614EE" w:rsidRPr="006E3F39" w:rsidRDefault="00F614EE" w:rsidP="00F614EE">
      <w:pPr>
        <w:spacing w:after="0" w:line="240" w:lineRule="auto"/>
        <w:jc w:val="both"/>
      </w:pPr>
      <w:r w:rsidRPr="006E3F39">
        <w:rPr>
          <w:rFonts w:eastAsia="Arial Unicode MS"/>
        </w:rPr>
        <w:t xml:space="preserve">4) </w:t>
      </w:r>
      <w:r w:rsidRPr="006E3F39">
        <w:t xml:space="preserve">Smluvní strany souhlasí s uveřejněním </w:t>
      </w:r>
      <w:r>
        <w:t>tohoto Dodatku č. 5</w:t>
      </w:r>
      <w:r w:rsidRPr="006E3F39">
        <w:t xml:space="preserve"> a konstatují, že v Dodatku </w:t>
      </w:r>
      <w:r>
        <w:t xml:space="preserve">č. 5 </w:t>
      </w:r>
      <w:r w:rsidRPr="006E3F39">
        <w:t xml:space="preserve">nejsou informace, které nemohou být poskytnuty podle zákona č. 340/2015 Sb., o zvláštních podmínkách účinnosti některých smluv, uveřejňování těchto smluv a </w:t>
      </w:r>
      <w:r>
        <w:t>o registru smluv</w:t>
      </w:r>
      <w:r w:rsidRPr="006E3F39">
        <w:t> a zákona č. 106/1999 Sb., o svobodném přístupu k informacím.</w:t>
      </w:r>
    </w:p>
    <w:p w14:paraId="28103EF5" w14:textId="77777777" w:rsidR="00F614EE" w:rsidRPr="006E3F39" w:rsidRDefault="00F614EE" w:rsidP="00F614EE">
      <w:pPr>
        <w:spacing w:after="0" w:line="240" w:lineRule="auto"/>
        <w:jc w:val="both"/>
      </w:pPr>
    </w:p>
    <w:p w14:paraId="124C1041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  <w:r w:rsidRPr="006E3F39">
        <w:t xml:space="preserve">5) Smluvní strany souhlasí se zveřejněním </w:t>
      </w:r>
      <w:r>
        <w:t>Dodatku č. 5</w:t>
      </w:r>
      <w:r w:rsidRPr="006E3F39">
        <w:t xml:space="preserve"> a Smlouvy na internetových stránkách Městské části Praha 7.</w:t>
      </w:r>
    </w:p>
    <w:p w14:paraId="0B183986" w14:textId="77777777" w:rsidR="00F614EE" w:rsidRPr="006E3F39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3B638E17" w14:textId="77777777" w:rsidR="00F614EE" w:rsidRPr="005F2CEF" w:rsidRDefault="00F614EE" w:rsidP="00F614EE">
      <w:pPr>
        <w:spacing w:after="0" w:line="240" w:lineRule="auto"/>
        <w:jc w:val="both"/>
        <w:rPr>
          <w:rFonts w:eastAsia="Arial Unicode MS"/>
        </w:rPr>
      </w:pPr>
      <w:r w:rsidRPr="006E3F39">
        <w:rPr>
          <w:rFonts w:eastAsia="Arial Unicode MS"/>
        </w:rPr>
        <w:t xml:space="preserve">6) Smluvní strany prohlašují, že tento Dodatek </w:t>
      </w:r>
      <w:r>
        <w:rPr>
          <w:rFonts w:eastAsia="Arial Unicode MS"/>
        </w:rPr>
        <w:t>č. 5</w:t>
      </w:r>
      <w:r w:rsidRPr="006E3F39">
        <w:rPr>
          <w:rFonts w:eastAsia="Arial Unicode MS"/>
        </w:rPr>
        <w:t xml:space="preserve"> byl sepsán podle jejich pravé a svobodné vůle, určitě, vážně a srozumitelně, a</w:t>
      </w:r>
      <w:r w:rsidRPr="005F2CEF">
        <w:rPr>
          <w:rFonts w:eastAsia="Arial Unicode MS"/>
        </w:rPr>
        <w:t xml:space="preserve"> že nebyl uzavřen v tísni ani za nápadně nevýhodných podmínek. Na</w:t>
      </w:r>
      <w:r>
        <w:rPr>
          <w:rFonts w:eastAsia="Arial Unicode MS"/>
        </w:rPr>
        <w:t> </w:t>
      </w:r>
      <w:r w:rsidRPr="005F2CEF">
        <w:rPr>
          <w:rFonts w:eastAsia="Arial Unicode MS"/>
        </w:rPr>
        <w:t xml:space="preserve">důkaz toho a svého souhlasu s obsahem Dodatku č. </w:t>
      </w:r>
      <w:r>
        <w:rPr>
          <w:rFonts w:eastAsia="Arial Unicode MS"/>
        </w:rPr>
        <w:t>5</w:t>
      </w:r>
      <w:r w:rsidRPr="005F2CEF">
        <w:rPr>
          <w:rFonts w:eastAsia="Arial Unicode MS"/>
        </w:rPr>
        <w:t xml:space="preserve"> připojují vlastnoruční podpisy.</w:t>
      </w:r>
    </w:p>
    <w:p w14:paraId="754EDBF9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6D59D491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Příloha </w:t>
      </w:r>
      <w:r w:rsidR="00A81A50">
        <w:rPr>
          <w:rFonts w:eastAsia="Arial Unicode MS"/>
        </w:rPr>
        <w:tab/>
      </w:r>
      <w:r>
        <w:rPr>
          <w:rFonts w:eastAsia="Arial Unicode MS"/>
        </w:rPr>
        <w:t>č. 1 – seznam nemovitostí</w:t>
      </w:r>
    </w:p>
    <w:p w14:paraId="2A3CBB48" w14:textId="77777777" w:rsidR="00A81A50" w:rsidRDefault="00A81A50" w:rsidP="00F614E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  <w:t>č. 2 - povinnosti příkazníka</w:t>
      </w:r>
    </w:p>
    <w:p w14:paraId="76E995B1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7A208DA6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4DE71E4D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>V Praze dne ………………….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V Praze dne ………………….</w:t>
      </w:r>
    </w:p>
    <w:p w14:paraId="368259B3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41B7E6D1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471EC202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020597A7" w14:textId="77777777" w:rsidR="00F614EE" w:rsidRDefault="00F614EE" w:rsidP="00F614EE">
      <w:pPr>
        <w:spacing w:after="0" w:line="240" w:lineRule="auto"/>
        <w:jc w:val="both"/>
        <w:rPr>
          <w:rFonts w:eastAsia="Arial Unicode MS"/>
        </w:rPr>
      </w:pPr>
    </w:p>
    <w:p w14:paraId="2B979BBD" w14:textId="77777777" w:rsidR="00F614EE" w:rsidRPr="005F2CEF" w:rsidRDefault="00F614EE" w:rsidP="00F614E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>………………………………………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………………………………………</w:t>
      </w:r>
    </w:p>
    <w:p w14:paraId="723E72BB" w14:textId="77777777" w:rsidR="00F614EE" w:rsidRDefault="00F614EE" w:rsidP="00F614EE">
      <w:pPr>
        <w:spacing w:after="0" w:line="240" w:lineRule="auto"/>
      </w:pPr>
      <w:r>
        <w:t>za příkazce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příkazníka</w:t>
      </w:r>
    </w:p>
    <w:p w14:paraId="60C4754E" w14:textId="77777777" w:rsidR="00F614EE" w:rsidRDefault="00F614EE" w:rsidP="00F614EE">
      <w:pPr>
        <w:spacing w:after="0" w:line="240" w:lineRule="auto"/>
      </w:pPr>
      <w:r>
        <w:t>Mgr. Jan Čižinský</w:t>
      </w:r>
      <w:r>
        <w:tab/>
      </w:r>
      <w:r>
        <w:tab/>
      </w:r>
      <w:r>
        <w:tab/>
      </w:r>
      <w:r>
        <w:tab/>
      </w:r>
      <w:r>
        <w:tab/>
      </w:r>
      <w:r>
        <w:tab/>
        <w:t>Mgr. Tomáš Trnka</w:t>
      </w:r>
    </w:p>
    <w:p w14:paraId="6BD51776" w14:textId="77777777" w:rsidR="00A96942" w:rsidRPr="00F614EE" w:rsidRDefault="00A96942" w:rsidP="00F614E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A96942" w:rsidRPr="00F6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377B5" w14:textId="77777777" w:rsidR="00F614EE" w:rsidRDefault="00F614EE" w:rsidP="00F614EE">
      <w:pPr>
        <w:spacing w:after="0" w:line="240" w:lineRule="auto"/>
      </w:pPr>
      <w:r>
        <w:separator/>
      </w:r>
    </w:p>
  </w:endnote>
  <w:endnote w:type="continuationSeparator" w:id="0">
    <w:p w14:paraId="67C67AE0" w14:textId="77777777" w:rsidR="00F614EE" w:rsidRDefault="00F614EE" w:rsidP="00F6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626D" w14:textId="77777777" w:rsidR="00F614EE" w:rsidRDefault="00F614EE" w:rsidP="00F614EE">
      <w:pPr>
        <w:spacing w:after="0" w:line="240" w:lineRule="auto"/>
      </w:pPr>
      <w:r>
        <w:separator/>
      </w:r>
    </w:p>
  </w:footnote>
  <w:footnote w:type="continuationSeparator" w:id="0">
    <w:p w14:paraId="307855BC" w14:textId="77777777" w:rsidR="00F614EE" w:rsidRDefault="00F614EE" w:rsidP="00F614EE">
      <w:pPr>
        <w:spacing w:after="0" w:line="240" w:lineRule="auto"/>
      </w:pPr>
      <w:r>
        <w:continuationSeparator/>
      </w:r>
    </w:p>
  </w:footnote>
  <w:footnote w:id="1">
    <w:p w14:paraId="0D59A8D7" w14:textId="77F82432" w:rsidR="00B14EE6" w:rsidRDefault="00B14EE6" w:rsidP="00B14EE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14EE6">
        <w:rPr>
          <w:i/>
        </w:rPr>
        <w:t>metodiky, doporučení, cenové mapy, online kalkulačky a nástroje apod. - v případě více možností se pro finální částku použije průměr z jednotlivých výpočtů</w:t>
      </w:r>
      <w:r w:rsidR="002653C5">
        <w:rPr>
          <w:i/>
        </w:rPr>
        <w:t xml:space="preserve">, přičemž sazba </w:t>
      </w:r>
      <w:r w:rsidR="002653C5" w:rsidRPr="002653C5">
        <w:rPr>
          <w:i/>
        </w:rPr>
        <w:t>MF [Kč/m2/měsíc]</w:t>
      </w:r>
      <w:r w:rsidR="002653C5">
        <w:rPr>
          <w:i/>
        </w:rPr>
        <w:t xml:space="preserve"> nesmí být nižší, než vždy aktuálně platná sazba MČ Praha 7 pro byty podporovaného bydlení, služebního bydlení, byty zvláštního určení a krizové byty; v případě nebytových prostor se pro výpočet modelově použije </w:t>
      </w:r>
      <w:r w:rsidR="002653C5" w:rsidRPr="002653C5">
        <w:rPr>
          <w:i/>
        </w:rPr>
        <w:t>nejvíce odpovídající dispozice bytu</w:t>
      </w:r>
    </w:p>
  </w:footnote>
  <w:footnote w:id="2">
    <w:p w14:paraId="43AF0244" w14:textId="77777777" w:rsidR="004E145C" w:rsidRDefault="004E14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668E4" w:rsidRPr="008668E4">
        <w:rPr>
          <w:i/>
        </w:rPr>
        <w:t>veškeré povinnosti vyplývající z jakékoliv legislativy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4146"/>
    <w:multiLevelType w:val="hybridMultilevel"/>
    <w:tmpl w:val="C2301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10377"/>
    <w:multiLevelType w:val="hybridMultilevel"/>
    <w:tmpl w:val="77268FB2"/>
    <w:lvl w:ilvl="0" w:tplc="CAD03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C611C"/>
    <w:multiLevelType w:val="hybridMultilevel"/>
    <w:tmpl w:val="81701F6E"/>
    <w:lvl w:ilvl="0" w:tplc="2384FA1E">
      <w:start w:val="1"/>
      <w:numFmt w:val="decimal"/>
      <w:lvlText w:val="%1."/>
      <w:lvlJc w:val="left"/>
      <w:pPr>
        <w:ind w:left="1020" w:hanging="360"/>
      </w:pPr>
    </w:lvl>
    <w:lvl w:ilvl="1" w:tplc="19FE6F22">
      <w:start w:val="1"/>
      <w:numFmt w:val="decimal"/>
      <w:lvlText w:val="%2."/>
      <w:lvlJc w:val="left"/>
      <w:pPr>
        <w:ind w:left="1020" w:hanging="360"/>
      </w:pPr>
    </w:lvl>
    <w:lvl w:ilvl="2" w:tplc="E9AC1086">
      <w:start w:val="1"/>
      <w:numFmt w:val="decimal"/>
      <w:lvlText w:val="%3."/>
      <w:lvlJc w:val="left"/>
      <w:pPr>
        <w:ind w:left="1020" w:hanging="360"/>
      </w:pPr>
    </w:lvl>
    <w:lvl w:ilvl="3" w:tplc="25A45FEA">
      <w:start w:val="1"/>
      <w:numFmt w:val="decimal"/>
      <w:lvlText w:val="%4."/>
      <w:lvlJc w:val="left"/>
      <w:pPr>
        <w:ind w:left="1020" w:hanging="360"/>
      </w:pPr>
    </w:lvl>
    <w:lvl w:ilvl="4" w:tplc="E828DA14">
      <w:start w:val="1"/>
      <w:numFmt w:val="decimal"/>
      <w:lvlText w:val="%5."/>
      <w:lvlJc w:val="left"/>
      <w:pPr>
        <w:ind w:left="1020" w:hanging="360"/>
      </w:pPr>
    </w:lvl>
    <w:lvl w:ilvl="5" w:tplc="F3F4A304">
      <w:start w:val="1"/>
      <w:numFmt w:val="decimal"/>
      <w:lvlText w:val="%6."/>
      <w:lvlJc w:val="left"/>
      <w:pPr>
        <w:ind w:left="1020" w:hanging="360"/>
      </w:pPr>
    </w:lvl>
    <w:lvl w:ilvl="6" w:tplc="50ECE4DC">
      <w:start w:val="1"/>
      <w:numFmt w:val="decimal"/>
      <w:lvlText w:val="%7."/>
      <w:lvlJc w:val="left"/>
      <w:pPr>
        <w:ind w:left="1020" w:hanging="360"/>
      </w:pPr>
    </w:lvl>
    <w:lvl w:ilvl="7" w:tplc="6D78332A">
      <w:start w:val="1"/>
      <w:numFmt w:val="decimal"/>
      <w:lvlText w:val="%8."/>
      <w:lvlJc w:val="left"/>
      <w:pPr>
        <w:ind w:left="1020" w:hanging="360"/>
      </w:pPr>
    </w:lvl>
    <w:lvl w:ilvl="8" w:tplc="2702BA6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747E5BFC"/>
    <w:multiLevelType w:val="hybridMultilevel"/>
    <w:tmpl w:val="ECD40B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04"/>
    <w:rsid w:val="0001302B"/>
    <w:rsid w:val="00047625"/>
    <w:rsid w:val="00050CD3"/>
    <w:rsid w:val="0007110E"/>
    <w:rsid w:val="000E2C48"/>
    <w:rsid w:val="000F5E90"/>
    <w:rsid w:val="00127A02"/>
    <w:rsid w:val="00133D68"/>
    <w:rsid w:val="001859D2"/>
    <w:rsid w:val="001E0BBE"/>
    <w:rsid w:val="002653C5"/>
    <w:rsid w:val="00273ADD"/>
    <w:rsid w:val="002F4B93"/>
    <w:rsid w:val="00326182"/>
    <w:rsid w:val="00395BC9"/>
    <w:rsid w:val="004525E9"/>
    <w:rsid w:val="004957B3"/>
    <w:rsid w:val="004E145C"/>
    <w:rsid w:val="004F5242"/>
    <w:rsid w:val="00542168"/>
    <w:rsid w:val="0057284E"/>
    <w:rsid w:val="00581242"/>
    <w:rsid w:val="00585152"/>
    <w:rsid w:val="005F68B0"/>
    <w:rsid w:val="006015E0"/>
    <w:rsid w:val="00613F8F"/>
    <w:rsid w:val="006206D2"/>
    <w:rsid w:val="00627F7B"/>
    <w:rsid w:val="0067632B"/>
    <w:rsid w:val="00767394"/>
    <w:rsid w:val="00784CF6"/>
    <w:rsid w:val="008668E4"/>
    <w:rsid w:val="008A35B4"/>
    <w:rsid w:val="0090047A"/>
    <w:rsid w:val="00904C17"/>
    <w:rsid w:val="00930017"/>
    <w:rsid w:val="00942C51"/>
    <w:rsid w:val="009D521A"/>
    <w:rsid w:val="00A069BB"/>
    <w:rsid w:val="00A33972"/>
    <w:rsid w:val="00A81A50"/>
    <w:rsid w:val="00A96942"/>
    <w:rsid w:val="00B14EE6"/>
    <w:rsid w:val="00B63E04"/>
    <w:rsid w:val="00B77369"/>
    <w:rsid w:val="00BF60B4"/>
    <w:rsid w:val="00C005A8"/>
    <w:rsid w:val="00CA5E57"/>
    <w:rsid w:val="00DC0E86"/>
    <w:rsid w:val="00E7643F"/>
    <w:rsid w:val="00E86089"/>
    <w:rsid w:val="00EB0248"/>
    <w:rsid w:val="00F05836"/>
    <w:rsid w:val="00F614EE"/>
    <w:rsid w:val="00FB0A55"/>
    <w:rsid w:val="00F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CD41"/>
  <w15:chartTrackingRefBased/>
  <w15:docId w15:val="{98CAECEB-0CE5-4DAD-8BAE-F0C3472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4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14EE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F614E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4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4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4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D52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52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52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2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D521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052F-9635-4B69-ADD4-9F49E6EC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5175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 Robert Mgr.</dc:creator>
  <cp:keywords/>
  <dc:description/>
  <cp:lastModifiedBy>Šišková Jana</cp:lastModifiedBy>
  <cp:revision>2</cp:revision>
  <dcterms:created xsi:type="dcterms:W3CDTF">2025-03-19T13:12:00Z</dcterms:created>
  <dcterms:modified xsi:type="dcterms:W3CDTF">2025-03-19T13:12:00Z</dcterms:modified>
</cp:coreProperties>
</file>