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3360" w:h="336" w:wrap="none" w:hAnchor="page" w:x="4553" w:y="6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RÁMCOVÁ KUPNÍ SMLOUVA</w:t>
      </w:r>
      <w:bookmarkEnd w:id="0"/>
    </w:p>
    <w:p>
      <w:pPr>
        <w:pStyle w:val="Style4"/>
        <w:keepNext/>
        <w:keepLines/>
        <w:framePr w:w="2429" w:h="955" w:wrap="none" w:hAnchor="page" w:x="8830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5"/>
        </w:rPr>
        <w:t>■IIIIMIIll</w:t>
      </w:r>
      <w:bookmarkEnd w:id="2"/>
    </w:p>
    <w:p>
      <w:pPr>
        <w:pStyle w:val="Style6"/>
        <w:keepNext w:val="0"/>
        <w:keepLines w:val="0"/>
        <w:framePr w:w="2429" w:h="955" w:wrap="none" w:hAnchor="page" w:x="8830" w:y="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Style w:val="CharStyle7"/>
        </w:rPr>
        <w:t>2025001979</w:t>
      </w:r>
    </w:p>
    <w:p>
      <w:pPr>
        <w:widowControl w:val="0"/>
        <w:spacing w:line="360" w:lineRule="exact"/>
      </w:pPr>
    </w:p>
    <w:p>
      <w:pPr>
        <w:widowControl w:val="0"/>
        <w:spacing w:after="642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727" w:right="642" w:bottom="676" w:left="1379" w:header="299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line="240" w:lineRule="auto"/>
        <w:ind w:right="0"/>
        <w:jc w:val="left"/>
      </w:pPr>
      <w:bookmarkStart w:id="4" w:name="bookmark4"/>
      <w:r>
        <w:rPr>
          <w:rStyle w:val="CharStyle25"/>
        </w:rPr>
        <w:t>uzavřená v souladu s ustanovením § 2079 a nási. zákona č. 89/2012 Sb., občanský zákoník, mezi níže uvedenými smluvními stranami</w:t>
      </w:r>
      <w:bookmarkEnd w:id="4"/>
    </w:p>
    <w:tbl>
      <w:tblPr>
        <w:tblOverlap w:val="never"/>
        <w:jc w:val="left"/>
        <w:tblLayout w:type="fixed"/>
      </w:tblPr>
      <w:tblGrid>
        <w:gridCol w:w="3067"/>
        <w:gridCol w:w="6019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rStyle w:val="CharStyle29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9"/>
              </w:rPr>
              <w:t>Kamenice 798/1 d, 625 00 Brno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9"/>
              </w:rPr>
              <w:t>MUDr. Hana Albrechtová, ředitelka</w:t>
            </w:r>
          </w:p>
        </w:tc>
      </w:tr>
      <w:tr>
        <w:trPr>
          <w:trHeight w:val="45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 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0"/>
              <w:jc w:val="left"/>
            </w:pPr>
            <w:r>
              <w:rPr>
                <w:rStyle w:val="CharStyle29"/>
                <w:shd w:val="clear" w:color="auto" w:fill="000000"/>
              </w:rPr>
              <w:t>.........</w:t>
            </w:r>
            <w:r>
              <w:rPr>
                <w:rStyle w:val="CharStyle29"/>
                <w:spacing w:val="1"/>
                <w:shd w:val="clear" w:color="auto" w:fill="000000"/>
              </w:rPr>
              <w:t>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4"/>
                <w:shd w:val="clear" w:color="auto" w:fill="000000"/>
              </w:rPr>
              <w:t>..........</w:t>
            </w:r>
            <w:r>
              <w:rPr>
                <w:rStyle w:val="CharStyle29"/>
                <w:spacing w:val="5"/>
                <w:shd w:val="clear" w:color="auto" w:fill="000000"/>
              </w:rPr>
              <w:t>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3"/>
                <w:shd w:val="clear" w:color="auto" w:fill="000000"/>
              </w:rPr>
              <w:t>..</w:t>
            </w:r>
            <w:r>
              <w:rPr>
                <w:rStyle w:val="CharStyle29"/>
                <w:spacing w:val="4"/>
                <w:shd w:val="clear" w:color="auto" w:fill="000000"/>
              </w:rPr>
              <w:t>......</w:t>
            </w:r>
            <w:r>
              <w:rPr>
                <w:rStyle w:val="CharStyle29"/>
                <w:u w:val="single"/>
                <w:shd w:val="clear" w:color="auto" w:fill="000000"/>
                <w:lang w:val="en-US" w:eastAsia="en-US" w:bidi="en-US"/>
              </w:rPr>
              <w:t>​........</w:t>
            </w:r>
            <w:r>
              <w:rPr>
                <w:rStyle w:val="CharStyle29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</w:t>
            </w:r>
            <w:r>
              <w:rPr>
                <w:rStyle w:val="CharStyle2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8"/>
                <w:shd w:val="clear" w:color="auto" w:fill="000000"/>
              </w:rPr>
              <w:t>..</w:t>
            </w:r>
            <w:r>
              <w:rPr>
                <w:rStyle w:val="CharStyle29"/>
                <w:spacing w:val="9"/>
                <w:shd w:val="clear" w:color="auto" w:fill="000000"/>
              </w:rPr>
              <w:t>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8"/>
                <w:shd w:val="clear" w:color="auto" w:fill="000000"/>
              </w:rPr>
              <w:t>.</w:t>
            </w:r>
            <w:r>
              <w:rPr>
                <w:rStyle w:val="CharStyle29"/>
                <w:spacing w:val="9"/>
                <w:shd w:val="clear" w:color="auto" w:fill="000000"/>
              </w:rPr>
              <w:t>.....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6"/>
                <w:shd w:val="clear" w:color="auto" w:fill="000000"/>
              </w:rPr>
              <w:t>....</w:t>
            </w:r>
            <w:r>
              <w:rPr>
                <w:rStyle w:val="CharStyle29"/>
                <w:spacing w:val="7"/>
                <w:shd w:val="clear" w:color="auto" w:fill="000000"/>
              </w:rPr>
              <w:t>..</w:t>
            </w:r>
            <w:r>
              <w:rPr>
                <w:rStyle w:val="CharStyle29"/>
                <w:shd w:val="clear" w:color="auto" w:fill="000000"/>
              </w:rPr>
              <w:t>​</w:t>
            </w:r>
            <w:r>
              <w:rPr>
                <w:rStyle w:val="CharStyle29"/>
                <w:spacing w:val="10"/>
                <w:shd w:val="clear" w:color="auto" w:fill="000000"/>
              </w:rPr>
              <w:t>..</w:t>
            </w:r>
            <w:r>
              <w:rPr>
                <w:rStyle w:val="CharStyle29"/>
                <w:spacing w:val="11"/>
                <w:shd w:val="clear" w:color="auto" w:fill="000000"/>
              </w:rPr>
              <w:t>...</w:t>
            </w:r>
            <w:r>
              <w:rPr>
                <w:rStyle w:val="CharStyle29"/>
              </w:rPr>
              <w:t xml:space="preserve"> 00346292</w:t>
            </w:r>
          </w:p>
        </w:tc>
      </w:tr>
      <w:tr>
        <w:trPr>
          <w:trHeight w:val="48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9"/>
              </w:rPr>
              <w:t>CZ00346292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9"/>
              </w:rPr>
              <w:t>Krajský soud v Brně sp. zn. Pr 1245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spojen!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29"/>
              </w:rPr>
              <w:t>MONETA Money Bank, a.s„ č. ú. 117203514/0600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(dále jen „kupujíc!“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067"/>
        <w:gridCol w:w="6014"/>
      </w:tblGrid>
      <w:tr>
        <w:trPr>
          <w:trHeight w:val="59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29"/>
                <w:sz w:val="16"/>
                <w:szCs w:val="16"/>
              </w:rPr>
              <w:t>a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  <w:b/>
                <w:bCs/>
              </w:rPr>
              <w:t>PANGEA CZ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Jasenická 1360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jednatelem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Radim Dobeš</w:t>
            </w:r>
          </w:p>
        </w:tc>
      </w:tr>
      <w:tr>
        <w:trPr>
          <w:trHeight w:val="4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IČ: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27774996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CZ27774996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C 41534 vedená u KS v Ostravě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29"/>
              </w:rPr>
              <w:t>6032170036/5500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7"/>
        </w:rPr>
        <w:t>(dále jen „prodávajíc!“</w:t>
      </w:r>
    </w:p>
    <w:p>
      <w:pPr>
        <w:widowControl w:val="0"/>
        <w:spacing w:after="93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 xml:space="preserve">Prodávající je oprávněn na základě svého vlastnického práva nakládat s tímto zbožím: </w:t>
      </w:r>
      <w:r>
        <w:rPr>
          <w:rStyle w:val="CharStyle12"/>
          <w:b/>
          <w:bCs/>
        </w:rPr>
        <w:t xml:space="preserve">pobytová obuv. </w:t>
      </w:r>
      <w:r>
        <w:rPr>
          <w:rStyle w:val="CharStyle12"/>
        </w:rPr>
        <w:t>Bližší specifikace tohoto zboží a jeho jednotková cena je uvedena v příloze č.1, která je nedílnou součástí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(objednávky), a to ve znění, daném touto výzvou (objednávkou) a touto rámcovou kupní smlouvou. Výzva (objednávka) kupujícího musí obsahovat vždy údaj o specifikaci a množství objednaného zboží, datum, jméno a .funkci osoby jednající za kupujícího. Výzvu (objednávku) kupujícího lze učinit i elektronickou formou (e- mailem).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2"/>
        </w:rPr>
        <w:t>Součástí dodávky zboží podle čl. 2 této smlouvy je vždy předání veškerých písemných dokladů, které jsou nezbytné k používání tohoto zboží, zejména návodu k obsluze v českém jazyce.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2"/>
        </w:rPr>
        <w:t xml:space="preserve">Prodávající se zavazuje plnit svůj závazek k dodání zboží podle čl. 1 této smlouvy vždy nejpozději do </w:t>
      </w:r>
      <w:r>
        <w:rPr>
          <w:rStyle w:val="CharStyle12"/>
          <w:b/>
          <w:bCs/>
        </w:rPr>
        <w:t xml:space="preserve">4 týdnů </w:t>
      </w:r>
      <w:r>
        <w:rPr>
          <w:rStyle w:val="CharStyle12"/>
        </w:rPr>
        <w:t xml:space="preserve">ode dne účinnosti příslušné dílčí kupní smlouvy, nebude-li v každém jednotlivém případě dohodnuto jinak. Tento závazek se bude považovat za splněný po předání a </w:t>
      </w:r>
      <w:r>
        <w:rPr>
          <w:rStyle w:val="CharStyle12"/>
          <w:vertAlign w:val="superscript"/>
        </w:rPr>
        <w:t>11</w:t>
      </w:r>
      <w:r>
        <w:rPr>
          <w:rStyle w:val="CharStyle12"/>
        </w:rPr>
        <w:t xml:space="preserve"> převzetí příslušného zboží formou písemného předávacího protokolu, podepsaného oběma stranami. Místem plnění se rozumí sídlo kupujícího, Kamenice 798/1 d, Brno, 625 00.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60" w:line="240" w:lineRule="auto"/>
        <w:ind w:left="400" w:right="0" w:hanging="400"/>
        <w:jc w:val="both"/>
      </w:pPr>
      <w:r>
        <w:rPr>
          <w:rStyle w:val="CharStyle12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Nebezpečí škody na převáděném zboží podle čí. 1 této smlouvy a vlastnické právo k tomuto zboží přechází z prodávajícího na kupujícího dnem faktického převzetí tohoto zboží.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Kupující se zavazuje zaplatit prodávajícímu za předmět koupě a prodeje podle čl. 1 této smlouvy kupní cenu, která bude stanovena jako součin dodaného množství příslušného zboží a jednotkových cen. Jednotkové ceny zboží jsou uvedeny v příloze č. 1 této smlouvy, která je nedílnou součástí této smlouvy. Součástí těchto cen jsou veškeré náklady prodávajícího na splnění jeho závazku k dodání zboží podle této smlouvy. Výše uvedené ceny se prodávající zavazuje garantovat po dobu podle čl. 20 této smlouvy. Změna ceny je možná pouze v případě změny zákonné sazby DPH.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Faktura/daňový doklad bude doručena elektronicky na e-mail:</w:t>
      </w:r>
      <w:r>
        <w:rPr>
          <w:rStyle w:val="CharStyle12"/>
          <w:shd w:val="clear" w:color="auto" w:fill="000000"/>
        </w:rPr>
        <w:t>.</w:t>
      </w:r>
      <w:r>
        <w:rPr>
          <w:rStyle w:val="CharStyle12"/>
          <w:u w:val="single"/>
          <w:shd w:val="clear" w:color="auto" w:fill="000000"/>
          <w:lang w:val="en-US" w:eastAsia="en-US" w:bidi="en-US"/>
        </w:rPr>
        <w:t>​........</w:t>
      </w:r>
      <w:r>
        <w:rPr>
          <w:rStyle w:val="CharStyle12"/>
          <w:spacing w:val="1"/>
          <w:u w:val="single"/>
          <w:shd w:val="clear" w:color="auto" w:fill="000000"/>
          <w:lang w:val="en-US" w:eastAsia="en-US" w:bidi="en-US"/>
        </w:rPr>
        <w:t>.......................</w:t>
      </w:r>
      <w:r>
        <w:rPr>
          <w:rStyle w:val="CharStyle12"/>
          <w:shd w:val="clear" w:color="auto" w:fill="000000"/>
          <w:lang w:val="en-US" w:eastAsia="en-US" w:bidi="en-US"/>
        </w:rPr>
        <w:t>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55"/>
          <w:shd w:val="clear" w:color="auto" w:fill="000000"/>
        </w:rPr>
        <w:t>.</w:t>
      </w:r>
      <w:r>
        <w:rPr>
          <w:rStyle w:val="CharStyle12"/>
        </w:rPr>
        <w:t xml:space="preserve"> </w:t>
      </w:r>
      <w:r>
        <w:rPr>
          <w:rStyle w:val="CharStyle12"/>
          <w:u w:val="single"/>
          <w:shd w:val="clear" w:color="auto" w:fill="000000"/>
        </w:rPr>
        <w:t>​</w:t>
      </w:r>
      <w:r>
        <w:rPr>
          <w:rStyle w:val="CharStyle12"/>
          <w:spacing w:val="1"/>
          <w:u w:val="single"/>
          <w:shd w:val="clear" w:color="auto" w:fill="000000"/>
        </w:rPr>
        <w:t>...........................</w:t>
      </w:r>
      <w:r>
        <w:rPr>
          <w:rStyle w:val="CharStyle12"/>
          <w:spacing w:val="2"/>
          <w:u w:val="single"/>
          <w:shd w:val="clear" w:color="auto" w:fill="000000"/>
        </w:rPr>
        <w:t>........</w:t>
      </w:r>
      <w:r>
        <w:rPr>
          <w:rStyle w:val="CharStyle12"/>
        </w:rPr>
        <w:t xml:space="preserve"> Na faktuře/daňovém dokladu musí být mimo jiné vždy uvedeno toto číslo veřejné zakázky, ke které se faktura vztahuje: </w:t>
      </w:r>
      <w:r>
        <w:rPr>
          <w:rStyle w:val="CharStyle12"/>
          <w:b/>
          <w:bCs/>
        </w:rPr>
        <w:t xml:space="preserve">P25V00000607. </w:t>
      </w:r>
      <w:r>
        <w:rPr>
          <w:rStyle w:val="CharStyle12"/>
        </w:rPr>
        <w:t>Součástí faktury bude rovněž kopie podepsaného předávacího protokolu dle čl. 4 této smlouvy. Nebude-li faktura splňovat veškeré náležitosti daňového dokladu podle zákona a další náležitosti podle této smlouvy, je kupující oprávněn vrátit takovou fakturu zhotoviteli k opravě, přičemž doba její splatnosti začne znovu celá běžet ode dne doručení opravené faktury kupujícímu.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S převodem zboží je podle čl. 1 této smlouvy spojena záruka za jeho jakost v trvání 24 měsíců ode dne předání příslušného zboží. V rámci záruky se prodávající zavazuje, že zboží podle čl. 1 této smlouvy bude mít po dobu uvedené záruční lhůty vlastnosti, které jsou stanoveny právními předpisy nebo technickými normami nebo jsou u zboží tohoto druhu obvyklé, a že bude po dobu záruční lhůty bezplatně odstraňovat vady, které se na zboží podle čl. 1 této smlouvy vyskytnou, a to ve lhůtě do 3 týdnů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Neodstraní-li prodávající vady zboží ve lhůtě podle čl. 9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Pro případ prodlení se splněním závazku prodávajícího k dodání zboží ve lhůtě podle čl. 4 této smlouvy se prodávající zavazuje platit kupujícímu smluvní pokutu ve výši 0,1 % z kupní ceny nedodaného zboží podle čl. 7 této smlouvy za každý započatý den tohoto prodlení. Pro případ prodlení s odstraněním vady ve lhůtě podle čl. 9 této smlouvy se prodávající zavazuje platit kupujícímu smluvní pokutu ve výši 500,- Kč za každý den prodlení s odstraněním vady. Obě strany se dohodly, že zaplacením smluvní pokuty podle této smlouvy není nijak dotčeno právo kupujícího na náhradu škody v plné výši. Tímto ujednáním se přitom vylučuje aplikace § 2050 občanského zákoníku na vztah mezi oběma stranami podle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příslušné dílčí kupní smlouvy i od této rámcové smlouvy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40" w:lineRule="auto"/>
        <w:ind w:left="440" w:right="0" w:hanging="440"/>
        <w:jc w:val="both"/>
      </w:pPr>
      <w:r>
        <w:rPr>
          <w:rStyle w:val="CharStyle12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line="240" w:lineRule="auto"/>
        <w:ind w:left="900" w:right="0" w:hanging="420"/>
        <w:jc w:val="both"/>
      </w:pPr>
      <w:r>
        <w:rPr>
          <w:rStyle w:val="CharStyle12"/>
        </w:rPr>
        <w:t>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line="240" w:lineRule="auto"/>
        <w:ind w:left="900" w:right="0" w:hanging="420"/>
        <w:jc w:val="both"/>
      </w:pPr>
      <w:r>
        <w:rPr>
          <w:rStyle w:val="CharStyle12"/>
        </w:rPr>
        <w:t>Smluvní strany souhlasí se zveřejněním smlouvy v úplném zněni,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line="240" w:lineRule="auto"/>
        <w:ind w:left="0" w:right="0" w:firstLine="480"/>
        <w:jc w:val="both"/>
      </w:pPr>
      <w:r>
        <w:rPr>
          <w:rStyle w:val="CharStyle12"/>
        </w:rPr>
        <w:t>Tuto smlouvu lze změnit nebo zrušit pouze jinou písemnou dohodou obou smluvních stran.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line="240" w:lineRule="auto"/>
        <w:ind w:left="900" w:right="0" w:hanging="420"/>
        <w:jc w:val="both"/>
      </w:pPr>
      <w:r>
        <w:rPr>
          <w:rStyle w:val="CharStyle12"/>
        </w:rPr>
        <w:t>Tato smlouva nabývá účinnosti po jejím podpisu oběma smluvními stranami dnem jejího uveřejnění v Registru smluv, nejdříve však 1. 5. 2025.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line="240" w:lineRule="auto"/>
        <w:ind w:left="0" w:right="0" w:firstLine="480"/>
        <w:jc w:val="both"/>
      </w:pPr>
      <w:r>
        <w:rPr>
          <w:rStyle w:val="CharStyle12"/>
        </w:rPr>
        <w:t xml:space="preserve">Tato smlouva se uzavírá na dobu určitou do </w:t>
      </w:r>
      <w:r>
        <w:rPr>
          <w:rStyle w:val="CharStyle12"/>
          <w:b/>
          <w:bCs/>
        </w:rPr>
        <w:t>30. 4. 2027.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98" w:val="left"/>
        </w:tabs>
        <w:bidi w:val="0"/>
        <w:spacing w:before="0" w:after="0" w:line="240" w:lineRule="auto"/>
        <w:ind w:left="900" w:right="0" w:hanging="420"/>
        <w:jc w:val="both"/>
      </w:pPr>
      <w:r>
        <w:rPr>
          <w:rStyle w:val="CharStyle12"/>
        </w:rPr>
        <w:t>Tato smlouva se vyhotovuje ve dvou stejnopisech splatností originálu, z nichž každá ze smluvních stran obdrží jedno vyhotovení. V případě, že je tato smlouva uzavřena elektronickými prostředky, obdrží každá smluvní strana jeden identický elektronický soubor.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28" w:right="845" w:bottom="1004" w:left="1176" w:header="100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0690" distB="953770" distL="0" distR="0" simplePos="0" relativeHeight="125829378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ragraph">
                  <wp:posOffset>440690</wp:posOffset>
                </wp:positionV>
                <wp:extent cx="648970" cy="1587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0.350000000000009pt;margin-top:34.700000000000003pt;width:51.100000000000001pt;height:12.5pt;z-index:-125829375;mso-wrap-distance-left:0;mso-wrap-distance-top:34.700000000000003pt;mso-wrap-distance-right:0;mso-wrap-distance-bottom:75.100000000000009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278890" distB="0" distL="0" distR="45720" simplePos="0" relativeHeight="125829380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1278890</wp:posOffset>
            </wp:positionV>
            <wp:extent cx="1791970" cy="27432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7919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1388110</wp:posOffset>
                </wp:positionH>
                <wp:positionV relativeFrom="paragraph">
                  <wp:posOffset>836930</wp:posOffset>
                </wp:positionV>
                <wp:extent cx="1615440" cy="46037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5440" cy="460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/>
                              <w:jc w:val="left"/>
                            </w:pPr>
                            <w:r>
                              <w:rPr>
                                <w:rStyle w:val="CharStyle14"/>
                              </w:rPr>
                              <w:t xml:space="preserve">„ zv/iická </w:t>
                            </w:r>
                            <w:r>
                              <w:rPr>
                                <w:rStyle w:val="CharStyle14"/>
                                <w:w w:val="80"/>
                                <w:sz w:val="22"/>
                                <w:szCs w:val="22"/>
                              </w:rPr>
                              <w:t xml:space="preserve">záchranná služba 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5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​........</w:t>
                            </w:r>
                            <w:r>
                              <w:rPr>
                                <w:rStyle w:val="CharStyle14"/>
                                <w:color w:val="2258D2"/>
                              </w:rPr>
                              <w:t xml:space="preserve"> 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1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.​..............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4"/>
                                <w:color w:val="000000"/>
                                <w:shd w:val="clear" w:color="auto" w:fill="000000"/>
                              </w:rPr>
                              <w:t>​.......​.....​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4"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9.3pt;margin-top:65.900000000000006pt;width:127.2pt;height:36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left"/>
                      </w:pPr>
                      <w:r>
                        <w:rPr>
                          <w:rStyle w:val="CharStyle14"/>
                        </w:rPr>
                        <w:t xml:space="preserve">„ zv/iická </w:t>
                      </w:r>
                      <w:r>
                        <w:rPr>
                          <w:rStyle w:val="CharStyle14"/>
                          <w:w w:val="80"/>
                          <w:sz w:val="22"/>
                          <w:szCs w:val="22"/>
                        </w:rPr>
                        <w:t xml:space="preserve">záchranná služba 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14"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color w:val="000000"/>
                          <w:spacing w:val="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color w:val="000000"/>
                          <w:spacing w:val="5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14"/>
                          <w:color w:val="2258D2"/>
                        </w:rPr>
                        <w:t xml:space="preserve"> 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color w:val="000000"/>
                          <w:spacing w:val="1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.​..............</w:t>
                      </w:r>
                      <w:r>
                        <w:rPr>
                          <w:rStyle w:val="CharStyle14"/>
                          <w:color w:val="000000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4"/>
                          <w:color w:val="000000"/>
                          <w:shd w:val="clear" w:color="auto" w:fill="000000"/>
                        </w:rPr>
                        <w:t>​.......​.....​</w:t>
                      </w:r>
                      <w:r>
                        <w:rPr>
                          <w:rStyle w:val="CharStyle14"/>
                          <w:color w:val="000000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4"/>
                          <w:color w:val="000000"/>
                          <w:spacing w:val="2"/>
                          <w:shd w:val="clear" w:color="auto" w:fill="000000"/>
                        </w:rPr>
                        <w:t>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706120" distB="130810" distL="82550" distR="0" simplePos="0" relativeHeight="125829381" behindDoc="0" locked="0" layoutInCell="1" allowOverlap="1">
            <wp:simplePos x="0" y="0"/>
            <wp:positionH relativeFrom="page">
              <wp:posOffset>4616450</wp:posOffset>
            </wp:positionH>
            <wp:positionV relativeFrom="paragraph">
              <wp:posOffset>706120</wp:posOffset>
            </wp:positionV>
            <wp:extent cx="2139950" cy="71945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139950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431800</wp:posOffset>
                </wp:positionV>
                <wp:extent cx="1429385" cy="15875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93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14"/>
                                <w:color w:val="000000"/>
                                <w:sz w:val="20"/>
                                <w:szCs w:val="20"/>
                              </w:rPr>
                              <w:t>Ve Vsetíně dne 5.3.2025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7.pt;margin-top:34.pt;width:112.55pt;height:12.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4"/>
                          <w:color w:val="000000"/>
                          <w:sz w:val="20"/>
                          <w:szCs w:val="20"/>
                        </w:rPr>
                        <w:t>Ve Vsetíně dne 5.3.2025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4528185</wp:posOffset>
                </wp:positionH>
                <wp:positionV relativeFrom="paragraph">
                  <wp:posOffset>12700</wp:posOffset>
                </wp:positionV>
                <wp:extent cx="804545" cy="45720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457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</w:rPr>
                              <w:t xml:space="preserve">Radim Dobeš jednatel 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6.55000000000001pt;margin-top:1.pt;width:63.350000000000001pt;height:36.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 xml:space="preserve">Radim Dobeš jednatel </w:t>
                      </w:r>
                      <w:r>
                        <w:rPr>
                          <w:rStyle w:val="CharStyle12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MUDr. Hana Albrechtová ředitelka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left"/>
      </w:pPr>
      <w:r>
        <w:rPr>
          <w:rStyle w:val="CharStyle12"/>
          <w:b/>
          <w:bCs/>
        </w:rPr>
        <w:t>Kupující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Příloha č. 1 Specifikace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rStyle w:val="CharStyle12"/>
          <w:b/>
          <w:bCs/>
        </w:rPr>
        <w:t>Příloha č. 1 Specifikace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7"/>
          <w:b/>
          <w:bCs/>
        </w:rPr>
        <w:t>Pobytová obuv</w:t>
      </w:r>
    </w:p>
    <w:tbl>
      <w:tblPr>
        <w:tblOverlap w:val="never"/>
        <w:jc w:val="center"/>
        <w:tblLayout w:type="fixed"/>
      </w:tblPr>
      <w:tblGrid>
        <w:gridCol w:w="3691"/>
        <w:gridCol w:w="5458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i/>
                <w:iCs/>
              </w:rPr>
              <w:t>Obuv 727-217-20300-M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i/>
                <w:iCs/>
              </w:rPr>
              <w:t>SHOEDOS s.r.o.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Cena za ks bez DPH: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i/>
                <w:iCs/>
              </w:rPr>
              <w:t>410,-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9"/>
                <w:b/>
                <w:bCs/>
              </w:rPr>
              <w:t>Cena za ks vč. DPH: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9"/>
                <w:b/>
                <w:bCs/>
                <w:i/>
                <w:iCs/>
              </w:rPr>
              <w:t>496,10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Povrchový materiál kožený, omyvatelný, tvarovaná stélka, nastavitelné zapínání na 2 přezky.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Pohodlné pracovní zdravotní pantofle s anatomicky tvarovanou stélkou.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Stélka podepírá příčnou i podélnou klenbu.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Pantofle vhodné i pro dlouhodobé nošení, vybavené mezivrstvou změkčující došlap.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700" w:right="0" w:hanging="360"/>
        <w:jc w:val="left"/>
      </w:pPr>
      <w:r>
        <w:rPr>
          <w:rStyle w:val="CharStyle12"/>
        </w:rPr>
        <w:t>Protiskluzová, rovná, korková podešev, nastavitelná šíře obuvi, kožená stélka, podešev nezanechává šmouhy na povrchu, certifikovaná obuv.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Velikost od 35 po 48.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Barva bílá.</w:t>
      </w:r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1" w:val="left"/>
        </w:tabs>
        <w:bidi w:val="0"/>
        <w:spacing w:before="0" w:after="0" w:line="360" w:lineRule="auto"/>
        <w:ind w:left="0" w:right="0" w:firstLine="340"/>
        <w:jc w:val="left"/>
      </w:pPr>
      <w:r>
        <w:rPr>
          <w:rStyle w:val="CharStyle12"/>
        </w:rPr>
        <w:t>Návod na používání s ošetřování obuvi přiložen v každém balení obuvi.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21" w:right="1349" w:bottom="5754" w:left="1402" w:header="99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10201910</wp:posOffset>
              </wp:positionV>
              <wp:extent cx="277050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7050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9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06_2025: Pobytová obuv 2025 - 2027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803.30000000000007pt;width:218.15000000000001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9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06_2025: Pobytová obuv 2025 - 2027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CharStyle7">
    <w:name w:val="Základní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Titulek obrázku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77C0EA"/>
      <w:sz w:val="18"/>
      <w:szCs w:val="18"/>
      <w:u w:val="none"/>
    </w:rPr>
  </w:style>
  <w:style w:type="character" w:customStyle="1" w:styleId="CharStyle25">
    <w:name w:val="Nadpis #3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Jiné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auto"/>
      <w:spacing w:after="8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paragraph" w:customStyle="1" w:styleId="Style6">
    <w:name w:val="Základní text (2)"/>
    <w:basedOn w:val="Normal"/>
    <w:link w:val="CharStyle7"/>
    <w:pPr>
      <w:widowControl w:val="0"/>
      <w:shd w:val="clear" w:color="auto" w:fill="auto"/>
      <w:ind w:firstLine="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Titulek obrázku"/>
    <w:basedOn w:val="Normal"/>
    <w:link w:val="CharStyle14"/>
    <w:pPr>
      <w:widowControl w:val="0"/>
      <w:shd w:val="clear" w:color="auto" w:fill="auto"/>
      <w:spacing w:line="233" w:lineRule="auto"/>
      <w:ind w:firstLine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77C0EA"/>
      <w:sz w:val="18"/>
      <w:szCs w:val="18"/>
      <w:u w:val="none"/>
    </w:rPr>
  </w:style>
  <w:style w:type="paragraph" w:customStyle="1" w:styleId="Style24">
    <w:name w:val="Nadpis #3"/>
    <w:basedOn w:val="Normal"/>
    <w:link w:val="CharStyle25"/>
    <w:pPr>
      <w:widowControl w:val="0"/>
      <w:shd w:val="clear" w:color="auto" w:fill="auto"/>
      <w:spacing w:after="500"/>
      <w:ind w:left="2080" w:hanging="1340"/>
      <w:outlineLvl w:val="2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8">
    <w:name w:val="Jiné"/>
    <w:basedOn w:val="Normal"/>
    <w:link w:val="CharStyle29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