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012E" w14:textId="42569938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Dodatek</w:t>
      </w:r>
      <w:r w:rsidR="00134FE9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 xml:space="preserve"> č. 1 ke smlouvě ze dne 2</w:t>
      </w:r>
      <w:r w:rsidR="007335C5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9</w:t>
      </w: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 xml:space="preserve">. </w:t>
      </w:r>
      <w:r w:rsidR="00134FE9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5</w:t>
      </w:r>
      <w:r w:rsidRPr="00497B6D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. 20</w:t>
      </w:r>
      <w:r w:rsidR="00134FE9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2</w:t>
      </w:r>
      <w:r w:rsidR="007335C5">
        <w:rPr>
          <w:rFonts w:ascii="Times New Roman" w:eastAsia="Times New Roman" w:hAnsi="Times New Roman"/>
          <w:b/>
          <w:color w:val="auto"/>
          <w:sz w:val="28"/>
          <w:szCs w:val="28"/>
          <w:lang w:eastAsia="cs-CZ"/>
        </w:rPr>
        <w:t>3</w:t>
      </w:r>
    </w:p>
    <w:p w14:paraId="6043FEB3" w14:textId="77777777" w:rsidR="00497B6D" w:rsidRPr="00497B6D" w:rsidRDefault="00497B6D" w:rsidP="00497B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>(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dále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jen</w:t>
      </w: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Dodatek)</w:t>
      </w:r>
    </w:p>
    <w:p w14:paraId="2B8F13B0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2AF307AD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</w:pPr>
      <w:r w:rsidRPr="00497B6D">
        <w:rPr>
          <w:rFonts w:ascii="Times New Roman" w:eastAsia="Times New Roman" w:hAnsi="Times New Roman"/>
          <w:b/>
          <w:color w:val="auto"/>
          <w:sz w:val="24"/>
          <w:szCs w:val="24"/>
          <w:u w:val="single"/>
          <w:lang w:eastAsia="cs-CZ"/>
        </w:rPr>
        <w:t>SMLUVNÍ STRANY:</w:t>
      </w:r>
    </w:p>
    <w:p w14:paraId="487A4F4A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740A2C0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b/>
          <w:color w:val="000000"/>
          <w:sz w:val="24"/>
          <w:szCs w:val="24"/>
          <w:lang w:eastAsia="cs-CZ" w:bidi="cs-CZ"/>
        </w:rPr>
        <w:t>SBS Transfin s.r.o.</w:t>
      </w:r>
    </w:p>
    <w:p w14:paraId="25B06390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se sídlem:</w:t>
      </w:r>
      <w:r w:rsidR="00134FE9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</w:t>
      </w: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K Žižkovu 282/9, 190 00</w:t>
      </w:r>
      <w:r w:rsidR="00134FE9" w:rsidRPr="00134FE9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</w:t>
      </w:r>
      <w:r w:rsidR="00134FE9"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Praha 9</w:t>
      </w:r>
    </w:p>
    <w:p w14:paraId="7AE84D8C" w14:textId="77777777" w:rsidR="00871219" w:rsidRPr="00497B6D" w:rsidRDefault="00497B6D" w:rsidP="00871219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IČ:</w:t>
      </w: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ab/>
        <w:t>27392376</w:t>
      </w:r>
      <w:r w:rsidR="00871219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, </w:t>
      </w:r>
      <w:r w:rsidR="00871219"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DIČ: CZ27392376</w:t>
      </w:r>
    </w:p>
    <w:p w14:paraId="3CF3E394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Bankovní spojení: Komerční banka s.r.o.</w:t>
      </w:r>
    </w:p>
    <w:p w14:paraId="736E7802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proofErr w:type="spellStart"/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č.ú</w:t>
      </w:r>
      <w:proofErr w:type="spellEnd"/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: 107-1901720237/0100</w:t>
      </w:r>
    </w:p>
    <w:p w14:paraId="6FFEDD5C" w14:textId="77777777" w:rsidR="00497B6D" w:rsidRPr="00497B6D" w:rsidRDefault="00497B6D" w:rsidP="00497B6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497B6D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Zastoupená: Bohumilem Šváchou, jednatelem, dále jen poskytovatel</w:t>
      </w:r>
    </w:p>
    <w:p w14:paraId="1F7EFD59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65C9FA99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a</w:t>
      </w:r>
    </w:p>
    <w:p w14:paraId="109FB36D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9B30907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STÁTNÍ VETERINÁRNÍ ÚSTAV PRAHA</w:t>
      </w:r>
    </w:p>
    <w:p w14:paraId="446E46BB" w14:textId="77777777" w:rsidR="00497B6D" w:rsidRPr="00497B6D" w:rsidRDefault="00134FE9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se 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sídl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497B6D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Sídlištní 136/24, Praha 6, 165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03</w:t>
      </w:r>
    </w:p>
    <w:p w14:paraId="559C5112" w14:textId="77777777" w:rsidR="00871219" w:rsidRPr="00497B6D" w:rsidRDefault="00497B6D" w:rsidP="0087121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IČ: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00019305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DIČ: CZ00019305</w:t>
      </w:r>
    </w:p>
    <w:p w14:paraId="68DEF0E9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zastoupen: MVDr. Kamil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Sedlák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Ph.D.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</w:t>
      </w:r>
      <w:r w:rsidR="00134F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em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SVÚ Praha</w:t>
      </w:r>
    </w:p>
    <w:p w14:paraId="4BCCFE86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číslo účtu: 20439061/0710</w:t>
      </w:r>
      <w:r w:rsidR="0087121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</w:t>
      </w:r>
      <w:r w:rsidR="00871219"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bankovní spojení: ČNB</w:t>
      </w:r>
    </w:p>
    <w:p w14:paraId="124D3964" w14:textId="77777777" w:rsidR="00497B6D" w:rsidRPr="00497B6D" w:rsidRDefault="00497B6D" w:rsidP="00497B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dále jen objednatel</w:t>
      </w:r>
    </w:p>
    <w:p w14:paraId="379F7B95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Arial" w:hAnsi="Times New Roman"/>
          <w:color w:val="auto"/>
          <w:sz w:val="24"/>
          <w:szCs w:val="24"/>
          <w:lang w:eastAsia="cs-CZ"/>
        </w:rPr>
      </w:pPr>
    </w:p>
    <w:p w14:paraId="7C54DD30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Arial" w:hAnsi="Times New Roman"/>
          <w:color w:val="auto"/>
          <w:sz w:val="24"/>
          <w:szCs w:val="24"/>
          <w:lang w:eastAsia="cs-CZ"/>
        </w:rPr>
        <w:t xml:space="preserve"> (společně dále jen „Smluvní strany“)</w:t>
      </w:r>
    </w:p>
    <w:p w14:paraId="5EB68760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B746158" w14:textId="355F5F47" w:rsidR="00497B6D" w:rsidRPr="00497B6D" w:rsidRDefault="00497B6D" w:rsidP="00497B6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se dohodly na 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změně bodu </w:t>
      </w:r>
      <w:r w:rsidR="007335C5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V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II. </w:t>
      </w:r>
      <w:r w:rsidR="007335C5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Délka platnosti smlouvy a ukončení smlouvy 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ve „Smlouvě o zajištění recepční služby ve Státním veterinárním ústavu Praha s kontrolou objektů v areálu SVÚ Praha“ ze dne 2</w:t>
      </w:r>
      <w:r w:rsidR="007335C5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9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. 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5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. 20</w:t>
      </w:r>
      <w:r w:rsidR="00134FE9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2</w:t>
      </w:r>
      <w:r w:rsidR="007335C5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>3</w:t>
      </w: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 takto:</w:t>
      </w:r>
    </w:p>
    <w:p w14:paraId="5AC71CEC" w14:textId="62E0F436" w:rsidR="00497B6D" w:rsidRPr="00134FE9" w:rsidRDefault="007335C5" w:rsidP="00497B6D">
      <w:pPr>
        <w:widowControl w:val="0"/>
        <w:numPr>
          <w:ilvl w:val="0"/>
          <w:numId w:val="1"/>
        </w:numPr>
        <w:tabs>
          <w:tab w:val="left" w:pos="72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auto"/>
        </w:rPr>
        <w:t>Smlouva se uzavírá na dobu určitou s platností do 30.9.2024 do 9 hodin, c</w:t>
      </w:r>
      <w:r w:rsidR="00134FE9" w:rsidRPr="00134FE9">
        <w:rPr>
          <w:rFonts w:ascii="Times New Roman" w:eastAsia="Times New Roman" w:hAnsi="Times New Roman"/>
          <w:color w:val="auto"/>
        </w:rPr>
        <w:t>ena služby za každou odpracovanou hodinu pracovníkem</w:t>
      </w:r>
      <w:r w:rsidR="00134FE9">
        <w:rPr>
          <w:rFonts w:ascii="Times New Roman" w:eastAsia="Times New Roman" w:hAnsi="Times New Roman"/>
          <w:color w:val="auto"/>
        </w:rPr>
        <w:t xml:space="preserve"> recepční služby</w:t>
      </w:r>
      <w:r>
        <w:rPr>
          <w:rFonts w:ascii="Times New Roman" w:eastAsia="Times New Roman" w:hAnsi="Times New Roman"/>
          <w:color w:val="auto"/>
        </w:rPr>
        <w:t xml:space="preserve"> v měsíci září</w:t>
      </w:r>
      <w:r w:rsidR="00AC682D">
        <w:rPr>
          <w:rFonts w:ascii="Times New Roman" w:eastAsia="Times New Roman" w:hAnsi="Times New Roman"/>
          <w:color w:val="auto"/>
        </w:rPr>
        <w:t xml:space="preserve"> je stanovena na 145</w:t>
      </w:r>
      <w:r w:rsidR="00134FE9">
        <w:rPr>
          <w:rFonts w:ascii="Times New Roman" w:eastAsia="Times New Roman" w:hAnsi="Times New Roman"/>
          <w:color w:val="auto"/>
        </w:rPr>
        <w:t>,- Kč bez DPH.</w:t>
      </w:r>
    </w:p>
    <w:p w14:paraId="23AD6D2B" w14:textId="77777777" w:rsidR="00134FE9" w:rsidRPr="00134FE9" w:rsidRDefault="00134FE9" w:rsidP="00134FE9">
      <w:pPr>
        <w:widowControl w:val="0"/>
        <w:tabs>
          <w:tab w:val="left" w:pos="72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4F41BF85" w14:textId="77777777" w:rsidR="00497B6D" w:rsidRPr="00497B6D" w:rsidRDefault="00497B6D" w:rsidP="00134F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  <w:r w:rsidRPr="00497B6D">
        <w:rPr>
          <w:rFonts w:ascii="Times New Roman" w:eastAsia="Times New Roman" w:hAnsi="Times New Roman"/>
          <w:color w:val="auto"/>
          <w:sz w:val="24"/>
          <w:szCs w:val="24"/>
          <w:lang w:eastAsia="cs-CZ"/>
        </w:rPr>
        <w:t xml:space="preserve">Dodatek je vyhotoven ve dvou originálech, přičemž každá ze stran obdrží jeden originál. Dodatek nabývá účinnosti dnem podpisu a platnosti zveřejněním v registru smluv. Zveřejnění zajistí objednatel. </w:t>
      </w:r>
    </w:p>
    <w:p w14:paraId="285D344C" w14:textId="77777777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1AAC1F6E" w14:textId="4290BD21" w:rsidR="00497B6D" w:rsidRPr="00497B6D" w:rsidRDefault="00497B6D" w:rsidP="00497B6D">
      <w:pPr>
        <w:suppressAutoHyphens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cs-CZ"/>
        </w:rPr>
      </w:pPr>
    </w:p>
    <w:p w14:paraId="583E6DF1" w14:textId="4AA9DC74" w:rsidR="00497B6D" w:rsidRDefault="00497B6D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V </w:t>
      </w:r>
      <w:r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Praze</w:t>
      </w:r>
      <w:r w:rsidRPr="00497B6D">
        <w:rPr>
          <w:rFonts w:ascii="Times New Roman" w:eastAsia="Times New Roman" w:hAnsi="Times New Roman" w:cs="Calibri"/>
          <w:color w:val="000000"/>
          <w:spacing w:val="-4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e: </w:t>
      </w:r>
      <w:r w:rsidR="00AC682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26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AC682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8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134FE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AC682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4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V Praze</w:t>
      </w:r>
      <w:r w:rsidRPr="00497B6D">
        <w:rPr>
          <w:rFonts w:ascii="Times New Roman" w:eastAsia="Times New Roman" w:hAnsi="Times New Roman" w:cs="Calibri"/>
          <w:color w:val="000000"/>
          <w:spacing w:val="-10"/>
          <w:sz w:val="24"/>
          <w:szCs w:val="20"/>
          <w:lang w:eastAsia="cs-CZ"/>
        </w:rPr>
        <w:t xml:space="preserve"> 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n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e: </w:t>
      </w:r>
      <w:r w:rsidR="00AC682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26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. </w:t>
      </w:r>
      <w:r w:rsidR="00AC682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8</w:t>
      </w: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. 20</w:t>
      </w:r>
      <w:r w:rsidR="00871219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2</w:t>
      </w:r>
      <w:r w:rsidR="00AC682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4</w:t>
      </w:r>
    </w:p>
    <w:p w14:paraId="1B5ABEBA" w14:textId="0353AA5C" w:rsidR="006D5B73" w:rsidRDefault="006D5B73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3BBB3528" w14:textId="77777777" w:rsidR="006D5B73" w:rsidRPr="00497B6D" w:rsidRDefault="006D5B73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159" w:right="-20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6E0C8C1E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7268455E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253A2BB3" w14:textId="77777777" w:rsidR="00497B6D" w:rsidRPr="00497B6D" w:rsidRDefault="00497B6D" w:rsidP="00497B6D">
      <w:pPr>
        <w:widowControl w:val="0"/>
        <w:suppressAutoHyphens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</w:p>
    <w:p w14:paraId="43AB31F1" w14:textId="77777777" w:rsidR="00497B6D" w:rsidRPr="00497B6D" w:rsidRDefault="00616162" w:rsidP="00497B6D">
      <w:pPr>
        <w:widowControl w:val="0"/>
        <w:tabs>
          <w:tab w:val="left" w:pos="4940"/>
        </w:tabs>
        <w:suppressAutoHyphens/>
        <w:autoSpaceDE w:val="0"/>
        <w:autoSpaceDN w:val="0"/>
        <w:adjustRightInd w:val="0"/>
        <w:spacing w:after="0" w:line="240" w:lineRule="auto"/>
        <w:ind w:left="851" w:right="-20" w:hanging="691"/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…..............…………………</w:t>
      </w:r>
      <w:r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>…..............…………………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...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                                                                                              za </w:t>
      </w:r>
      <w:r w:rsidR="00497B6D" w:rsidRPr="00497B6D">
        <w:rPr>
          <w:rFonts w:ascii="Times New Roman" w:eastAsia="Times New Roman" w:hAnsi="Times New Roman" w:cs="Calibri"/>
          <w:color w:val="000000"/>
          <w:spacing w:val="2"/>
          <w:sz w:val="24"/>
          <w:szCs w:val="20"/>
          <w:lang w:eastAsia="cs-CZ"/>
        </w:rPr>
        <w:t>objednatele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ab/>
        <w:t xml:space="preserve">            </w:t>
      </w:r>
      <w:r w:rsidR="00497B6D" w:rsidRPr="00497B6D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cs-CZ"/>
        </w:rPr>
        <w:t>z</w:t>
      </w:r>
      <w:r w:rsidR="00497B6D" w:rsidRPr="00497B6D">
        <w:rPr>
          <w:rFonts w:ascii="Times New Roman" w:eastAsia="Times New Roman" w:hAnsi="Times New Roman" w:cs="Calibri"/>
          <w:color w:val="000000"/>
          <w:sz w:val="24"/>
          <w:szCs w:val="20"/>
          <w:lang w:eastAsia="cs-CZ"/>
        </w:rPr>
        <w:t>a</w:t>
      </w:r>
      <w:r w:rsidR="00497B6D" w:rsidRPr="00497B6D">
        <w:rPr>
          <w:rFonts w:ascii="Times New Roman" w:eastAsia="Times New Roman" w:hAnsi="Times New Roman" w:cs="Calibri"/>
          <w:color w:val="000000"/>
          <w:spacing w:val="-3"/>
          <w:sz w:val="24"/>
          <w:szCs w:val="20"/>
          <w:lang w:eastAsia="cs-CZ"/>
        </w:rPr>
        <w:t xml:space="preserve"> </w:t>
      </w:r>
      <w:r w:rsidR="00497B6D" w:rsidRPr="00497B6D">
        <w:rPr>
          <w:rFonts w:ascii="Times New Roman" w:eastAsia="Times New Roman" w:hAnsi="Times New Roman" w:cs="Calibri"/>
          <w:color w:val="000000"/>
          <w:spacing w:val="1"/>
          <w:sz w:val="24"/>
          <w:szCs w:val="20"/>
          <w:lang w:eastAsia="cs-CZ"/>
        </w:rPr>
        <w:t>poskytovatele</w:t>
      </w:r>
    </w:p>
    <w:p w14:paraId="19A7C212" w14:textId="77777777" w:rsidR="00497B6D" w:rsidRPr="00497B6D" w:rsidRDefault="00497B6D" w:rsidP="00497B6D">
      <w:pPr>
        <w:widowControl w:val="0"/>
        <w:tabs>
          <w:tab w:val="left" w:pos="5100"/>
        </w:tabs>
        <w:suppressAutoHyphens/>
        <w:autoSpaceDE w:val="0"/>
        <w:autoSpaceDN w:val="0"/>
        <w:adjustRightInd w:val="0"/>
        <w:spacing w:after="0" w:line="269" w:lineRule="exact"/>
        <w:ind w:left="159" w:right="-20"/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</w:pP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  MVDr. Kamil Sedlák, Ph.D.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  <w:t>Bohumil Švácha,</w:t>
      </w:r>
    </w:p>
    <w:p w14:paraId="53CCE602" w14:textId="77777777" w:rsidR="00A40CC5" w:rsidRPr="001D2DFD" w:rsidRDefault="00497B6D" w:rsidP="00871219">
      <w:pPr>
        <w:widowControl w:val="0"/>
        <w:tabs>
          <w:tab w:val="left" w:pos="5080"/>
        </w:tabs>
        <w:suppressAutoHyphens/>
        <w:autoSpaceDE w:val="0"/>
        <w:autoSpaceDN w:val="0"/>
        <w:adjustRightInd w:val="0"/>
        <w:spacing w:after="0" w:line="269" w:lineRule="exact"/>
        <w:ind w:left="1175" w:right="1119" w:hanging="455"/>
      </w:pPr>
      <w:r w:rsidRPr="00497B6D">
        <w:rPr>
          <w:rFonts w:ascii="Times New Roman" w:eastAsia="Times New Roman" w:hAnsi="Times New Roman" w:cs="Calibri"/>
          <w:color w:val="000000"/>
          <w:spacing w:val="1"/>
          <w:position w:val="1"/>
          <w:sz w:val="24"/>
          <w:szCs w:val="20"/>
          <w:lang w:eastAsia="cs-CZ"/>
        </w:rPr>
        <w:t>ře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d</w:t>
      </w:r>
      <w:r w:rsidRPr="00497B6D">
        <w:rPr>
          <w:rFonts w:ascii="Times New Roman" w:eastAsia="Times New Roman" w:hAnsi="Times New Roman" w:cs="Calibri"/>
          <w:color w:val="000000"/>
          <w:spacing w:val="2"/>
          <w:position w:val="1"/>
          <w:sz w:val="24"/>
          <w:szCs w:val="20"/>
          <w:lang w:eastAsia="cs-CZ"/>
        </w:rPr>
        <w:t>i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>t</w:t>
      </w:r>
      <w:r w:rsidRPr="00497B6D">
        <w:rPr>
          <w:rFonts w:ascii="Times New Roman" w:eastAsia="Times New Roman" w:hAnsi="Times New Roman" w:cs="Calibri"/>
          <w:color w:val="000000"/>
          <w:spacing w:val="-2"/>
          <w:position w:val="1"/>
          <w:sz w:val="24"/>
          <w:szCs w:val="20"/>
          <w:lang w:eastAsia="cs-CZ"/>
        </w:rPr>
        <w:t>e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 xml:space="preserve">l SVÚ Praha </w:t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</w:r>
      <w:r w:rsidRPr="00497B6D">
        <w:rPr>
          <w:rFonts w:ascii="Times New Roman" w:eastAsia="Times New Roman" w:hAnsi="Times New Roman" w:cs="Calibri"/>
          <w:color w:val="000000"/>
          <w:position w:val="1"/>
          <w:sz w:val="24"/>
          <w:szCs w:val="20"/>
          <w:lang w:eastAsia="cs-CZ"/>
        </w:rPr>
        <w:tab/>
        <w:t xml:space="preserve">      jednatel</w:t>
      </w:r>
    </w:p>
    <w:sectPr w:rsidR="00A40CC5" w:rsidRPr="001D2DFD" w:rsidSect="00497B6D">
      <w:headerReference w:type="default" r:id="rId8"/>
      <w:footerReference w:type="default" r:id="rId9"/>
      <w:pgSz w:w="11906" w:h="16838"/>
      <w:pgMar w:top="2268" w:right="1418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9B1D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14698AD3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D217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4ED26F" wp14:editId="0FEBEAE2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86DC6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6A837CB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2E71521F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4C682DFA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53B8AAEF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ED2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" filled="f" stroked="f">
              <v:textbox>
                <w:txbxContent>
                  <w:p w14:paraId="75486DC6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6A837CB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2E71521F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4C682DFA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53B8AAEF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89E8B8F" wp14:editId="255CD44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0C0C7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6355CBF9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0D04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441F7E" wp14:editId="6578E0A4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15E98"/>
    <w:multiLevelType w:val="hybridMultilevel"/>
    <w:tmpl w:val="46103A7C"/>
    <w:lvl w:ilvl="0" w:tplc="B1B05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A396D"/>
    <w:rsid w:val="000D4E7A"/>
    <w:rsid w:val="00134FE9"/>
    <w:rsid w:val="00135C30"/>
    <w:rsid w:val="001456E4"/>
    <w:rsid w:val="001D2DFD"/>
    <w:rsid w:val="002D0488"/>
    <w:rsid w:val="002F674A"/>
    <w:rsid w:val="003715CF"/>
    <w:rsid w:val="003C47F6"/>
    <w:rsid w:val="003C7CCD"/>
    <w:rsid w:val="00413DF5"/>
    <w:rsid w:val="00497B6D"/>
    <w:rsid w:val="00564741"/>
    <w:rsid w:val="005C6962"/>
    <w:rsid w:val="005E6C71"/>
    <w:rsid w:val="005F6740"/>
    <w:rsid w:val="00614EFE"/>
    <w:rsid w:val="00616162"/>
    <w:rsid w:val="006D5B73"/>
    <w:rsid w:val="0070730A"/>
    <w:rsid w:val="007335C5"/>
    <w:rsid w:val="00817E02"/>
    <w:rsid w:val="00871219"/>
    <w:rsid w:val="008E2030"/>
    <w:rsid w:val="0093594D"/>
    <w:rsid w:val="009E381E"/>
    <w:rsid w:val="00A03FD1"/>
    <w:rsid w:val="00A40CC5"/>
    <w:rsid w:val="00AC682D"/>
    <w:rsid w:val="00AF301A"/>
    <w:rsid w:val="00B605FD"/>
    <w:rsid w:val="00C476B6"/>
    <w:rsid w:val="00C60E3A"/>
    <w:rsid w:val="00C91C9D"/>
    <w:rsid w:val="00CB52A5"/>
    <w:rsid w:val="00D8117D"/>
    <w:rsid w:val="00E77B69"/>
    <w:rsid w:val="00EB0040"/>
    <w:rsid w:val="00F13AF0"/>
    <w:rsid w:val="00F5444F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ADDDB0"/>
  <w15:docId w15:val="{918BBF50-DFA1-43D9-987D-32A8D059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95D5-5EC6-44F1-AC93-CC2251DE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Jirková</dc:creator>
  <cp:lastModifiedBy>Ivana Hrubá</cp:lastModifiedBy>
  <cp:revision>2</cp:revision>
  <cp:lastPrinted>2025-02-27T14:12:00Z</cp:lastPrinted>
  <dcterms:created xsi:type="dcterms:W3CDTF">2025-02-28T10:24:00Z</dcterms:created>
  <dcterms:modified xsi:type="dcterms:W3CDTF">2025-02-28T10:24:00Z</dcterms:modified>
</cp:coreProperties>
</file>