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3144" w:right="3148"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7221100475</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spacing w:before="0"/>
        <w:ind w:left="102"/>
        <w:jc w:val="left"/>
      </w:pPr>
      <w:r>
        <w:rPr/>
        <w:t>Central</w:t>
      </w:r>
      <w:r>
        <w:rPr>
          <w:spacing w:val="-6"/>
        </w:rPr>
        <w:t> </w:t>
      </w:r>
      <w:r>
        <w:rPr/>
        <w:t>Co</w:t>
      </w:r>
      <w:r>
        <w:rPr>
          <w:spacing w:val="-4"/>
        </w:rPr>
        <w:t> </w:t>
      </w:r>
      <w:r>
        <w:rPr/>
        <w:t>-</w:t>
      </w:r>
      <w:r>
        <w:rPr>
          <w:spacing w:val="-4"/>
        </w:rPr>
        <w:t> </w:t>
      </w:r>
      <w:r>
        <w:rPr/>
        <w:t>gen</w:t>
      </w:r>
      <w:r>
        <w:rPr>
          <w:spacing w:val="-4"/>
        </w:rPr>
        <w:t> </w:t>
      </w:r>
      <w:r>
        <w:rPr/>
        <w:t>Energo</w:t>
      </w:r>
      <w:r>
        <w:rPr>
          <w:spacing w:val="-6"/>
        </w:rPr>
        <w:t> </w:t>
      </w:r>
      <w:r>
        <w:rPr>
          <w:spacing w:val="-2"/>
        </w:rPr>
        <w:t>s.r.o.</w:t>
      </w:r>
    </w:p>
    <w:p>
      <w:pPr>
        <w:pStyle w:val="BodyText"/>
        <w:ind w:left="102"/>
      </w:pPr>
      <w:r>
        <w:rPr/>
        <w:t>obchodní</w:t>
      </w:r>
      <w:r>
        <w:rPr>
          <w:spacing w:val="7"/>
        </w:rPr>
        <w:t> </w:t>
      </w:r>
      <w:r>
        <w:rPr/>
        <w:t>společnost</w:t>
      </w:r>
      <w:r>
        <w:rPr>
          <w:spacing w:val="7"/>
        </w:rPr>
        <w:t> </w:t>
      </w:r>
      <w:r>
        <w:rPr/>
        <w:t>zapsaná</w:t>
      </w:r>
      <w:r>
        <w:rPr>
          <w:spacing w:val="8"/>
        </w:rPr>
        <w:t> </w:t>
      </w:r>
      <w:r>
        <w:rPr/>
        <w:t>v</w:t>
      </w:r>
      <w:r>
        <w:rPr>
          <w:spacing w:val="8"/>
        </w:rPr>
        <w:t> </w:t>
      </w:r>
      <w:r>
        <w:rPr/>
        <w:t>obchodním</w:t>
      </w:r>
      <w:r>
        <w:rPr>
          <w:spacing w:val="9"/>
        </w:rPr>
        <w:t> </w:t>
      </w:r>
      <w:r>
        <w:rPr/>
        <w:t>rejstříku</w:t>
      </w:r>
      <w:r>
        <w:rPr>
          <w:spacing w:val="7"/>
        </w:rPr>
        <w:t> </w:t>
      </w:r>
      <w:r>
        <w:rPr/>
        <w:t>vedeném</w:t>
      </w:r>
      <w:r>
        <w:rPr>
          <w:spacing w:val="13"/>
        </w:rPr>
        <w:t> </w:t>
      </w:r>
      <w:r>
        <w:rPr/>
        <w:t>Městským</w:t>
      </w:r>
      <w:r>
        <w:rPr>
          <w:spacing w:val="9"/>
        </w:rPr>
        <w:t> </w:t>
      </w:r>
      <w:r>
        <w:rPr/>
        <w:t>soudem</w:t>
      </w:r>
      <w:r>
        <w:rPr>
          <w:spacing w:val="11"/>
        </w:rPr>
        <w:t> </w:t>
      </w:r>
      <w:r>
        <w:rPr/>
        <w:t>v</w:t>
      </w:r>
      <w:r>
        <w:rPr>
          <w:spacing w:val="10"/>
        </w:rPr>
        <w:t> </w:t>
      </w:r>
      <w:r>
        <w:rPr/>
        <w:t>Praze,</w:t>
      </w:r>
      <w:r>
        <w:rPr>
          <w:spacing w:val="7"/>
        </w:rPr>
        <w:t> </w:t>
      </w:r>
      <w:r>
        <w:rPr/>
        <w:t>oddíl</w:t>
      </w:r>
      <w:r>
        <w:rPr>
          <w:spacing w:val="9"/>
        </w:rPr>
        <w:t> </w:t>
      </w:r>
      <w:r>
        <w:rPr/>
        <w:t>C,</w:t>
      </w:r>
      <w:r>
        <w:rPr>
          <w:spacing w:val="7"/>
        </w:rPr>
        <w:t> </w:t>
      </w:r>
      <w:r>
        <w:rPr>
          <w:spacing w:val="-2"/>
        </w:rPr>
        <w:t>vložka</w:t>
      </w:r>
    </w:p>
    <w:p>
      <w:pPr>
        <w:pStyle w:val="BodyText"/>
        <w:spacing w:line="265" w:lineRule="exact"/>
        <w:ind w:left="102"/>
      </w:pPr>
      <w:r>
        <w:rPr>
          <w:spacing w:val="-2"/>
        </w:rPr>
        <w:t>155121</w:t>
      </w:r>
    </w:p>
    <w:p>
      <w:pPr>
        <w:pStyle w:val="BodyText"/>
        <w:tabs>
          <w:tab w:pos="2982" w:val="left" w:leader="none"/>
        </w:tabs>
        <w:spacing w:line="265" w:lineRule="exact"/>
        <w:ind w:left="102"/>
      </w:pPr>
      <w:r>
        <w:rPr/>
        <w:t>se</w:t>
      </w:r>
      <w:r>
        <w:rPr>
          <w:spacing w:val="-5"/>
        </w:rPr>
        <w:t> </w:t>
      </w:r>
      <w:r>
        <w:rPr>
          <w:spacing w:val="-2"/>
        </w:rPr>
        <w:t>sídlem:</w:t>
      </w:r>
      <w:r>
        <w:rPr/>
        <w:tab/>
        <w:t>Nymburská</w:t>
      </w:r>
      <w:r>
        <w:rPr>
          <w:spacing w:val="-6"/>
        </w:rPr>
        <w:t> </w:t>
      </w:r>
      <w:r>
        <w:rPr/>
        <w:t>53,</w:t>
      </w:r>
      <w:r>
        <w:rPr>
          <w:spacing w:val="-6"/>
        </w:rPr>
        <w:t> </w:t>
      </w:r>
      <w:r>
        <w:rPr/>
        <w:t>289</w:t>
      </w:r>
      <w:r>
        <w:rPr>
          <w:spacing w:val="-3"/>
        </w:rPr>
        <w:t> </w:t>
      </w:r>
      <w:r>
        <w:rPr/>
        <w:t>13</w:t>
      </w:r>
      <w:r>
        <w:rPr>
          <w:spacing w:val="-5"/>
        </w:rPr>
        <w:t> </w:t>
      </w:r>
      <w:r>
        <w:rPr>
          <w:spacing w:val="-2"/>
        </w:rPr>
        <w:t>Zvěřínek</w:t>
      </w:r>
    </w:p>
    <w:p>
      <w:pPr>
        <w:pStyle w:val="BodyText"/>
        <w:tabs>
          <w:tab w:pos="2982" w:val="left" w:leader="none"/>
        </w:tabs>
        <w:spacing w:before="1"/>
        <w:ind w:left="102"/>
      </w:pPr>
      <w:r>
        <w:rPr>
          <w:spacing w:val="-4"/>
        </w:rPr>
        <w:t>IČO:</w:t>
      </w:r>
      <w:r>
        <w:rPr>
          <w:rFonts w:ascii="Times New Roman" w:hAnsi="Times New Roman"/>
        </w:rPr>
        <w:tab/>
      </w:r>
      <w:r>
        <w:rPr>
          <w:spacing w:val="-2"/>
        </w:rPr>
        <w:t>28948297</w:t>
      </w:r>
    </w:p>
    <w:p>
      <w:pPr>
        <w:pStyle w:val="BodyText"/>
        <w:tabs>
          <w:tab w:pos="2982" w:val="left" w:leader="none"/>
        </w:tabs>
        <w:ind w:left="102"/>
      </w:pPr>
      <w:r>
        <w:rPr>
          <w:spacing w:val="-2"/>
        </w:rPr>
        <w:t>zastoupená:</w:t>
      </w:r>
      <w:r>
        <w:rPr/>
        <w:tab/>
        <w:t>Ing.</w:t>
      </w:r>
      <w:r>
        <w:rPr>
          <w:spacing w:val="-3"/>
        </w:rPr>
        <w:t> </w:t>
      </w:r>
      <w:r>
        <w:rPr/>
        <w:t>Josefem</w:t>
      </w:r>
      <w:r>
        <w:rPr>
          <w:spacing w:val="-2"/>
        </w:rPr>
        <w:t> </w:t>
      </w:r>
      <w:r>
        <w:rPr/>
        <w:t>H u</w:t>
      </w:r>
      <w:r>
        <w:rPr>
          <w:spacing w:val="-3"/>
        </w:rPr>
        <w:t> </w:t>
      </w:r>
      <w:r>
        <w:rPr/>
        <w:t>b</w:t>
      </w:r>
      <w:r>
        <w:rPr>
          <w:spacing w:val="-2"/>
        </w:rPr>
        <w:t> </w:t>
      </w:r>
      <w:r>
        <w:rPr/>
        <w:t>á</w:t>
      </w:r>
      <w:r>
        <w:rPr>
          <w:spacing w:val="-4"/>
        </w:rPr>
        <w:t> </w:t>
      </w:r>
      <w:r>
        <w:rPr/>
        <w:t>č</w:t>
      </w:r>
      <w:r>
        <w:rPr>
          <w:spacing w:val="-3"/>
        </w:rPr>
        <w:t> </w:t>
      </w:r>
      <w:r>
        <w:rPr/>
        <w:t>k</w:t>
      </w:r>
      <w:r>
        <w:rPr>
          <w:spacing w:val="-3"/>
        </w:rPr>
        <w:t> </w:t>
      </w:r>
      <w:r>
        <w:rPr/>
        <w:t>e</w:t>
      </w:r>
      <w:r>
        <w:rPr>
          <w:spacing w:val="-1"/>
        </w:rPr>
        <w:t> </w:t>
      </w:r>
      <w:r>
        <w:rPr/>
        <w:t>m,</w:t>
      </w:r>
      <w:r>
        <w:rPr>
          <w:spacing w:val="-4"/>
        </w:rPr>
        <w:t> </w:t>
      </w:r>
      <w:r>
        <w:rPr>
          <w:spacing w:val="-2"/>
        </w:rPr>
        <w:t>jednatelem</w:t>
      </w:r>
    </w:p>
    <w:p>
      <w:pPr>
        <w:pStyle w:val="BodyText"/>
        <w:tabs>
          <w:tab w:pos="2982" w:val="left" w:leader="none"/>
        </w:tabs>
        <w:spacing w:before="1"/>
        <w:ind w:left="102"/>
      </w:pPr>
      <w:r>
        <w:rPr/>
        <w:t>bankovní</w:t>
      </w:r>
      <w:r>
        <w:rPr>
          <w:spacing w:val="-11"/>
        </w:rPr>
        <w:t> </w:t>
      </w:r>
      <w:r>
        <w:rPr>
          <w:spacing w:val="-2"/>
        </w:rPr>
        <w:t>spojení:</w:t>
      </w:r>
      <w:r>
        <w:rPr/>
        <w:tab/>
        <w:t>Československá</w:t>
      </w:r>
      <w:r>
        <w:rPr>
          <w:spacing w:val="-12"/>
        </w:rPr>
        <w:t> </w:t>
      </w:r>
      <w:r>
        <w:rPr/>
        <w:t>obchodní</w:t>
      </w:r>
      <w:r>
        <w:rPr>
          <w:spacing w:val="-12"/>
        </w:rPr>
        <w:t> </w:t>
      </w:r>
      <w:r>
        <w:rPr/>
        <w:t>banka,</w:t>
      </w:r>
      <w:r>
        <w:rPr>
          <w:spacing w:val="-9"/>
        </w:rPr>
        <w:t> </w:t>
      </w:r>
      <w:r>
        <w:rPr>
          <w:spacing w:val="-4"/>
        </w:rPr>
        <w:t>a.s.</w:t>
      </w:r>
    </w:p>
    <w:p>
      <w:pPr>
        <w:pStyle w:val="BodyText"/>
        <w:tabs>
          <w:tab w:pos="2982" w:val="left" w:leader="none"/>
        </w:tabs>
        <w:ind w:left="102"/>
      </w:pPr>
      <w:r>
        <w:rPr/>
        <w:t>číslo</w:t>
      </w:r>
      <w:r>
        <w:rPr>
          <w:spacing w:val="-8"/>
        </w:rPr>
        <w:t> </w:t>
      </w:r>
      <w:r>
        <w:rPr>
          <w:spacing w:val="-2"/>
        </w:rPr>
        <w:t>účtu:</w:t>
      </w:r>
      <w:r>
        <w:rPr/>
        <w:tab/>
      </w:r>
      <w:r>
        <w:rPr>
          <w:spacing w:val="-2"/>
        </w:rPr>
        <w:t>288493907/0300</w:t>
      </w:r>
    </w:p>
    <w:p>
      <w:pPr>
        <w:pStyle w:val="BodyText"/>
        <w:spacing w:before="1"/>
      </w:pP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1"/>
        <w:rPr>
          <w:sz w:val="19"/>
        </w:rPr>
      </w:pPr>
    </w:p>
    <w:p>
      <w:pPr>
        <w:pStyle w:val="BodyText"/>
        <w:ind w:left="102"/>
      </w:pPr>
      <w:r>
        <w:rPr/>
        <w:t>se</w:t>
      </w:r>
      <w:r>
        <w:rPr>
          <w:spacing w:val="-7"/>
        </w:rPr>
        <w:t> </w:t>
      </w:r>
      <w:r>
        <w:rPr/>
        <w:t>dohodly</w:t>
      </w:r>
      <w:r>
        <w:rPr>
          <w:spacing w:val="-6"/>
        </w:rPr>
        <w:t> </w:t>
      </w:r>
      <w:r>
        <w:rPr>
          <w:spacing w:val="-2"/>
        </w:rPr>
        <w:t>takto:</w:t>
      </w:r>
    </w:p>
    <w:p>
      <w:pPr>
        <w:pStyle w:val="BodyText"/>
        <w:spacing w:before="1"/>
      </w:pPr>
    </w:p>
    <w:p>
      <w:pPr>
        <w:pStyle w:val="Heading1"/>
        <w:ind w:left="3139" w:right="3148"/>
      </w:pPr>
      <w:r>
        <w:rPr>
          <w:spacing w:val="-5"/>
        </w:rPr>
        <w:t>I.</w:t>
      </w:r>
    </w:p>
    <w:p>
      <w:pPr>
        <w:pStyle w:val="Heading2"/>
        <w:ind w:right="1060"/>
      </w:pPr>
      <w:r>
        <w:rPr/>
        <w:t>Předmět</w:t>
      </w:r>
      <w:r>
        <w:rPr>
          <w:spacing w:val="-12"/>
        </w:rPr>
        <w:t> </w:t>
      </w:r>
      <w:r>
        <w:rPr>
          <w:spacing w:val="-2"/>
        </w:rPr>
        <w:t>smlouvy</w:t>
      </w:r>
    </w:p>
    <w:p>
      <w:pPr>
        <w:pStyle w:val="BodyText"/>
        <w:spacing w:before="12"/>
        <w:rPr>
          <w:b/>
          <w:sz w:val="19"/>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7221100475 o poskytnutí finančních prostředků ze Státního fondu životního prostředí ČR ze dne 21. 3. 2024 v</w:t>
      </w:r>
      <w:r>
        <w:rPr>
          <w:spacing w:val="-1"/>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1" w:after="0"/>
        <w:ind w:left="385" w:right="113" w:hanging="284"/>
        <w:jc w:val="both"/>
        <w:rPr>
          <w:sz w:val="20"/>
        </w:rPr>
      </w:pPr>
      <w:r>
        <w:rPr>
          <w:sz w:val="20"/>
        </w:rPr>
        <w:t>Příjemce podpory potvrzuje, že se seznámil s Výzvou RES+ č 1/2022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spacing w:after="0"/>
        <w:rPr>
          <w:sz w:val="9"/>
        </w:rPr>
        <w:sectPr>
          <w:pgSz w:w="12240" w:h="15840"/>
          <w:pgMar w:header="708" w:footer="771" w:top="2040" w:bottom="960" w:left="1600" w:right="1020"/>
        </w:sect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BodyText"/>
        <w:spacing w:before="12"/>
        <w:rPr>
          <w:sz w:val="37"/>
        </w:rPr>
      </w:pPr>
    </w:p>
    <w:p>
      <w:pPr>
        <w:pStyle w:val="BodyText"/>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line="240" w:lineRule="auto" w:before="6"/>
        <w:rPr>
          <w:sz w:val="36"/>
        </w:rPr>
      </w:pPr>
      <w:r>
        <w:rPr/>
        <w:br w:type="column"/>
      </w:r>
      <w:r>
        <w:rPr>
          <w:sz w:val="36"/>
        </w:rPr>
      </w:r>
    </w:p>
    <w:p>
      <w:pPr>
        <w:pStyle w:val="Heading2"/>
        <w:ind w:left="102"/>
        <w:jc w:val="left"/>
      </w:pPr>
      <w:r>
        <w:rPr/>
        <w:t>„FVE</w:t>
      </w:r>
      <w:r>
        <w:rPr>
          <w:spacing w:val="-8"/>
        </w:rPr>
        <w:t> </w:t>
      </w:r>
      <w:r>
        <w:rPr>
          <w:spacing w:val="-2"/>
        </w:rPr>
        <w:t>Zvěřínek“</w:t>
      </w:r>
    </w:p>
    <w:p>
      <w:pPr>
        <w:spacing w:after="0"/>
        <w:jc w:val="left"/>
        <w:sectPr>
          <w:type w:val="continuous"/>
          <w:pgSz w:w="12240" w:h="15840"/>
          <w:pgMar w:header="708" w:footer="771" w:top="2040" w:bottom="960" w:left="1600" w:right="1020"/>
          <w:cols w:num="2" w:equalWidth="0">
            <w:col w:w="3609" w:space="390"/>
            <w:col w:w="5621"/>
          </w:cols>
        </w:sectPr>
      </w:pPr>
    </w:p>
    <w:p>
      <w:pPr>
        <w:pStyle w:val="ListParagraph"/>
        <w:numPr>
          <w:ilvl w:val="0"/>
          <w:numId w:val="1"/>
        </w:numPr>
        <w:tabs>
          <w:tab w:pos="386" w:val="left" w:leader="none"/>
        </w:tabs>
        <w:spacing w:line="240" w:lineRule="auto" w:before="121" w:after="0"/>
        <w:ind w:left="385" w:right="114"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 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0"/>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0"/>
          <w:sz w:val="20"/>
        </w:rPr>
        <w:t> </w:t>
      </w:r>
      <w:r>
        <w:rPr>
          <w:sz w:val="20"/>
        </w:rPr>
        <w:t>v</w:t>
      </w:r>
      <w:r>
        <w:rPr>
          <w:spacing w:val="-11"/>
          <w:sz w:val="20"/>
        </w:rPr>
        <w:t> </w:t>
      </w:r>
      <w:r>
        <w:rPr>
          <w:sz w:val="20"/>
        </w:rPr>
        <w:t>Úředním</w:t>
      </w:r>
      <w:r>
        <w:rPr>
          <w:spacing w:val="-10"/>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SA.63670 (čl. 41).</w:t>
      </w:r>
    </w:p>
    <w:p>
      <w:pPr>
        <w:pStyle w:val="BodyText"/>
        <w:spacing w:before="12"/>
        <w:rPr>
          <w:sz w:val="19"/>
        </w:rPr>
      </w:pPr>
    </w:p>
    <w:p>
      <w:pPr>
        <w:pStyle w:val="Heading1"/>
        <w:ind w:right="703"/>
      </w:pPr>
      <w:r>
        <w:rPr>
          <w:spacing w:val="-5"/>
        </w:rPr>
        <w:t>II.</w:t>
      </w:r>
    </w:p>
    <w:p>
      <w:pPr>
        <w:pStyle w:val="Heading2"/>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6</w:t>
      </w:r>
      <w:r>
        <w:rPr>
          <w:b/>
          <w:spacing w:val="-3"/>
          <w:sz w:val="20"/>
        </w:rPr>
        <w:t> </w:t>
      </w:r>
      <w:r>
        <w:rPr>
          <w:b/>
          <w:sz w:val="20"/>
        </w:rPr>
        <w:t>927</w:t>
      </w:r>
      <w:r>
        <w:rPr>
          <w:b/>
          <w:spacing w:val="-3"/>
          <w:sz w:val="20"/>
        </w:rPr>
        <w:t> </w:t>
      </w:r>
      <w:r>
        <w:rPr>
          <w:b/>
          <w:sz w:val="20"/>
        </w:rPr>
        <w:t>266,21 Kč </w:t>
      </w:r>
      <w:r>
        <w:rPr>
          <w:sz w:val="20"/>
        </w:rPr>
        <w:t>(slovy: šest milionů devět set dvacet sedm tisíc dvě stě šedesát šest korun českých a dvacet jeden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50 310 000,00 Kč.</w:t>
      </w:r>
    </w:p>
    <w:p>
      <w:pPr>
        <w:pStyle w:val="ListParagraph"/>
        <w:numPr>
          <w:ilvl w:val="0"/>
          <w:numId w:val="2"/>
        </w:numPr>
        <w:tabs>
          <w:tab w:pos="386" w:val="left" w:leader="none"/>
        </w:tabs>
        <w:spacing w:line="240" w:lineRule="auto" w:before="121" w:after="0"/>
        <w:ind w:left="385" w:right="0" w:hanging="284"/>
        <w:jc w:val="both"/>
        <w:rPr>
          <w:sz w:val="20"/>
        </w:rPr>
      </w:pPr>
      <w:r>
        <w:rPr>
          <w:sz w:val="20"/>
        </w:rPr>
        <w:t>Podpora</w:t>
      </w:r>
      <w:r>
        <w:rPr>
          <w:spacing w:val="-7"/>
          <w:sz w:val="20"/>
        </w:rPr>
        <w:t> </w:t>
      </w:r>
      <w:r>
        <w:rPr>
          <w:sz w:val="20"/>
        </w:rPr>
        <w:t>nesmí</w:t>
      </w:r>
      <w:r>
        <w:rPr>
          <w:spacing w:val="-6"/>
          <w:sz w:val="20"/>
        </w:rPr>
        <w:t> </w:t>
      </w:r>
      <w:r>
        <w:rPr>
          <w:sz w:val="20"/>
        </w:rPr>
        <w:t>přesáhnout</w:t>
      </w:r>
      <w:r>
        <w:rPr>
          <w:spacing w:val="-3"/>
          <w:sz w:val="20"/>
        </w:rPr>
        <w:t> </w:t>
      </w:r>
      <w:r>
        <w:rPr>
          <w:sz w:val="20"/>
        </w:rPr>
        <w:t>50</w:t>
      </w:r>
      <w:r>
        <w:rPr>
          <w:spacing w:val="-6"/>
          <w:sz w:val="20"/>
        </w:rPr>
        <w:t> </w:t>
      </w:r>
      <w:r>
        <w:rPr>
          <w:sz w:val="20"/>
        </w:rPr>
        <w:t>%</w:t>
      </w:r>
      <w:r>
        <w:rPr>
          <w:spacing w:val="-5"/>
          <w:sz w:val="20"/>
        </w:rPr>
        <w:t> </w:t>
      </w:r>
      <w:r>
        <w:rPr>
          <w:sz w:val="20"/>
        </w:rPr>
        <w:t>z</w:t>
      </w:r>
      <w:r>
        <w:rPr>
          <w:spacing w:val="-4"/>
          <w:sz w:val="20"/>
        </w:rPr>
        <w:t> </w:t>
      </w:r>
      <w:r>
        <w:rPr>
          <w:sz w:val="20"/>
        </w:rPr>
        <w:t>celkových</w:t>
      </w:r>
      <w:r>
        <w:rPr>
          <w:spacing w:val="-6"/>
          <w:sz w:val="20"/>
        </w:rPr>
        <w:t> </w:t>
      </w:r>
      <w:r>
        <w:rPr>
          <w:sz w:val="20"/>
        </w:rPr>
        <w:t>výdajů</w:t>
      </w:r>
      <w:r>
        <w:rPr>
          <w:spacing w:val="-5"/>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before="1"/>
        <w:ind w:left="385"/>
        <w:jc w:val="both"/>
      </w:pPr>
      <w:r>
        <w:rPr/>
        <w:t>10</w:t>
      </w:r>
      <w:r>
        <w:rPr>
          <w:spacing w:val="-3"/>
        </w:rPr>
        <w:t> </w:t>
      </w:r>
      <w:r>
        <w:rPr>
          <w:spacing w:val="-2"/>
        </w:rPr>
        <w:t>Výzvy.</w:t>
      </w:r>
    </w:p>
    <w:p>
      <w:pPr>
        <w:pStyle w:val="BodyText"/>
      </w:pPr>
    </w:p>
    <w:p>
      <w:pPr>
        <w:pStyle w:val="Heading1"/>
        <w:ind w:right="1060"/>
      </w:pPr>
      <w:r>
        <w:rPr>
          <w:spacing w:val="-4"/>
        </w:rPr>
        <w:t>III.</w:t>
      </w:r>
    </w:p>
    <w:p>
      <w:pPr>
        <w:pStyle w:val="Heading2"/>
        <w:ind w:right="1060"/>
      </w:pPr>
      <w:r>
        <w:rPr/>
        <w:t>Platební</w:t>
      </w:r>
      <w:r>
        <w:rPr>
          <w:spacing w:val="-9"/>
        </w:rPr>
        <w:t> </w:t>
      </w:r>
      <w:r>
        <w:rPr>
          <w:spacing w:val="-2"/>
        </w:rPr>
        <w:t>podmínky</w:t>
      </w:r>
    </w:p>
    <w:p>
      <w:pPr>
        <w:pStyle w:val="BodyText"/>
        <w:rPr>
          <w:b/>
        </w:rPr>
      </w:pPr>
    </w:p>
    <w:p>
      <w:pPr>
        <w:pStyle w:val="ListParagraph"/>
        <w:numPr>
          <w:ilvl w:val="0"/>
          <w:numId w:val="3"/>
        </w:numPr>
        <w:tabs>
          <w:tab w:pos="386" w:val="left" w:leader="none"/>
        </w:tabs>
        <w:spacing w:line="265" w:lineRule="exact" w:before="1"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0"/>
          <w:sz w:val="20"/>
        </w:rPr>
        <w:t> </w:t>
      </w:r>
      <w:r>
        <w:rPr>
          <w:sz w:val="20"/>
        </w:rPr>
        <w:t>bankovním</w:t>
      </w:r>
      <w:r>
        <w:rPr>
          <w:spacing w:val="22"/>
          <w:sz w:val="20"/>
        </w:rPr>
        <w:t> </w:t>
      </w:r>
      <w:r>
        <w:rPr>
          <w:sz w:val="20"/>
        </w:rPr>
        <w:t>převodem</w:t>
      </w:r>
      <w:r>
        <w:rPr>
          <w:spacing w:val="21"/>
          <w:sz w:val="20"/>
        </w:rPr>
        <w:t> </w:t>
      </w:r>
      <w:r>
        <w:rPr>
          <w:sz w:val="20"/>
        </w:rPr>
        <w:t>peněžních</w:t>
      </w:r>
      <w:r>
        <w:rPr>
          <w:spacing w:val="21"/>
          <w:sz w:val="20"/>
        </w:rPr>
        <w:t> </w:t>
      </w:r>
      <w:r>
        <w:rPr>
          <w:sz w:val="20"/>
        </w:rPr>
        <w:t>prostředků</w:t>
      </w:r>
      <w:r>
        <w:rPr>
          <w:spacing w:val="20"/>
          <w:sz w:val="20"/>
        </w:rPr>
        <w:t> </w:t>
      </w:r>
      <w:r>
        <w:rPr>
          <w:sz w:val="20"/>
        </w:rPr>
        <w:t>z</w:t>
      </w:r>
      <w:r>
        <w:rPr>
          <w:spacing w:val="21"/>
          <w:sz w:val="20"/>
        </w:rPr>
        <w:t> </w:t>
      </w:r>
      <w:r>
        <w:rPr>
          <w:sz w:val="20"/>
        </w:rPr>
        <w:t>bankovního</w:t>
      </w:r>
      <w:r>
        <w:rPr>
          <w:spacing w:val="21"/>
          <w:sz w:val="20"/>
        </w:rPr>
        <w:t> </w:t>
      </w:r>
      <w:r>
        <w:rPr>
          <w:sz w:val="20"/>
        </w:rPr>
        <w:t>účtu</w:t>
      </w:r>
      <w:r>
        <w:rPr>
          <w:spacing w:val="19"/>
          <w:sz w:val="20"/>
        </w:rPr>
        <w:t> </w:t>
      </w:r>
      <w:r>
        <w:rPr>
          <w:sz w:val="20"/>
        </w:rPr>
        <w:t>Fondu</w:t>
      </w:r>
      <w:r>
        <w:rPr>
          <w:spacing w:val="24"/>
          <w:sz w:val="20"/>
        </w:rPr>
        <w:t> </w:t>
      </w:r>
      <w:r>
        <w:rPr>
          <w:spacing w:val="-5"/>
          <w:sz w:val="20"/>
        </w:rPr>
        <w:t>na</w:t>
      </w:r>
    </w:p>
    <w:p>
      <w:pPr>
        <w:pStyle w:val="BodyText"/>
        <w:spacing w:line="265" w:lineRule="exac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1"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type w:val="continuous"/>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spacing w:before="12"/>
        <w:rPr>
          <w:sz w:val="19"/>
        </w:rPr>
      </w:pPr>
    </w:p>
    <w:p>
      <w:pPr>
        <w:pStyle w:val="Heading1"/>
      </w:pPr>
      <w:r>
        <w:rPr>
          <w:spacing w:val="-5"/>
        </w:rPr>
        <w:t>IV.</w:t>
      </w:r>
    </w:p>
    <w:p>
      <w:pPr>
        <w:pStyle w:val="Heading2"/>
        <w:ind w:right="1058"/>
      </w:pPr>
      <w:r>
        <w:rPr/>
        <w:t>Základní</w:t>
      </w:r>
      <w:r>
        <w:rPr>
          <w:spacing w:val="-7"/>
        </w:rPr>
        <w:t> </w:t>
      </w:r>
      <w:r>
        <w:rPr/>
        <w:t>závazky</w:t>
      </w:r>
      <w:r>
        <w:rPr>
          <w:spacing w:val="-7"/>
        </w:rPr>
        <w:t> </w:t>
      </w:r>
      <w:r>
        <w:rPr/>
        <w:t>a</w:t>
      </w:r>
      <w:r>
        <w:rPr>
          <w:spacing w:val="-7"/>
        </w:rPr>
        <w:t> </w:t>
      </w:r>
      <w:r>
        <w:rPr/>
        <w:t>další</w:t>
      </w:r>
      <w:r>
        <w:rPr>
          <w:spacing w:val="-4"/>
        </w:rPr>
        <w:t> </w:t>
      </w:r>
      <w:r>
        <w:rPr/>
        <w:t>povinnosti</w:t>
      </w:r>
      <w:r>
        <w:rPr>
          <w:spacing w:val="-7"/>
        </w:rPr>
        <w:t> </w:t>
      </w:r>
      <w:r>
        <w:rPr/>
        <w:t>příjemce</w:t>
      </w:r>
      <w:r>
        <w:rPr>
          <w:spacing w:val="-6"/>
        </w:rPr>
        <w:t> </w:t>
      </w:r>
      <w:r>
        <w:rPr>
          <w:spacing w:val="-2"/>
        </w:rPr>
        <w:t>podpory</w:t>
      </w:r>
    </w:p>
    <w:p>
      <w:pPr>
        <w:pStyle w:val="BodyText"/>
        <w:rPr>
          <w:b/>
        </w:rPr>
      </w:pPr>
    </w:p>
    <w:p>
      <w:pPr>
        <w:pStyle w:val="ListParagraph"/>
        <w:numPr>
          <w:ilvl w:val="0"/>
          <w:numId w:val="4"/>
        </w:numPr>
        <w:tabs>
          <w:tab w:pos="325" w:val="left" w:leader="none"/>
        </w:tabs>
        <w:spacing w:line="240" w:lineRule="auto" w:before="1"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37" w:lineRule="auto" w:before="122" w:after="0"/>
        <w:ind w:left="745" w:right="111" w:hanging="360"/>
        <w:jc w:val="left"/>
        <w:rPr>
          <w:sz w:val="20"/>
        </w:rPr>
      </w:pPr>
      <w:r>
        <w:rPr>
          <w:sz w:val="20"/>
        </w:rPr>
        <w:t>splní účel akce „FVE Zvěřínek“ tím, že akce bude provedena v souladu s</w:t>
      </w:r>
      <w:r>
        <w:rPr>
          <w:spacing w:val="-2"/>
          <w:sz w:val="20"/>
        </w:rPr>
        <w:t> </w:t>
      </w:r>
      <w:r>
        <w:rPr>
          <w:sz w:val="20"/>
        </w:rPr>
        <w:t>Výzvou, žádostí o podporu a jejími přílohami a touto Smlouvou,</w:t>
      </w:r>
    </w:p>
    <w:p>
      <w:pPr>
        <w:pStyle w:val="ListParagraph"/>
        <w:numPr>
          <w:ilvl w:val="1"/>
          <w:numId w:val="4"/>
        </w:numPr>
        <w:tabs>
          <w:tab w:pos="746" w:val="left" w:leader="none"/>
        </w:tabs>
        <w:spacing w:line="240" w:lineRule="auto" w:before="2" w:after="0"/>
        <w:ind w:left="745" w:right="115" w:hanging="360"/>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80"/>
          <w:w w:val="150"/>
          <w:sz w:val="20"/>
        </w:rPr>
        <w:t> </w:t>
      </w:r>
      <w:r>
        <w:rPr>
          <w:sz w:val="20"/>
        </w:rPr>
        <w:t>k výstavbě</w:t>
      </w:r>
      <w:r>
        <w:rPr>
          <w:spacing w:val="80"/>
          <w:w w:val="150"/>
          <w:sz w:val="20"/>
        </w:rPr>
        <w:t> </w:t>
      </w:r>
      <w:r>
        <w:rPr>
          <w:sz w:val="20"/>
        </w:rPr>
        <w:t>nové</w:t>
      </w:r>
      <w:r>
        <w:rPr>
          <w:spacing w:val="80"/>
          <w:w w:val="150"/>
          <w:sz w:val="20"/>
        </w:rPr>
        <w:t> </w:t>
      </w:r>
      <w:r>
        <w:rPr>
          <w:sz w:val="20"/>
        </w:rPr>
        <w:t>fotovoltaické</w:t>
      </w:r>
      <w:r>
        <w:rPr>
          <w:spacing w:val="80"/>
          <w:w w:val="150"/>
          <w:sz w:val="20"/>
        </w:rPr>
        <w:t> </w:t>
      </w:r>
      <w:r>
        <w:rPr>
          <w:sz w:val="20"/>
        </w:rPr>
        <w:t>elektrárny</w:t>
      </w:r>
      <w:r>
        <w:rPr>
          <w:spacing w:val="80"/>
          <w:w w:val="150"/>
          <w:sz w:val="20"/>
        </w:rPr>
        <w:t> </w:t>
      </w:r>
      <w:r>
        <w:rPr>
          <w:sz w:val="20"/>
        </w:rPr>
        <w:t>s</w:t>
      </w:r>
      <w:r>
        <w:rPr>
          <w:spacing w:val="80"/>
          <w:w w:val="150"/>
          <w:sz w:val="20"/>
        </w:rPr>
        <w:t> </w:t>
      </w:r>
      <w:r>
        <w:rPr>
          <w:sz w:val="20"/>
        </w:rPr>
        <w:t>pozemní</w:t>
      </w:r>
      <w:r>
        <w:rPr>
          <w:spacing w:val="80"/>
          <w:w w:val="150"/>
          <w:sz w:val="20"/>
        </w:rPr>
        <w:t> </w:t>
      </w:r>
      <w:r>
        <w:rPr>
          <w:sz w:val="20"/>
        </w:rPr>
        <w:t>instalací</w:t>
      </w:r>
      <w:r>
        <w:rPr>
          <w:spacing w:val="80"/>
          <w:w w:val="150"/>
          <w:sz w:val="20"/>
        </w:rPr>
        <w:t> </w:t>
      </w:r>
      <w:r>
        <w:rPr>
          <w:sz w:val="20"/>
        </w:rPr>
        <w:t>s předpokládaným výkonem 999,9 kWp,</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15"/>
        <w:gridCol w:w="1637"/>
        <w:gridCol w:w="1616"/>
        <w:gridCol w:w="1661"/>
      </w:tblGrid>
      <w:tr>
        <w:trPr>
          <w:trHeight w:val="772" w:hRule="atLeast"/>
        </w:trPr>
        <w:tc>
          <w:tcPr>
            <w:tcW w:w="3915" w:type="dxa"/>
          </w:tcPr>
          <w:p>
            <w:pPr>
              <w:pStyle w:val="TableParagraph"/>
              <w:spacing w:before="120"/>
              <w:ind w:left="105"/>
              <w:rPr>
                <w:b/>
                <w:sz w:val="20"/>
              </w:rPr>
            </w:pPr>
            <w:r>
              <w:rPr>
                <w:b/>
                <w:spacing w:val="-2"/>
                <w:sz w:val="20"/>
              </w:rPr>
              <w:t>Indikátor</w:t>
            </w:r>
          </w:p>
        </w:tc>
        <w:tc>
          <w:tcPr>
            <w:tcW w:w="1637" w:type="dxa"/>
          </w:tcPr>
          <w:p>
            <w:pPr>
              <w:pStyle w:val="TableParagraph"/>
              <w:spacing w:before="120"/>
              <w:ind w:left="107"/>
              <w:rPr>
                <w:b/>
                <w:sz w:val="20"/>
              </w:rPr>
            </w:pPr>
            <w:r>
              <w:rPr>
                <w:b/>
                <w:spacing w:val="-2"/>
                <w:sz w:val="20"/>
              </w:rPr>
              <w:t>Jednotka</w:t>
            </w:r>
          </w:p>
        </w:tc>
        <w:tc>
          <w:tcPr>
            <w:tcW w:w="1616"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661" w:type="dxa"/>
          </w:tcPr>
          <w:p>
            <w:pPr>
              <w:pStyle w:val="TableParagraph"/>
              <w:spacing w:before="120"/>
              <w:ind w:left="105"/>
              <w:rPr>
                <w:b/>
                <w:sz w:val="20"/>
              </w:rPr>
            </w:pPr>
            <w:r>
              <w:rPr>
                <w:b/>
                <w:sz w:val="20"/>
              </w:rPr>
              <w:t>Cílová</w:t>
            </w:r>
            <w:r>
              <w:rPr>
                <w:b/>
                <w:spacing w:val="-5"/>
                <w:sz w:val="20"/>
              </w:rPr>
              <w:t> </w:t>
            </w:r>
            <w:r>
              <w:rPr>
                <w:b/>
                <w:spacing w:val="-2"/>
                <w:sz w:val="20"/>
              </w:rPr>
              <w:t>hodnota</w:t>
            </w:r>
          </w:p>
        </w:tc>
      </w:tr>
      <w:tr>
        <w:trPr>
          <w:trHeight w:val="505" w:hRule="atLeast"/>
        </w:trPr>
        <w:tc>
          <w:tcPr>
            <w:tcW w:w="3915"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37" w:type="dxa"/>
          </w:tcPr>
          <w:p>
            <w:pPr>
              <w:pStyle w:val="TableParagraph"/>
              <w:spacing w:before="120"/>
              <w:ind w:left="391"/>
              <w:rPr>
                <w:sz w:val="20"/>
              </w:rPr>
            </w:pPr>
            <w:r>
              <w:rPr>
                <w:spacing w:val="-5"/>
                <w:sz w:val="20"/>
              </w:rPr>
              <w:t>kWp</w:t>
            </w:r>
          </w:p>
        </w:tc>
        <w:tc>
          <w:tcPr>
            <w:tcW w:w="1616" w:type="dxa"/>
          </w:tcPr>
          <w:p>
            <w:pPr>
              <w:pStyle w:val="TableParagraph"/>
              <w:spacing w:before="120"/>
              <w:ind w:left="388"/>
              <w:rPr>
                <w:sz w:val="20"/>
              </w:rPr>
            </w:pPr>
            <w:r>
              <w:rPr>
                <w:w w:val="99"/>
                <w:sz w:val="20"/>
              </w:rPr>
              <w:t>0</w:t>
            </w:r>
          </w:p>
        </w:tc>
        <w:tc>
          <w:tcPr>
            <w:tcW w:w="1661" w:type="dxa"/>
          </w:tcPr>
          <w:p>
            <w:pPr>
              <w:pStyle w:val="TableParagraph"/>
              <w:spacing w:before="120"/>
              <w:ind w:left="388"/>
              <w:rPr>
                <w:sz w:val="20"/>
              </w:rPr>
            </w:pPr>
            <w:r>
              <w:rPr>
                <w:spacing w:val="-2"/>
                <w:sz w:val="20"/>
              </w:rPr>
              <w:t>999.90</w:t>
            </w:r>
          </w:p>
        </w:tc>
      </w:tr>
      <w:tr>
        <w:trPr>
          <w:trHeight w:val="506" w:hRule="atLeast"/>
        </w:trPr>
        <w:tc>
          <w:tcPr>
            <w:tcW w:w="3915"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37" w:type="dxa"/>
          </w:tcPr>
          <w:p>
            <w:pPr>
              <w:pStyle w:val="TableParagraph"/>
              <w:spacing w:before="120"/>
              <w:ind w:left="0" w:right="367"/>
              <w:jc w:val="right"/>
              <w:rPr>
                <w:sz w:val="20"/>
              </w:rPr>
            </w:pPr>
            <w:r>
              <w:rPr>
                <w:sz w:val="20"/>
              </w:rPr>
              <w:t>t</w:t>
            </w:r>
            <w:r>
              <w:rPr>
                <w:spacing w:val="-2"/>
                <w:sz w:val="20"/>
              </w:rPr>
              <w:t> CO2/rok</w:t>
            </w:r>
          </w:p>
        </w:tc>
        <w:tc>
          <w:tcPr>
            <w:tcW w:w="1616" w:type="dxa"/>
          </w:tcPr>
          <w:p>
            <w:pPr>
              <w:pStyle w:val="TableParagraph"/>
              <w:spacing w:before="120"/>
              <w:ind w:left="388"/>
              <w:rPr>
                <w:sz w:val="20"/>
              </w:rPr>
            </w:pPr>
            <w:r>
              <w:rPr>
                <w:w w:val="99"/>
                <w:sz w:val="20"/>
              </w:rPr>
              <w:t>0</w:t>
            </w:r>
          </w:p>
        </w:tc>
        <w:tc>
          <w:tcPr>
            <w:tcW w:w="1661" w:type="dxa"/>
          </w:tcPr>
          <w:p>
            <w:pPr>
              <w:pStyle w:val="TableParagraph"/>
              <w:spacing w:before="120"/>
              <w:ind w:left="388"/>
              <w:rPr>
                <w:sz w:val="20"/>
              </w:rPr>
            </w:pPr>
            <w:r>
              <w:rPr>
                <w:spacing w:val="-5"/>
                <w:sz w:val="20"/>
              </w:rPr>
              <w:t>894</w:t>
            </w:r>
          </w:p>
        </w:tc>
      </w:tr>
      <w:tr>
        <w:trPr>
          <w:trHeight w:val="532" w:hRule="atLeast"/>
        </w:trPr>
        <w:tc>
          <w:tcPr>
            <w:tcW w:w="3915" w:type="dxa"/>
          </w:tcPr>
          <w:p>
            <w:pPr>
              <w:pStyle w:val="TableParagraph"/>
              <w:spacing w:line="266"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37" w:type="dxa"/>
          </w:tcPr>
          <w:p>
            <w:pPr>
              <w:pStyle w:val="TableParagraph"/>
              <w:spacing w:before="120"/>
              <w:ind w:left="0" w:right="391"/>
              <w:jc w:val="right"/>
              <w:rPr>
                <w:sz w:val="20"/>
              </w:rPr>
            </w:pPr>
            <w:r>
              <w:rPr>
                <w:spacing w:val="-2"/>
                <w:sz w:val="20"/>
              </w:rPr>
              <w:t>MWh/rok</w:t>
            </w:r>
          </w:p>
        </w:tc>
        <w:tc>
          <w:tcPr>
            <w:tcW w:w="1616" w:type="dxa"/>
          </w:tcPr>
          <w:p>
            <w:pPr>
              <w:pStyle w:val="TableParagraph"/>
              <w:spacing w:before="120"/>
              <w:ind w:left="388"/>
              <w:rPr>
                <w:sz w:val="20"/>
              </w:rPr>
            </w:pPr>
            <w:r>
              <w:rPr>
                <w:w w:val="99"/>
                <w:sz w:val="20"/>
              </w:rPr>
              <w:t>0</w:t>
            </w:r>
          </w:p>
        </w:tc>
        <w:tc>
          <w:tcPr>
            <w:tcW w:w="1661" w:type="dxa"/>
          </w:tcPr>
          <w:p>
            <w:pPr>
              <w:pStyle w:val="TableParagraph"/>
              <w:spacing w:before="120"/>
              <w:ind w:left="388"/>
              <w:rPr>
                <w:sz w:val="20"/>
              </w:rPr>
            </w:pPr>
            <w:r>
              <w:rPr>
                <w:spacing w:val="-2"/>
                <w:sz w:val="20"/>
              </w:rPr>
              <w:t>2702.80</w:t>
            </w:r>
          </w:p>
        </w:tc>
      </w:tr>
      <w:tr>
        <w:trPr>
          <w:trHeight w:val="505" w:hRule="atLeast"/>
        </w:trPr>
        <w:tc>
          <w:tcPr>
            <w:tcW w:w="3915"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37" w:type="dxa"/>
          </w:tcPr>
          <w:p>
            <w:pPr>
              <w:pStyle w:val="TableParagraph"/>
              <w:spacing w:before="120"/>
              <w:ind w:left="0" w:right="391"/>
              <w:jc w:val="right"/>
              <w:rPr>
                <w:sz w:val="20"/>
              </w:rPr>
            </w:pPr>
            <w:r>
              <w:rPr>
                <w:spacing w:val="-2"/>
                <w:sz w:val="20"/>
              </w:rPr>
              <w:t>MWh/rok</w:t>
            </w:r>
          </w:p>
        </w:tc>
        <w:tc>
          <w:tcPr>
            <w:tcW w:w="1616" w:type="dxa"/>
          </w:tcPr>
          <w:p>
            <w:pPr>
              <w:pStyle w:val="TableParagraph"/>
              <w:spacing w:before="120"/>
              <w:ind w:left="388"/>
              <w:rPr>
                <w:sz w:val="20"/>
              </w:rPr>
            </w:pPr>
            <w:r>
              <w:rPr>
                <w:w w:val="99"/>
                <w:sz w:val="20"/>
              </w:rPr>
              <w:t>0</w:t>
            </w:r>
          </w:p>
        </w:tc>
        <w:tc>
          <w:tcPr>
            <w:tcW w:w="1661" w:type="dxa"/>
          </w:tcPr>
          <w:p>
            <w:pPr>
              <w:pStyle w:val="TableParagraph"/>
              <w:spacing w:before="120"/>
              <w:ind w:left="388"/>
              <w:rPr>
                <w:sz w:val="20"/>
              </w:rPr>
            </w:pPr>
            <w:r>
              <w:rPr>
                <w:spacing w:val="-2"/>
                <w:sz w:val="20"/>
              </w:rPr>
              <w:t>1039.50</w:t>
            </w:r>
          </w:p>
        </w:tc>
      </w:tr>
    </w:tbl>
    <w:p>
      <w:pPr>
        <w:pStyle w:val="ListParagraph"/>
        <w:numPr>
          <w:ilvl w:val="1"/>
          <w:numId w:val="4"/>
        </w:numPr>
        <w:tabs>
          <w:tab w:pos="746" w:val="left" w:leader="none"/>
        </w:tabs>
        <w:spacing w:line="276" w:lineRule="auto" w:before="123"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3" w:hanging="360"/>
        <w:jc w:val="both"/>
        <w:rPr>
          <w:sz w:val="20"/>
        </w:rPr>
      </w:pPr>
      <w:r>
        <w:rPr>
          <w:sz w:val="20"/>
        </w:rPr>
        <w:t>dodrží termín ukončení projektu do 2 let od vydání Rozhodnutí. Ukončením projektu se rozumí datum uvedení stavby k trvalému provozu, v souladu se zákonem č. 183/2006 Sb., o územním plánování</w:t>
      </w:r>
      <w:r>
        <w:rPr>
          <w:spacing w:val="-10"/>
          <w:sz w:val="20"/>
        </w:rPr>
        <w:t> </w:t>
      </w:r>
      <w:r>
        <w:rPr>
          <w:sz w:val="20"/>
        </w:rPr>
        <w:t>a</w:t>
      </w:r>
      <w:r>
        <w:rPr>
          <w:spacing w:val="-12"/>
          <w:sz w:val="20"/>
        </w:rPr>
        <w:t> </w:t>
      </w:r>
      <w:r>
        <w:rPr>
          <w:sz w:val="20"/>
        </w:rPr>
        <w:t>stavebním</w:t>
      </w:r>
      <w:r>
        <w:rPr>
          <w:spacing w:val="-10"/>
          <w:sz w:val="20"/>
        </w:rPr>
        <w:t> </w:t>
      </w:r>
      <w:r>
        <w:rPr>
          <w:sz w:val="20"/>
        </w:rPr>
        <w:t>řádu</w:t>
      </w:r>
      <w:r>
        <w:rPr>
          <w:spacing w:val="-9"/>
          <w:sz w:val="20"/>
        </w:rPr>
        <w:t> </w:t>
      </w:r>
      <w:r>
        <w:rPr>
          <w:sz w:val="20"/>
        </w:rPr>
        <w:t>(stavební</w:t>
      </w:r>
      <w:r>
        <w:rPr>
          <w:spacing w:val="-11"/>
          <w:sz w:val="20"/>
        </w:rPr>
        <w:t> </w:t>
      </w:r>
      <w:r>
        <w:rPr>
          <w:sz w:val="20"/>
        </w:rPr>
        <w:t>zákon),</w:t>
      </w:r>
      <w:r>
        <w:rPr>
          <w:spacing w:val="-11"/>
          <w:sz w:val="20"/>
        </w:rPr>
        <w:t> </w:t>
      </w:r>
      <w:r>
        <w:rPr>
          <w:sz w:val="20"/>
        </w:rPr>
        <w:t>v</w:t>
      </w:r>
      <w:r>
        <w:rPr>
          <w:spacing w:val="-11"/>
          <w:sz w:val="20"/>
        </w:rPr>
        <w:t> </w:t>
      </w:r>
      <w:r>
        <w:rPr>
          <w:sz w:val="20"/>
        </w:rPr>
        <w:t>platném</w:t>
      </w:r>
      <w:r>
        <w:rPr>
          <w:spacing w:val="-9"/>
          <w:sz w:val="20"/>
        </w:rPr>
        <w:t> </w:t>
      </w:r>
      <w:r>
        <w:rPr>
          <w:sz w:val="20"/>
        </w:rPr>
        <w:t>znění</w:t>
      </w:r>
      <w:r>
        <w:rPr>
          <w:spacing w:val="-11"/>
          <w:sz w:val="20"/>
        </w:rPr>
        <w:t> </w:t>
      </w:r>
      <w:r>
        <w:rPr>
          <w:sz w:val="20"/>
        </w:rPr>
        <w:t>(kolaudační</w:t>
      </w:r>
      <w:r>
        <w:rPr>
          <w:spacing w:val="-11"/>
          <w:sz w:val="20"/>
        </w:rPr>
        <w:t> </w:t>
      </w:r>
      <w:r>
        <w:rPr>
          <w:sz w:val="20"/>
        </w:rPr>
        <w:t>souhlas,</w:t>
      </w:r>
      <w:r>
        <w:rPr>
          <w:spacing w:val="-9"/>
          <w:sz w:val="20"/>
        </w:rPr>
        <w:t> </w:t>
      </w:r>
      <w:r>
        <w:rPr>
          <w:sz w:val="20"/>
        </w:rPr>
        <w:t>doložení</w:t>
      </w:r>
      <w:r>
        <w:rPr>
          <w:spacing w:val="-11"/>
          <w:sz w:val="20"/>
        </w:rPr>
        <w:t> </w:t>
      </w:r>
      <w:r>
        <w:rPr>
          <w:sz w:val="20"/>
        </w:rPr>
        <w:t>oslovení stavebního</w:t>
      </w:r>
      <w:r>
        <w:rPr>
          <w:spacing w:val="33"/>
          <w:sz w:val="20"/>
        </w:rPr>
        <w:t> </w:t>
      </w:r>
      <w:r>
        <w:rPr>
          <w:sz w:val="20"/>
        </w:rPr>
        <w:t>úřadu,</w:t>
      </w:r>
      <w:r>
        <w:rPr>
          <w:spacing w:val="32"/>
          <w:sz w:val="20"/>
        </w:rPr>
        <w:t> </w:t>
      </w:r>
      <w:r>
        <w:rPr>
          <w:sz w:val="20"/>
        </w:rPr>
        <w:t>případně</w:t>
      </w:r>
      <w:r>
        <w:rPr>
          <w:spacing w:val="31"/>
          <w:sz w:val="20"/>
        </w:rPr>
        <w:t> </w:t>
      </w:r>
      <w:r>
        <w:rPr>
          <w:sz w:val="20"/>
        </w:rPr>
        <w:t>písemný</w:t>
      </w:r>
      <w:r>
        <w:rPr>
          <w:spacing w:val="32"/>
          <w:sz w:val="20"/>
        </w:rPr>
        <w:t> </w:t>
      </w:r>
      <w:r>
        <w:rPr>
          <w:sz w:val="20"/>
        </w:rPr>
        <w:t>souhlas,</w:t>
      </w:r>
      <w:r>
        <w:rPr>
          <w:spacing w:val="31"/>
          <w:sz w:val="20"/>
        </w:rPr>
        <w:t> </w:t>
      </w:r>
      <w:r>
        <w:rPr>
          <w:sz w:val="20"/>
        </w:rPr>
        <w:t>že</w:t>
      </w:r>
      <w:r>
        <w:rPr>
          <w:spacing w:val="31"/>
          <w:sz w:val="20"/>
        </w:rPr>
        <w:t> </w:t>
      </w:r>
      <w:r>
        <w:rPr>
          <w:sz w:val="20"/>
        </w:rPr>
        <w:t>stavbu</w:t>
      </w:r>
      <w:r>
        <w:rPr>
          <w:spacing w:val="32"/>
          <w:sz w:val="20"/>
        </w:rPr>
        <w:t> </w:t>
      </w:r>
      <w:r>
        <w:rPr>
          <w:sz w:val="20"/>
        </w:rPr>
        <w:t>lze</w:t>
      </w:r>
      <w:r>
        <w:rPr>
          <w:spacing w:val="31"/>
          <w:sz w:val="20"/>
        </w:rPr>
        <w:t> </w:t>
      </w:r>
      <w:r>
        <w:rPr>
          <w:sz w:val="20"/>
        </w:rPr>
        <w:t>užívat).</w:t>
      </w:r>
      <w:r>
        <w:rPr>
          <w:spacing w:val="32"/>
          <w:sz w:val="20"/>
        </w:rPr>
        <w:t> </w:t>
      </w:r>
      <w:r>
        <w:rPr>
          <w:sz w:val="20"/>
        </w:rPr>
        <w:t>U</w:t>
      </w:r>
      <w:r>
        <w:rPr>
          <w:spacing w:val="32"/>
          <w:sz w:val="20"/>
        </w:rPr>
        <w:t> </w:t>
      </w:r>
      <w:r>
        <w:rPr>
          <w:sz w:val="20"/>
        </w:rPr>
        <w:t>projektů,</w:t>
      </w:r>
      <w:r>
        <w:rPr>
          <w:spacing w:val="34"/>
          <w:sz w:val="20"/>
        </w:rPr>
        <w:t> </w:t>
      </w:r>
      <w:r>
        <w:rPr>
          <w:sz w:val="20"/>
        </w:rPr>
        <w:t>kde</w:t>
      </w:r>
      <w:r>
        <w:rPr>
          <w:spacing w:val="31"/>
          <w:sz w:val="20"/>
        </w:rPr>
        <w:t> </w:t>
      </w:r>
      <w:r>
        <w:rPr>
          <w:sz w:val="20"/>
        </w:rPr>
        <w:t>není</w:t>
      </w:r>
      <w:r>
        <w:rPr>
          <w:spacing w:val="32"/>
          <w:sz w:val="20"/>
        </w:rPr>
        <w:t> </w:t>
      </w:r>
      <w:r>
        <w:rPr>
          <w:sz w:val="20"/>
        </w:rPr>
        <w:t>vydání</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5" w:right="120"/>
        <w:jc w:val="both"/>
      </w:pPr>
      <w:r>
        <w:rPr/>
        <w:t>kolaudačního souhlasu relevantní, předloží žadatel jiný relevantní doklad (protokol) o uvedení zařízení do trvalého provozu,</w:t>
      </w:r>
    </w:p>
    <w:p>
      <w:pPr>
        <w:pStyle w:val="ListParagraph"/>
        <w:numPr>
          <w:ilvl w:val="1"/>
          <w:numId w:val="4"/>
        </w:numPr>
        <w:tabs>
          <w:tab w:pos="746" w:val="left" w:leader="none"/>
        </w:tabs>
        <w:spacing w:line="240" w:lineRule="auto" w:before="120"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5"/>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4"/>
        <w:ind w:left="745"/>
        <w:jc w:val="both"/>
      </w:pPr>
      <w:r>
        <w:rPr/>
        <w:t>o</w:t>
      </w:r>
      <w:r>
        <w:rPr>
          <w:spacing w:val="3"/>
        </w:rPr>
        <w:t> </w:t>
      </w:r>
      <w:r>
        <w:rPr/>
        <w:t>případném</w:t>
      </w:r>
      <w:r>
        <w:rPr>
          <w:spacing w:val="3"/>
        </w:rPr>
        <w:t> </w:t>
      </w:r>
      <w:r>
        <w:rPr/>
        <w:t>zastavění</w:t>
      </w:r>
      <w:r>
        <w:rPr>
          <w:spacing w:val="2"/>
        </w:rPr>
        <w:t> </w:t>
      </w:r>
      <w:r>
        <w:rPr/>
        <w:t>uvedené</w:t>
      </w:r>
      <w:r>
        <w:rPr>
          <w:spacing w:val="2"/>
        </w:rPr>
        <w:t> </w:t>
      </w:r>
      <w:r>
        <w:rPr/>
        <w:t>lhůty.</w:t>
      </w:r>
      <w:r>
        <w:rPr>
          <w:spacing w:val="2"/>
        </w:rPr>
        <w:t> </w:t>
      </w:r>
      <w:r>
        <w:rPr/>
        <w:t>Příjemce</w:t>
      </w:r>
      <w:r>
        <w:rPr>
          <w:spacing w:val="1"/>
        </w:rPr>
        <w:t> </w:t>
      </w:r>
      <w:r>
        <w:rPr/>
        <w:t>podpory</w:t>
      </w:r>
      <w:r>
        <w:rPr>
          <w:spacing w:val="2"/>
        </w:rPr>
        <w:t> </w:t>
      </w:r>
      <w:r>
        <w:rPr/>
        <w:t>je</w:t>
      </w:r>
      <w:r>
        <w:rPr>
          <w:spacing w:val="1"/>
        </w:rPr>
        <w:t> </w:t>
      </w:r>
      <w:r>
        <w:rPr/>
        <w:t>v</w:t>
      </w:r>
      <w:r>
        <w:rPr>
          <w:spacing w:val="-1"/>
        </w:rPr>
        <w:t> </w:t>
      </w:r>
      <w:r>
        <w:rPr/>
        <w:t>takovém</w:t>
      </w:r>
      <w:r>
        <w:rPr>
          <w:spacing w:val="3"/>
        </w:rPr>
        <w:t> </w:t>
      </w:r>
      <w:r>
        <w:rPr/>
        <w:t>případě</w:t>
      </w:r>
      <w:r>
        <w:rPr>
          <w:spacing w:val="1"/>
        </w:rPr>
        <w:t> </w:t>
      </w:r>
      <w:r>
        <w:rPr/>
        <w:t>povinen</w:t>
      </w:r>
      <w:r>
        <w:rPr>
          <w:spacing w:val="2"/>
        </w:rPr>
        <w:t> </w:t>
      </w:r>
      <w:r>
        <w:rPr/>
        <w:t>zajistit,</w:t>
      </w:r>
      <w:r>
        <w:rPr>
          <w:spacing w:val="2"/>
        </w:rPr>
        <w:t> </w:t>
      </w:r>
      <w:r>
        <w:rPr>
          <w:spacing w:val="-5"/>
        </w:rPr>
        <w:t>aby</w:t>
      </w:r>
    </w:p>
    <w:p>
      <w:pPr>
        <w:pStyle w:val="BodyText"/>
        <w:spacing w:before="10"/>
        <w:ind w:left="745"/>
        <w:jc w:val="both"/>
      </w:pPr>
      <w:r>
        <w:rPr/>
        <w:t>v</w:t>
      </w:r>
      <w:r>
        <w:rPr>
          <w:spacing w:val="-4"/>
        </w:rPr>
        <w:t> </w:t>
      </w:r>
      <w:r>
        <w:rPr/>
        <w:t>době</w:t>
      </w:r>
      <w:r>
        <w:rPr>
          <w:spacing w:val="-5"/>
        </w:rPr>
        <w:t> </w:t>
      </w:r>
      <w:r>
        <w:rPr/>
        <w:t>zastavění</w:t>
      </w:r>
      <w:r>
        <w:rPr>
          <w:spacing w:val="-6"/>
        </w:rPr>
        <w:t> </w:t>
      </w:r>
      <w:r>
        <w:rPr/>
        <w:t>běhu</w:t>
      </w:r>
      <w:r>
        <w:rPr>
          <w:spacing w:val="-5"/>
        </w:rPr>
        <w:t> </w:t>
      </w:r>
      <w:r>
        <w:rPr/>
        <w:t>lhůty</w:t>
      </w:r>
      <w:r>
        <w:rPr>
          <w:spacing w:val="-6"/>
        </w:rPr>
        <w:t> </w:t>
      </w:r>
      <w:r>
        <w:rPr/>
        <w:t>došlo</w:t>
      </w:r>
      <w:r>
        <w:rPr>
          <w:spacing w:val="-5"/>
        </w:rPr>
        <w:t> </w:t>
      </w:r>
      <w:r>
        <w:rPr/>
        <w:t>k</w:t>
      </w:r>
      <w:r>
        <w:rPr>
          <w:spacing w:val="-5"/>
        </w:rPr>
        <w:t> </w:t>
      </w:r>
      <w:r>
        <w:rPr/>
        <w:t>nápravě</w:t>
      </w:r>
      <w:r>
        <w:rPr>
          <w:spacing w:val="-6"/>
        </w:rPr>
        <w:t> </w:t>
      </w:r>
      <w:r>
        <w:rPr/>
        <w:t>vzniklého</w:t>
      </w:r>
      <w:r>
        <w:rPr>
          <w:spacing w:val="-2"/>
        </w:rPr>
        <w:t> stavu,</w:t>
      </w:r>
    </w:p>
    <w:p>
      <w:pPr>
        <w:pStyle w:val="ListParagraph"/>
        <w:numPr>
          <w:ilvl w:val="1"/>
          <w:numId w:val="4"/>
        </w:numPr>
        <w:tabs>
          <w:tab w:pos="746" w:val="left" w:leader="none"/>
        </w:tabs>
        <w:spacing w:line="237" w:lineRule="auto" w:before="122"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2"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9"/>
          <w:sz w:val="20"/>
        </w:rPr>
        <w:t> </w:t>
      </w:r>
      <w:r>
        <w:rPr>
          <w:sz w:val="20"/>
        </w:rPr>
        <w:t>o</w:t>
      </w:r>
      <w:r>
        <w:rPr>
          <w:spacing w:val="-3"/>
          <w:sz w:val="20"/>
        </w:rPr>
        <w:t> </w:t>
      </w:r>
      <w:r>
        <w:rPr>
          <w:sz w:val="20"/>
        </w:rPr>
        <w:t>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2"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1"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668"/>
        <w:jc w:val="both"/>
      </w:pPr>
      <w:r>
        <w:rPr/>
        <w:t>potřeba</w:t>
      </w:r>
      <w:r>
        <w:rPr>
          <w:spacing w:val="-8"/>
        </w:rPr>
        <w:t> </w:t>
      </w:r>
      <w:r>
        <w:rPr/>
        <w:t>použít</w:t>
      </w:r>
      <w:r>
        <w:rPr>
          <w:spacing w:val="-7"/>
        </w:rPr>
        <w:t> </w:t>
      </w:r>
      <w:r>
        <w:rPr/>
        <w:t>poskytnuté</w:t>
      </w:r>
      <w:r>
        <w:rPr>
          <w:spacing w:val="-6"/>
        </w:rPr>
        <w:t> </w:t>
      </w:r>
      <w:r>
        <w:rPr/>
        <w:t>peněžní</w:t>
      </w:r>
      <w:r>
        <w:rPr>
          <w:spacing w:val="-7"/>
        </w:rPr>
        <w:t> </w:t>
      </w:r>
      <w:r>
        <w:rPr/>
        <w:t>prostředky</w:t>
      </w:r>
      <w:r>
        <w:rPr>
          <w:spacing w:val="-8"/>
        </w:rPr>
        <w:t> </w:t>
      </w:r>
      <w:r>
        <w:rPr/>
        <w:t>odpadne</w:t>
      </w:r>
      <w:r>
        <w:rPr>
          <w:spacing w:val="-7"/>
        </w:rPr>
        <w:t> </w:t>
      </w:r>
      <w:r>
        <w:rPr/>
        <w:t>pouze</w:t>
      </w:r>
      <w:r>
        <w:rPr>
          <w:spacing w:val="-8"/>
        </w:rPr>
        <w:t> </w:t>
      </w:r>
      <w:r>
        <w:rPr/>
        <w:t>na</w:t>
      </w:r>
      <w:r>
        <w:rPr>
          <w:spacing w:val="-7"/>
        </w:rPr>
        <w:t> </w:t>
      </w:r>
      <w:r>
        <w:rPr/>
        <w:t>přechodnou</w:t>
      </w:r>
      <w:r>
        <w:rPr>
          <w:spacing w:val="-6"/>
        </w:rPr>
        <w:t> </w:t>
      </w:r>
      <w:r>
        <w:rPr>
          <w:spacing w:val="-2"/>
        </w:rPr>
        <w:t>dobu,</w:t>
      </w:r>
    </w:p>
    <w:p>
      <w:pPr>
        <w:pStyle w:val="ListParagraph"/>
        <w:numPr>
          <w:ilvl w:val="1"/>
          <w:numId w:val="4"/>
        </w:numPr>
        <w:tabs>
          <w:tab w:pos="669" w:val="left" w:leader="none"/>
        </w:tabs>
        <w:spacing w:line="240" w:lineRule="auto" w:before="120"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1" w:after="0"/>
        <w:ind w:left="668" w:right="114"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40"/>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19"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19"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1"/>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2"/>
      </w:pPr>
    </w:p>
    <w:p>
      <w:pPr>
        <w:pStyle w:val="Heading1"/>
        <w:spacing w:line="265" w:lineRule="exact"/>
      </w:pPr>
      <w:r>
        <w:rPr>
          <w:spacing w:val="-5"/>
        </w:rPr>
        <w:t>V.</w:t>
      </w:r>
    </w:p>
    <w:p>
      <w:pPr>
        <w:pStyle w:val="Heading2"/>
        <w:spacing w:line="265" w:lineRule="exact" w:before="0"/>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rPr>
          <w:b/>
        </w:rPr>
      </w:pPr>
    </w:p>
    <w:p>
      <w:pPr>
        <w:pStyle w:val="ListParagraph"/>
        <w:numPr>
          <w:ilvl w:val="0"/>
          <w:numId w:val="5"/>
        </w:numPr>
        <w:tabs>
          <w:tab w:pos="386" w:val="left" w:leader="none"/>
        </w:tabs>
        <w:spacing w:line="240" w:lineRule="auto" w:before="0" w:after="0"/>
        <w:ind w:left="385" w:right="110" w:hanging="284"/>
        <w:jc w:val="left"/>
        <w:rPr>
          <w:sz w:val="20"/>
        </w:rPr>
      </w:pPr>
      <w:r>
        <w:rPr>
          <w:sz w:val="20"/>
        </w:rPr>
        <w:t>Jestliže</w:t>
      </w:r>
      <w:r>
        <w:rPr>
          <w:spacing w:val="68"/>
          <w:sz w:val="20"/>
        </w:rPr>
        <w:t> </w:t>
      </w:r>
      <w:r>
        <w:rPr>
          <w:sz w:val="20"/>
        </w:rPr>
        <w:t>příjemce</w:t>
      </w:r>
      <w:r>
        <w:rPr>
          <w:spacing w:val="68"/>
          <w:sz w:val="20"/>
        </w:rPr>
        <w:t> </w:t>
      </w:r>
      <w:r>
        <w:rPr>
          <w:sz w:val="20"/>
        </w:rPr>
        <w:t>podpory</w:t>
      </w:r>
      <w:r>
        <w:rPr>
          <w:spacing w:val="71"/>
          <w:sz w:val="20"/>
        </w:rPr>
        <w:t> </w:t>
      </w:r>
      <w:r>
        <w:rPr>
          <w:sz w:val="20"/>
        </w:rPr>
        <w:t>nesplní</w:t>
      </w:r>
      <w:r>
        <w:rPr>
          <w:spacing w:val="69"/>
          <w:sz w:val="20"/>
        </w:rPr>
        <w:t> </w:t>
      </w:r>
      <w:r>
        <w:rPr>
          <w:sz w:val="20"/>
        </w:rPr>
        <w:t>některý</w:t>
      </w:r>
      <w:r>
        <w:rPr>
          <w:spacing w:val="71"/>
          <w:sz w:val="20"/>
        </w:rPr>
        <w:t> </w:t>
      </w:r>
      <w:r>
        <w:rPr>
          <w:sz w:val="20"/>
        </w:rPr>
        <w:t>ze</w:t>
      </w:r>
      <w:r>
        <w:rPr>
          <w:spacing w:val="68"/>
          <w:sz w:val="20"/>
        </w:rPr>
        <w:t> </w:t>
      </w:r>
      <w:r>
        <w:rPr>
          <w:sz w:val="20"/>
        </w:rPr>
        <w:t>závazků</w:t>
      </w:r>
      <w:r>
        <w:rPr>
          <w:spacing w:val="69"/>
          <w:sz w:val="20"/>
        </w:rPr>
        <w:t> </w:t>
      </w:r>
      <w:r>
        <w:rPr>
          <w:sz w:val="20"/>
        </w:rPr>
        <w:t>stanovených</w:t>
      </w:r>
      <w:r>
        <w:rPr>
          <w:spacing w:val="71"/>
          <w:sz w:val="20"/>
        </w:rPr>
        <w:t> </w:t>
      </w:r>
      <w:r>
        <w:rPr>
          <w:sz w:val="20"/>
        </w:rPr>
        <w:t>touto</w:t>
      </w:r>
      <w:r>
        <w:rPr>
          <w:spacing w:val="70"/>
          <w:sz w:val="20"/>
        </w:rPr>
        <w:t> </w:t>
      </w:r>
      <w:r>
        <w:rPr>
          <w:sz w:val="20"/>
        </w:rPr>
        <w:t>Smlouvou,</w:t>
      </w:r>
      <w:r>
        <w:rPr>
          <w:spacing w:val="69"/>
          <w:sz w:val="20"/>
        </w:rPr>
        <w:t> </w:t>
      </w:r>
      <w:r>
        <w:rPr>
          <w:sz w:val="20"/>
        </w:rPr>
        <w:t>bude</w:t>
      </w:r>
      <w:r>
        <w:rPr>
          <w:spacing w:val="68"/>
          <w:sz w:val="20"/>
        </w:rPr>
        <w:t> </w:t>
      </w:r>
      <w:r>
        <w:rPr>
          <w:sz w:val="20"/>
        </w:rPr>
        <w:t>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40"/>
          <w:sz w:val="20"/>
        </w:rPr>
        <w:t> </w:t>
      </w:r>
      <w:r>
        <w:rPr>
          <w:sz w:val="20"/>
        </w:rPr>
        <w:t>a</w:t>
      </w:r>
    </w:p>
    <w:p>
      <w:pPr>
        <w:pStyle w:val="BodyText"/>
        <w:spacing w:before="1"/>
        <w:ind w:left="385"/>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37" w:lineRule="auto" w:before="122" w:after="0"/>
        <w:ind w:left="385" w:right="114" w:hanging="284"/>
        <w:jc w:val="left"/>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spacing w:after="0" w:line="237" w:lineRule="auto"/>
        <w:jc w:val="left"/>
        <w:rPr>
          <w:sz w:val="20"/>
        </w:rPr>
        <w:sectPr>
          <w:pgSz w:w="12240" w:h="15840"/>
          <w:pgMar w:header="708" w:footer="771" w:top="2040" w:bottom="960" w:left="1600" w:right="1020"/>
        </w:sectPr>
      </w:pPr>
    </w:p>
    <w:p>
      <w:pPr>
        <w:pStyle w:val="BodyText"/>
      </w:pPr>
    </w:p>
    <w:p>
      <w:pPr>
        <w:pStyle w:val="BodyText"/>
        <w:spacing w:before="12"/>
        <w:rPr>
          <w:sz w:val="18"/>
        </w:rPr>
      </w:pPr>
    </w:p>
    <w:p>
      <w:pPr>
        <w:pStyle w:val="ListParagraph"/>
        <w:numPr>
          <w:ilvl w:val="0"/>
          <w:numId w:val="5"/>
        </w:numPr>
        <w:tabs>
          <w:tab w:pos="386" w:val="left" w:leader="none"/>
        </w:tabs>
        <w:spacing w:line="240" w:lineRule="auto" w:before="100"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18"/>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36"/>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40"/>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1"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8"/>
          <w:sz w:val="20"/>
        </w:rPr>
        <w:t> </w:t>
      </w:r>
      <w:r>
        <w:rPr>
          <w:sz w:val="20"/>
        </w:rPr>
        <w:t>takto:</w:t>
      </w:r>
      <w:r>
        <w:rPr>
          <w:spacing w:val="37"/>
          <w:sz w:val="20"/>
        </w:rPr>
        <w:t> </w:t>
      </w:r>
      <w:r>
        <w:rPr>
          <w:sz w:val="20"/>
        </w:rPr>
        <w:t>do</w:t>
      </w:r>
      <w:r>
        <w:rPr>
          <w:spacing w:val="38"/>
          <w:sz w:val="20"/>
        </w:rPr>
        <w:t> </w:t>
      </w:r>
      <w:r>
        <w:rPr>
          <w:sz w:val="20"/>
        </w:rPr>
        <w:t>60</w:t>
      </w:r>
      <w:r>
        <w:rPr>
          <w:spacing w:val="37"/>
          <w:sz w:val="20"/>
        </w:rPr>
        <w:t> </w:t>
      </w:r>
      <w:r>
        <w:rPr>
          <w:sz w:val="20"/>
        </w:rPr>
        <w:t>kalendářních</w:t>
      </w:r>
      <w:r>
        <w:rPr>
          <w:spacing w:val="37"/>
          <w:sz w:val="20"/>
        </w:rPr>
        <w:t> </w:t>
      </w:r>
      <w:r>
        <w:rPr>
          <w:sz w:val="20"/>
        </w:rPr>
        <w:t>dní</w:t>
      </w:r>
      <w:r>
        <w:rPr>
          <w:spacing w:val="36"/>
          <w:sz w:val="20"/>
        </w:rPr>
        <w:t> </w:t>
      </w:r>
      <w:r>
        <w:rPr>
          <w:sz w:val="20"/>
        </w:rPr>
        <w:t>bez</w:t>
      </w:r>
      <w:r>
        <w:rPr>
          <w:spacing w:val="37"/>
          <w:sz w:val="20"/>
        </w:rPr>
        <w:t> </w:t>
      </w:r>
      <w:r>
        <w:rPr>
          <w:sz w:val="20"/>
        </w:rPr>
        <w:t>postihu,</w:t>
      </w:r>
      <w:r>
        <w:rPr>
          <w:spacing w:val="37"/>
          <w:sz w:val="20"/>
        </w:rPr>
        <w:t> </w:t>
      </w:r>
      <w:r>
        <w:rPr>
          <w:sz w:val="20"/>
        </w:rPr>
        <w:t>od</w:t>
      </w:r>
      <w:r>
        <w:rPr>
          <w:spacing w:val="37"/>
          <w:sz w:val="20"/>
        </w:rPr>
        <w:t> </w:t>
      </w:r>
      <w:r>
        <w:rPr>
          <w:sz w:val="20"/>
        </w:rPr>
        <w:t>61</w:t>
      </w:r>
      <w:r>
        <w:rPr>
          <w:spacing w:val="37"/>
          <w:sz w:val="20"/>
        </w:rPr>
        <w:t> </w:t>
      </w:r>
      <w:r>
        <w:rPr>
          <w:sz w:val="20"/>
        </w:rPr>
        <w:t>do</w:t>
      </w:r>
      <w:r>
        <w:rPr>
          <w:spacing w:val="38"/>
          <w:sz w:val="20"/>
        </w:rPr>
        <w:t> </w:t>
      </w:r>
      <w:r>
        <w:rPr>
          <w:sz w:val="20"/>
        </w:rPr>
        <w:t>120</w:t>
      </w:r>
      <w:r>
        <w:rPr>
          <w:spacing w:val="37"/>
          <w:sz w:val="20"/>
        </w:rPr>
        <w:t> </w:t>
      </w:r>
      <w:r>
        <w:rPr>
          <w:sz w:val="20"/>
        </w:rPr>
        <w:t>kalendářních</w:t>
      </w:r>
      <w:r>
        <w:rPr>
          <w:spacing w:val="37"/>
          <w:sz w:val="20"/>
        </w:rPr>
        <w:t> </w:t>
      </w:r>
      <w:r>
        <w:rPr>
          <w:sz w:val="20"/>
        </w:rPr>
        <w:t>dní</w:t>
      </w:r>
      <w:r>
        <w:rPr>
          <w:spacing w:val="37"/>
          <w:sz w:val="20"/>
        </w:rPr>
        <w:t> </w:t>
      </w:r>
      <w:r>
        <w:rPr>
          <w:sz w:val="20"/>
        </w:rPr>
        <w:t>odvod</w:t>
      </w:r>
      <w:r>
        <w:rPr>
          <w:spacing w:val="37"/>
          <w:sz w:val="20"/>
        </w:rPr>
        <w:t> </w:t>
      </w:r>
      <w:r>
        <w:rPr>
          <w:sz w:val="20"/>
        </w:rPr>
        <w:t>0,5</w:t>
      </w:r>
      <w:r>
        <w:rPr>
          <w:spacing w:val="10"/>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 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19"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65" w:lineRule="exact" w:before="121"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spacing w:line="265" w:lineRule="exac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0"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spacing w:before="1"/>
        <w:ind w:left="385"/>
      </w:pPr>
      <w:r>
        <w:rPr>
          <w:spacing w:val="-2"/>
        </w:rPr>
        <w:t>podpory.</w:t>
      </w:r>
    </w:p>
    <w:p>
      <w:pPr>
        <w:pStyle w:val="BodyText"/>
      </w:pPr>
    </w:p>
    <w:p>
      <w:pPr>
        <w:pStyle w:val="Heading1"/>
        <w:spacing w:before="1"/>
      </w:pPr>
      <w:r>
        <w:rPr>
          <w:spacing w:val="-5"/>
        </w:rPr>
        <w:t>VI.</w:t>
      </w:r>
    </w:p>
    <w:p>
      <w:pPr>
        <w:pStyle w:val="Heading2"/>
        <w:spacing w:before="0"/>
        <w:ind w:right="1058"/>
      </w:pPr>
      <w:r>
        <w:rPr/>
        <w:t>Závěrečná</w:t>
      </w:r>
      <w:r>
        <w:rPr>
          <w:spacing w:val="-9"/>
        </w:rPr>
        <w:t> </w:t>
      </w:r>
      <w:r>
        <w:rPr>
          <w:spacing w:val="-2"/>
        </w:rPr>
        <w:t>ustanovení</w:t>
      </w:r>
    </w:p>
    <w:p>
      <w:pPr>
        <w:pStyle w:val="BodyText"/>
        <w:spacing w:before="11"/>
        <w:rPr>
          <w:b/>
          <w:sz w:val="19"/>
        </w:rPr>
      </w:pPr>
    </w:p>
    <w:p>
      <w:pPr>
        <w:pStyle w:val="ListParagraph"/>
        <w:numPr>
          <w:ilvl w:val="0"/>
          <w:numId w:val="6"/>
        </w:numPr>
        <w:tabs>
          <w:tab w:pos="386" w:val="left" w:leader="none"/>
        </w:tabs>
        <w:spacing w:line="240" w:lineRule="auto" w:before="1"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w:t>
      </w:r>
      <w:r>
        <w:rPr>
          <w:spacing w:val="-3"/>
          <w:sz w:val="20"/>
        </w:rPr>
        <w:t> </w:t>
      </w:r>
      <w:r>
        <w:rPr>
          <w:sz w:val="20"/>
        </w:rPr>
        <w:t>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1"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19"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2"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ind w:left="385"/>
      </w:pPr>
      <w:r>
        <w:rPr>
          <w:spacing w:val="-2"/>
        </w:rPr>
        <w:t>Smlouvou.</w:t>
      </w:r>
    </w:p>
    <w:p>
      <w:pPr>
        <w:spacing w:after="0"/>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9"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18"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17"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0"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1"/>
          <w:sz w:val="20"/>
        </w:rPr>
        <w:t> </w:t>
      </w:r>
      <w:r>
        <w:rPr>
          <w:sz w:val="20"/>
        </w:rPr>
        <w:t>Sb.,</w:t>
      </w:r>
      <w:r>
        <w:rPr>
          <w:spacing w:val="40"/>
          <w:sz w:val="20"/>
        </w:rPr>
        <w:t> </w:t>
      </w:r>
      <w:r>
        <w:rPr>
          <w:sz w:val="20"/>
        </w:rPr>
        <w:t>o</w:t>
      </w:r>
      <w:r>
        <w:rPr>
          <w:spacing w:val="-1"/>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line="237" w:lineRule="auto" w:before="3"/>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3"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3"/>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9792"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6176">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2025-03-19T09:56:24Z</dcterms:created>
  <dcterms:modified xsi:type="dcterms:W3CDTF">2025-03-19T09:56:24Z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2025-03-14T00:00:00Z</vt:filetime>
  </property>
  <property fmtid="{D5CDD505-2E9C-101B-9397-08002B2CF9AE}" pid="3" name="Creator">
    <vt:lpwstr>Microsoft® Word pro Microsoft 365</vt:lpwstr>
  </property>
  <property fmtid="{D5CDD505-2E9C-101B-9397-08002B2CF9AE}" pid="4" name="LastSaved">
    <vt:filetime>2025-03-19T00:00:00Z</vt:filetime>
  </property>
</Properties>
</file>