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19" w:rsidRPr="00FD2F79" w:rsidRDefault="00B53819">
      <w:pPr>
        <w:pStyle w:val="Zkladntext"/>
        <w:spacing w:before="5"/>
        <w:ind w:left="0"/>
        <w:rPr>
          <w:sz w:val="16"/>
          <w:lang w:val="cs-CZ"/>
        </w:rPr>
      </w:pPr>
    </w:p>
    <w:p w:rsidR="00B53819" w:rsidRPr="00FD2F79" w:rsidRDefault="00C81AE5">
      <w:pPr>
        <w:spacing w:before="89" w:line="321" w:lineRule="exact"/>
        <w:ind w:left="1360" w:right="1361"/>
        <w:jc w:val="center"/>
        <w:rPr>
          <w:b/>
          <w:sz w:val="28"/>
          <w:lang w:val="cs-CZ"/>
        </w:rPr>
      </w:pPr>
      <w:r w:rsidRPr="00FD2F79">
        <w:rPr>
          <w:b/>
          <w:sz w:val="28"/>
          <w:lang w:val="cs-CZ"/>
        </w:rPr>
        <w:t>Rámcová smlouva o partnerství a vzájemné spolupráci</w:t>
      </w:r>
    </w:p>
    <w:p w:rsidR="00B53819" w:rsidRPr="00FD2F79" w:rsidRDefault="00C81AE5">
      <w:pPr>
        <w:pStyle w:val="Nadpis1"/>
        <w:ind w:left="3360" w:right="572" w:hanging="2777"/>
        <w:jc w:val="left"/>
        <w:rPr>
          <w:lang w:val="cs-CZ"/>
        </w:rPr>
      </w:pPr>
      <w:r w:rsidRPr="00FD2F79">
        <w:rPr>
          <w:lang w:val="cs-CZ"/>
        </w:rPr>
        <w:t>(dle § 1746 odst. 2 zákona č. 89/2012 Sb., občanský zákoník, ve znění pozdějších předpisů (dále jen „OZ“)</w:t>
      </w:r>
    </w:p>
    <w:p w:rsidR="00B53819" w:rsidRPr="00FD2F79" w:rsidRDefault="00B53819">
      <w:pPr>
        <w:pStyle w:val="Zkladntext"/>
        <w:spacing w:before="1"/>
        <w:ind w:left="0"/>
        <w:rPr>
          <w:b/>
          <w:lang w:val="cs-CZ"/>
        </w:rPr>
      </w:pPr>
    </w:p>
    <w:p w:rsidR="00B53819" w:rsidRPr="00FD2F79" w:rsidRDefault="00C81AE5">
      <w:pPr>
        <w:pStyle w:val="Zkladntext"/>
        <w:ind w:left="1358" w:right="1361"/>
        <w:jc w:val="center"/>
        <w:rPr>
          <w:lang w:val="cs-CZ"/>
        </w:rPr>
      </w:pPr>
      <w:r w:rsidRPr="00FD2F79">
        <w:rPr>
          <w:lang w:val="cs-CZ"/>
        </w:rPr>
        <w:t>Smluvní strany:</w:t>
      </w:r>
    </w:p>
    <w:p w:rsidR="00B53819" w:rsidRPr="00FD2F79" w:rsidRDefault="00B53819">
      <w:pPr>
        <w:pStyle w:val="Zkladntext"/>
        <w:spacing w:before="11"/>
        <w:ind w:left="0"/>
        <w:rPr>
          <w:sz w:val="23"/>
          <w:lang w:val="cs-CZ"/>
        </w:rPr>
      </w:pPr>
    </w:p>
    <w:p w:rsidR="00B53819" w:rsidRPr="00FD2F79" w:rsidRDefault="00C81AE5">
      <w:pPr>
        <w:pStyle w:val="Nadpis1"/>
        <w:numPr>
          <w:ilvl w:val="0"/>
          <w:numId w:val="10"/>
        </w:numPr>
        <w:tabs>
          <w:tab w:val="left" w:pos="544"/>
        </w:tabs>
        <w:ind w:right="0" w:hanging="427"/>
        <w:jc w:val="both"/>
        <w:rPr>
          <w:lang w:val="cs-CZ"/>
        </w:rPr>
      </w:pPr>
      <w:r w:rsidRPr="00FD2F79">
        <w:rPr>
          <w:lang w:val="cs-CZ"/>
        </w:rPr>
        <w:t>Technická univerzita v</w:t>
      </w:r>
      <w:r w:rsidRPr="00FD2F79">
        <w:rPr>
          <w:spacing w:val="-12"/>
          <w:lang w:val="cs-CZ"/>
        </w:rPr>
        <w:t xml:space="preserve"> </w:t>
      </w:r>
      <w:r w:rsidRPr="00FD2F79">
        <w:rPr>
          <w:lang w:val="cs-CZ"/>
        </w:rPr>
        <w:t>Liberci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Se sídlem v: Studentská 1402/2, 461 17 Liberec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IČ: 46747885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DIČ: CZ46747885</w:t>
      </w:r>
    </w:p>
    <w:p w:rsidR="00FD2F79" w:rsidRDefault="00C81AE5">
      <w:pPr>
        <w:pStyle w:val="Zkladntext"/>
        <w:ind w:right="1635"/>
        <w:rPr>
          <w:lang w:val="cs-CZ"/>
        </w:rPr>
      </w:pPr>
      <w:r w:rsidRPr="00FD2F79">
        <w:rPr>
          <w:lang w:val="cs-CZ"/>
        </w:rPr>
        <w:t xml:space="preserve">Bankovní spojení: </w:t>
      </w:r>
      <w:r w:rsidR="00FD2F79">
        <w:rPr>
          <w:lang w:val="cs-CZ"/>
        </w:rPr>
        <w:t>xxxxx</w:t>
      </w:r>
    </w:p>
    <w:p w:rsidR="00B53819" w:rsidRPr="00FD2F79" w:rsidRDefault="00C81AE5">
      <w:pPr>
        <w:pStyle w:val="Zkladntext"/>
        <w:ind w:right="1635"/>
        <w:rPr>
          <w:lang w:val="cs-CZ"/>
        </w:rPr>
      </w:pPr>
      <w:r w:rsidRPr="00FD2F79">
        <w:rPr>
          <w:lang w:val="cs-CZ"/>
        </w:rPr>
        <w:t xml:space="preserve">Účet číslo: </w:t>
      </w:r>
      <w:r w:rsidR="00FD2F79">
        <w:rPr>
          <w:lang w:val="cs-CZ"/>
        </w:rPr>
        <w:t>xxxxx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Zastoupená: doc. RNDr. Miroslavem Brzezinou, CSc., dr. h. c., rektorem</w:t>
      </w:r>
    </w:p>
    <w:p w:rsidR="00B53819" w:rsidRPr="00FD2F79" w:rsidRDefault="00C81AE5" w:rsidP="00FD2F79">
      <w:pPr>
        <w:pStyle w:val="Zkladntext"/>
        <w:rPr>
          <w:lang w:val="cs-CZ"/>
        </w:rPr>
      </w:pPr>
      <w:r w:rsidRPr="00FD2F79">
        <w:rPr>
          <w:lang w:val="cs-CZ"/>
        </w:rPr>
        <w:t xml:space="preserve">Osoba odpovědná za smluvní  vztah: </w:t>
      </w:r>
      <w:r w:rsidR="00FD2F79">
        <w:rPr>
          <w:lang w:val="cs-CZ"/>
        </w:rPr>
        <w:t>xxxxx</w:t>
      </w:r>
    </w:p>
    <w:p w:rsidR="00B53819" w:rsidRPr="00FD2F79" w:rsidRDefault="00C81AE5">
      <w:pPr>
        <w:pStyle w:val="Zkladntext"/>
        <w:ind w:right="4646"/>
        <w:rPr>
          <w:lang w:val="cs-CZ"/>
        </w:rPr>
      </w:pPr>
      <w:r w:rsidRPr="00FD2F79">
        <w:rPr>
          <w:lang w:val="cs-CZ"/>
        </w:rPr>
        <w:t>I</w:t>
      </w:r>
      <w:r w:rsidRPr="00FD2F79">
        <w:rPr>
          <w:lang w:val="cs-CZ"/>
        </w:rPr>
        <w:t>nterní číslo smlouvy: S/RU/9300/2024/24 (dále jen jako „</w:t>
      </w:r>
      <w:r w:rsidRPr="00FD2F79">
        <w:rPr>
          <w:b/>
          <w:lang w:val="cs-CZ"/>
        </w:rPr>
        <w:t>TUL</w:t>
      </w:r>
      <w:r w:rsidRPr="00FD2F79">
        <w:rPr>
          <w:lang w:val="cs-CZ"/>
        </w:rPr>
        <w:t>“)</w:t>
      </w:r>
    </w:p>
    <w:p w:rsidR="00B53819" w:rsidRPr="00FD2F79" w:rsidRDefault="00B53819">
      <w:pPr>
        <w:pStyle w:val="Zkladntext"/>
        <w:spacing w:before="11"/>
        <w:ind w:left="0"/>
        <w:rPr>
          <w:sz w:val="23"/>
          <w:lang w:val="cs-CZ"/>
        </w:rPr>
      </w:pP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a</w:t>
      </w:r>
    </w:p>
    <w:p w:rsidR="00B53819" w:rsidRPr="00FD2F79" w:rsidRDefault="00B53819">
      <w:pPr>
        <w:pStyle w:val="Zkladntext"/>
        <w:spacing w:before="11"/>
        <w:ind w:left="0"/>
        <w:rPr>
          <w:sz w:val="23"/>
          <w:lang w:val="cs-CZ"/>
        </w:rPr>
      </w:pPr>
    </w:p>
    <w:p w:rsidR="00B53819" w:rsidRPr="00FD2F79" w:rsidRDefault="00C81AE5">
      <w:pPr>
        <w:pStyle w:val="Nadpis1"/>
        <w:numPr>
          <w:ilvl w:val="0"/>
          <w:numId w:val="10"/>
        </w:numPr>
        <w:tabs>
          <w:tab w:val="left" w:pos="544"/>
        </w:tabs>
        <w:ind w:right="0" w:hanging="427"/>
        <w:jc w:val="both"/>
        <w:rPr>
          <w:lang w:val="cs-CZ"/>
        </w:rPr>
      </w:pPr>
      <w:r w:rsidRPr="00FD2F79">
        <w:rPr>
          <w:lang w:val="cs-CZ"/>
        </w:rPr>
        <w:t>Krajská nemocnice Liberec,</w:t>
      </w:r>
      <w:r w:rsidRPr="00FD2F79">
        <w:rPr>
          <w:spacing w:val="-10"/>
          <w:lang w:val="cs-CZ"/>
        </w:rPr>
        <w:t xml:space="preserve"> </w:t>
      </w:r>
      <w:r w:rsidRPr="00FD2F79">
        <w:rPr>
          <w:lang w:val="cs-CZ"/>
        </w:rPr>
        <w:t>a.s.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Se sídlem v: Husova 10, 460 63 Liberec 1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IČ: 27283933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DIČ: CZ27283933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 xml:space="preserve">Zapsaná: v obchodním rejstříku vedeném Krajským soudem v Ústí nad Labem, oddíl  </w:t>
      </w:r>
      <w:r w:rsidRPr="00FD2F79">
        <w:rPr>
          <w:spacing w:val="56"/>
          <w:lang w:val="cs-CZ"/>
        </w:rPr>
        <w:t xml:space="preserve"> </w:t>
      </w:r>
      <w:r w:rsidRPr="00FD2F79">
        <w:rPr>
          <w:lang w:val="cs-CZ"/>
        </w:rPr>
        <w:t>B,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vložka 1651</w:t>
      </w:r>
    </w:p>
    <w:p w:rsidR="00AD2E06" w:rsidRDefault="00C81AE5">
      <w:pPr>
        <w:pStyle w:val="Zkladntext"/>
        <w:ind w:right="4901"/>
        <w:rPr>
          <w:lang w:val="cs-CZ"/>
        </w:rPr>
      </w:pPr>
      <w:r w:rsidRPr="00FD2F79">
        <w:rPr>
          <w:lang w:val="cs-CZ"/>
        </w:rPr>
        <w:t xml:space="preserve">Bankovní spojení: </w:t>
      </w:r>
      <w:r w:rsidR="00AD2E06">
        <w:rPr>
          <w:lang w:val="cs-CZ"/>
        </w:rPr>
        <w:t>xxxxx</w:t>
      </w:r>
    </w:p>
    <w:p w:rsidR="00B53819" w:rsidRPr="00FD2F79" w:rsidRDefault="00C81AE5">
      <w:pPr>
        <w:pStyle w:val="Zkladntext"/>
        <w:ind w:right="4901"/>
        <w:rPr>
          <w:lang w:val="cs-CZ"/>
        </w:rPr>
      </w:pPr>
      <w:r w:rsidRPr="00FD2F79">
        <w:rPr>
          <w:lang w:val="cs-CZ"/>
        </w:rPr>
        <w:t xml:space="preserve">Účet číslo: </w:t>
      </w:r>
      <w:r w:rsidR="00AD2E06">
        <w:rPr>
          <w:lang w:val="cs-CZ"/>
        </w:rPr>
        <w:t>xxxxx</w:t>
      </w:r>
    </w:p>
    <w:p w:rsidR="00B53819" w:rsidRPr="00FD2F79" w:rsidRDefault="00C81AE5">
      <w:pPr>
        <w:pStyle w:val="Zkladntext"/>
        <w:ind w:right="208"/>
        <w:rPr>
          <w:lang w:val="cs-CZ"/>
        </w:rPr>
      </w:pPr>
      <w:r w:rsidRPr="00FD2F79">
        <w:rPr>
          <w:lang w:val="cs-CZ"/>
        </w:rPr>
        <w:t>Zastoupená: MUDr. Richardem Lukášem, PhD., předsedou představenstva / doc. MUDr. Tomášem Roubíč</w:t>
      </w:r>
      <w:r w:rsidRPr="00FD2F79">
        <w:rPr>
          <w:lang w:val="cs-CZ"/>
        </w:rPr>
        <w:t>kem, Ph.D. FESC, místopředsedou představenstva</w:t>
      </w:r>
    </w:p>
    <w:p w:rsidR="00B53819" w:rsidRPr="00FD2F79" w:rsidRDefault="00C81AE5">
      <w:pPr>
        <w:pStyle w:val="Zkladntext"/>
        <w:ind w:right="4753"/>
        <w:rPr>
          <w:lang w:val="cs-CZ"/>
        </w:rPr>
      </w:pPr>
      <w:r w:rsidRPr="00FD2F79">
        <w:rPr>
          <w:lang w:val="cs-CZ"/>
        </w:rPr>
        <w:t xml:space="preserve">Interní číslo smlouvy: S2024 / 00188 / 00 (dále jen jako </w:t>
      </w:r>
      <w:r w:rsidRPr="00FD2F79">
        <w:rPr>
          <w:b/>
          <w:lang w:val="cs-CZ"/>
        </w:rPr>
        <w:t>„partner“</w:t>
      </w:r>
      <w:r w:rsidRPr="00FD2F79">
        <w:rPr>
          <w:lang w:val="cs-CZ"/>
        </w:rPr>
        <w:t>)</w:t>
      </w:r>
    </w:p>
    <w:p w:rsidR="00B53819" w:rsidRPr="00FD2F79" w:rsidRDefault="00B53819">
      <w:pPr>
        <w:pStyle w:val="Zkladntext"/>
        <w:ind w:left="0"/>
        <w:rPr>
          <w:sz w:val="26"/>
          <w:lang w:val="cs-CZ"/>
        </w:rPr>
      </w:pPr>
    </w:p>
    <w:p w:rsidR="00B53819" w:rsidRPr="00FD2F79" w:rsidRDefault="00B53819">
      <w:pPr>
        <w:pStyle w:val="Zkladntext"/>
        <w:spacing w:before="11"/>
        <w:ind w:left="0"/>
        <w:rPr>
          <w:sz w:val="21"/>
          <w:lang w:val="cs-CZ"/>
        </w:rPr>
      </w:pPr>
    </w:p>
    <w:p w:rsidR="00B53819" w:rsidRPr="00FD2F79" w:rsidRDefault="00C81AE5">
      <w:pPr>
        <w:pStyle w:val="Zkladntext"/>
        <w:ind w:left="116" w:right="115"/>
        <w:jc w:val="both"/>
        <w:rPr>
          <w:lang w:val="cs-CZ"/>
        </w:rPr>
      </w:pPr>
      <w:r w:rsidRPr="00FD2F79">
        <w:rPr>
          <w:lang w:val="cs-CZ"/>
        </w:rPr>
        <w:t xml:space="preserve">Po vzájemné dohodě, vedeni snahou o prohlubování vazby mezi teorií a praxí, školstvím a zdravotnictvím, a k navázání těsnějších vzájemných </w:t>
      </w:r>
      <w:r w:rsidRPr="00FD2F79">
        <w:rPr>
          <w:lang w:val="cs-CZ"/>
        </w:rPr>
        <w:t>vztahů obou subjektů, uzavírají výše uvedené smluvní strany dnešního dne a roku tuto rámcovou smlouvu o partnerství a vzájemné spolupráci (dále jen „smlouva“).</w:t>
      </w:r>
    </w:p>
    <w:p w:rsidR="00B53819" w:rsidRPr="00FD2F79" w:rsidRDefault="00B53819">
      <w:pPr>
        <w:pStyle w:val="Zkladntext"/>
        <w:spacing w:before="11"/>
        <w:ind w:left="0"/>
        <w:rPr>
          <w:sz w:val="23"/>
          <w:lang w:val="cs-CZ"/>
        </w:rPr>
      </w:pPr>
    </w:p>
    <w:p w:rsidR="00B53819" w:rsidRPr="00FD2F79" w:rsidRDefault="00C81AE5">
      <w:pPr>
        <w:pStyle w:val="Zkladntext"/>
        <w:ind w:left="1356" w:right="1361"/>
        <w:jc w:val="center"/>
        <w:rPr>
          <w:lang w:val="cs-CZ"/>
        </w:rPr>
      </w:pPr>
      <w:bookmarkStart w:id="0" w:name="I."/>
      <w:bookmarkStart w:id="1" w:name="Preambule"/>
      <w:bookmarkEnd w:id="0"/>
      <w:bookmarkEnd w:id="1"/>
      <w:r w:rsidRPr="00FD2F79">
        <w:rPr>
          <w:lang w:val="cs-CZ"/>
        </w:rPr>
        <w:t>I.</w:t>
      </w:r>
    </w:p>
    <w:p w:rsidR="00B53819" w:rsidRPr="00FD2F79" w:rsidRDefault="00C81AE5">
      <w:pPr>
        <w:pStyle w:val="Nadpis1"/>
        <w:ind w:left="1357"/>
        <w:rPr>
          <w:lang w:val="cs-CZ"/>
        </w:rPr>
      </w:pPr>
      <w:r w:rsidRPr="00FD2F79">
        <w:rPr>
          <w:lang w:val="cs-CZ"/>
        </w:rPr>
        <w:t>Preambule</w:t>
      </w:r>
    </w:p>
    <w:p w:rsidR="00B53819" w:rsidRPr="00FD2F79" w:rsidRDefault="00C81AE5">
      <w:pPr>
        <w:pStyle w:val="Odstavecseseznamem"/>
        <w:numPr>
          <w:ilvl w:val="0"/>
          <w:numId w:val="9"/>
        </w:numPr>
        <w:tabs>
          <w:tab w:val="left" w:pos="427"/>
          <w:tab w:val="left" w:pos="544"/>
        </w:tabs>
        <w:ind w:hanging="427"/>
        <w:rPr>
          <w:sz w:val="24"/>
          <w:lang w:val="cs-CZ"/>
        </w:rPr>
      </w:pPr>
      <w:r w:rsidRPr="00FD2F79">
        <w:rPr>
          <w:sz w:val="24"/>
          <w:lang w:val="cs-CZ"/>
        </w:rPr>
        <w:t>TUL</w:t>
      </w:r>
      <w:r w:rsidRPr="00FD2F79">
        <w:rPr>
          <w:spacing w:val="29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je</w:t>
      </w:r>
      <w:r w:rsidRPr="00FD2F79">
        <w:rPr>
          <w:spacing w:val="3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veřejnou</w:t>
      </w:r>
      <w:r w:rsidRPr="00FD2F79">
        <w:rPr>
          <w:spacing w:val="3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vysokou</w:t>
      </w:r>
      <w:r w:rsidRPr="00FD2F79">
        <w:rPr>
          <w:spacing w:val="3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školou</w:t>
      </w:r>
      <w:r w:rsidRPr="00FD2F79">
        <w:rPr>
          <w:spacing w:val="3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univerzitního</w:t>
      </w:r>
      <w:r w:rsidRPr="00FD2F79">
        <w:rPr>
          <w:spacing w:val="32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typu,</w:t>
      </w:r>
      <w:r w:rsidRPr="00FD2F79">
        <w:rPr>
          <w:spacing w:val="3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se</w:t>
      </w:r>
      <w:r w:rsidRPr="00FD2F79">
        <w:rPr>
          <w:spacing w:val="3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samosprávou</w:t>
      </w:r>
      <w:r w:rsidRPr="00FD2F79">
        <w:rPr>
          <w:spacing w:val="3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a</w:t>
      </w:r>
      <w:r w:rsidRPr="00FD2F79">
        <w:rPr>
          <w:spacing w:val="36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akademickými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svobodami danými zákonem č. 111/1998 Sb., o vysokých školách, a Statutem TUL.</w:t>
      </w:r>
    </w:p>
    <w:p w:rsidR="00B53819" w:rsidRPr="00FD2F79" w:rsidRDefault="00C81AE5">
      <w:pPr>
        <w:pStyle w:val="Odstavecseseznamem"/>
        <w:numPr>
          <w:ilvl w:val="0"/>
          <w:numId w:val="9"/>
        </w:numPr>
        <w:tabs>
          <w:tab w:val="left" w:pos="544"/>
        </w:tabs>
        <w:ind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Partner je krajskou nemocnicí poskytující zdravotní péči v mnoha</w:t>
      </w:r>
      <w:r w:rsidRPr="00FD2F79">
        <w:rPr>
          <w:spacing w:val="-1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oborech.</w:t>
      </w:r>
    </w:p>
    <w:p w:rsidR="00B53819" w:rsidRPr="00FD2F79" w:rsidRDefault="00B53819">
      <w:pPr>
        <w:jc w:val="both"/>
        <w:rPr>
          <w:sz w:val="24"/>
          <w:lang w:val="cs-CZ"/>
        </w:rPr>
        <w:sectPr w:rsidR="00B53819" w:rsidRPr="00FD2F79">
          <w:headerReference w:type="default" r:id="rId7"/>
          <w:type w:val="continuous"/>
          <w:pgSz w:w="11910" w:h="16840"/>
          <w:pgMar w:top="2220" w:right="1300" w:bottom="280" w:left="1300" w:header="727" w:footer="708" w:gutter="0"/>
          <w:cols w:space="708"/>
        </w:sectPr>
      </w:pPr>
    </w:p>
    <w:p w:rsidR="00B53819" w:rsidRPr="00FD2F79" w:rsidRDefault="00B53819">
      <w:pPr>
        <w:pStyle w:val="Zkladntext"/>
        <w:spacing w:before="3"/>
        <w:ind w:left="0"/>
        <w:rPr>
          <w:sz w:val="16"/>
          <w:lang w:val="cs-CZ"/>
        </w:rPr>
      </w:pPr>
    </w:p>
    <w:p w:rsidR="00B53819" w:rsidRPr="00FD2F79" w:rsidRDefault="00C81AE5">
      <w:pPr>
        <w:pStyle w:val="Zkladntext"/>
        <w:spacing w:before="90"/>
        <w:ind w:left="1356" w:right="1361"/>
        <w:jc w:val="center"/>
        <w:rPr>
          <w:lang w:val="cs-CZ"/>
        </w:rPr>
      </w:pPr>
      <w:r w:rsidRPr="00FD2F79">
        <w:rPr>
          <w:lang w:val="cs-CZ"/>
        </w:rPr>
        <w:t>II.</w:t>
      </w:r>
    </w:p>
    <w:p w:rsidR="00B53819" w:rsidRPr="00FD2F79" w:rsidRDefault="00C81AE5">
      <w:pPr>
        <w:pStyle w:val="Nadpis1"/>
        <w:ind w:left="1359"/>
        <w:rPr>
          <w:lang w:val="cs-CZ"/>
        </w:rPr>
      </w:pPr>
      <w:r w:rsidRPr="00FD2F79">
        <w:rPr>
          <w:lang w:val="cs-CZ"/>
        </w:rPr>
        <w:t xml:space="preserve">Předmět </w:t>
      </w:r>
      <w:r w:rsidRPr="00FD2F79">
        <w:rPr>
          <w:lang w:val="cs-CZ"/>
        </w:rPr>
        <w:t>smlouvy</w:t>
      </w:r>
    </w:p>
    <w:p w:rsidR="00B53819" w:rsidRPr="00FD2F79" w:rsidRDefault="00C81AE5">
      <w:pPr>
        <w:pStyle w:val="Odstavecseseznamem"/>
        <w:numPr>
          <w:ilvl w:val="0"/>
          <w:numId w:val="8"/>
        </w:numPr>
        <w:tabs>
          <w:tab w:val="left" w:pos="543"/>
          <w:tab w:val="left" w:pos="544"/>
        </w:tabs>
        <w:ind w:hanging="427"/>
        <w:rPr>
          <w:sz w:val="24"/>
          <w:lang w:val="cs-CZ"/>
        </w:rPr>
      </w:pPr>
      <w:r w:rsidRPr="00FD2F79">
        <w:rPr>
          <w:sz w:val="24"/>
          <w:lang w:val="cs-CZ"/>
        </w:rPr>
        <w:t>Předmětem této smlouvy je spolupráce smluvních stran v oblasti (dále jen</w:t>
      </w:r>
      <w:r w:rsidRPr="00FD2F79">
        <w:rPr>
          <w:spacing w:val="-19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„</w:t>
      </w:r>
      <w:r w:rsidRPr="00FD2F79">
        <w:rPr>
          <w:b/>
          <w:sz w:val="24"/>
          <w:lang w:val="cs-CZ"/>
        </w:rPr>
        <w:t>spolupráce</w:t>
      </w:r>
      <w:r w:rsidRPr="00FD2F79">
        <w:rPr>
          <w:sz w:val="24"/>
          <w:lang w:val="cs-CZ"/>
        </w:rPr>
        <w:t>“):</w:t>
      </w:r>
    </w:p>
    <w:p w:rsidR="00B53819" w:rsidRPr="00FD2F79" w:rsidRDefault="00C81AE5">
      <w:pPr>
        <w:pStyle w:val="Odstavecseseznamem"/>
        <w:numPr>
          <w:ilvl w:val="1"/>
          <w:numId w:val="8"/>
        </w:numPr>
        <w:tabs>
          <w:tab w:val="left" w:pos="967"/>
          <w:tab w:val="left" w:pos="968"/>
        </w:tabs>
        <w:jc w:val="left"/>
        <w:rPr>
          <w:sz w:val="24"/>
          <w:lang w:val="cs-CZ"/>
        </w:rPr>
      </w:pPr>
      <w:r w:rsidRPr="00FD2F79">
        <w:rPr>
          <w:sz w:val="24"/>
          <w:lang w:val="cs-CZ"/>
        </w:rPr>
        <w:t>Vzdělávací a pedagogické</w:t>
      </w:r>
      <w:r w:rsidRPr="00FD2F79">
        <w:rPr>
          <w:spacing w:val="-8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činnosti;</w:t>
      </w:r>
    </w:p>
    <w:p w:rsidR="00B53819" w:rsidRPr="00FD2F79" w:rsidRDefault="00C81AE5">
      <w:pPr>
        <w:pStyle w:val="Odstavecseseznamem"/>
        <w:numPr>
          <w:ilvl w:val="1"/>
          <w:numId w:val="8"/>
        </w:numPr>
        <w:tabs>
          <w:tab w:val="left" w:pos="967"/>
          <w:tab w:val="left" w:pos="968"/>
        </w:tabs>
        <w:jc w:val="left"/>
        <w:rPr>
          <w:sz w:val="24"/>
          <w:lang w:val="cs-CZ"/>
        </w:rPr>
      </w:pPr>
      <w:r w:rsidRPr="00FD2F79">
        <w:rPr>
          <w:sz w:val="24"/>
          <w:lang w:val="cs-CZ"/>
        </w:rPr>
        <w:t>Vědecké, výzkumné, vývojové a tvůrčí</w:t>
      </w:r>
      <w:r w:rsidRPr="00FD2F79">
        <w:rPr>
          <w:spacing w:val="-11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činnosti;</w:t>
      </w:r>
    </w:p>
    <w:p w:rsidR="00B53819" w:rsidRPr="00FD2F79" w:rsidRDefault="00C81AE5">
      <w:pPr>
        <w:pStyle w:val="Odstavecseseznamem"/>
        <w:numPr>
          <w:ilvl w:val="1"/>
          <w:numId w:val="8"/>
        </w:numPr>
        <w:tabs>
          <w:tab w:val="left" w:pos="967"/>
          <w:tab w:val="left" w:pos="968"/>
        </w:tabs>
        <w:jc w:val="left"/>
        <w:rPr>
          <w:sz w:val="24"/>
          <w:lang w:val="cs-CZ"/>
        </w:rPr>
      </w:pPr>
      <w:r w:rsidRPr="00FD2F79">
        <w:rPr>
          <w:sz w:val="24"/>
          <w:lang w:val="cs-CZ"/>
        </w:rPr>
        <w:t>Internacionalizace a mezinárodních</w:t>
      </w:r>
      <w:r w:rsidRPr="00FD2F79">
        <w:rPr>
          <w:spacing w:val="-9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aktivit;</w:t>
      </w:r>
    </w:p>
    <w:p w:rsidR="00B53819" w:rsidRPr="00FD2F79" w:rsidRDefault="00C81AE5">
      <w:pPr>
        <w:pStyle w:val="Odstavecseseznamem"/>
        <w:numPr>
          <w:ilvl w:val="1"/>
          <w:numId w:val="8"/>
        </w:numPr>
        <w:tabs>
          <w:tab w:val="left" w:pos="967"/>
          <w:tab w:val="left" w:pos="968"/>
        </w:tabs>
        <w:ind w:right="115"/>
        <w:jc w:val="left"/>
        <w:rPr>
          <w:sz w:val="24"/>
          <w:lang w:val="cs-CZ"/>
        </w:rPr>
      </w:pPr>
      <w:r w:rsidRPr="00FD2F79">
        <w:rPr>
          <w:sz w:val="24"/>
          <w:lang w:val="cs-CZ"/>
        </w:rPr>
        <w:t>Informování veřejnosti o činnosti smluvních stran a další činnosti po vzájemné dohodě.</w:t>
      </w:r>
    </w:p>
    <w:p w:rsidR="00B53819" w:rsidRPr="00FD2F79" w:rsidRDefault="00C81AE5">
      <w:pPr>
        <w:pStyle w:val="Odstavecseseznamem"/>
        <w:numPr>
          <w:ilvl w:val="0"/>
          <w:numId w:val="8"/>
        </w:numPr>
        <w:tabs>
          <w:tab w:val="left" w:pos="544"/>
        </w:tabs>
        <w:ind w:right="116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Cílem spolupráce je realizace a rozvoj konkrétních aktivit spolupráce v jednotlivých oblastech, které budou prospěšné oběma</w:t>
      </w:r>
      <w:r w:rsidRPr="00FD2F79">
        <w:rPr>
          <w:spacing w:val="-8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stranám.</w:t>
      </w:r>
    </w:p>
    <w:p w:rsidR="00B53819" w:rsidRPr="00FD2F79" w:rsidRDefault="00C81AE5">
      <w:pPr>
        <w:pStyle w:val="Odstavecseseznamem"/>
        <w:numPr>
          <w:ilvl w:val="0"/>
          <w:numId w:val="8"/>
        </w:numPr>
        <w:tabs>
          <w:tab w:val="left" w:pos="427"/>
          <w:tab w:val="left" w:pos="544"/>
        </w:tabs>
        <w:ind w:hanging="427"/>
        <w:rPr>
          <w:sz w:val="24"/>
          <w:lang w:val="cs-CZ"/>
        </w:rPr>
      </w:pPr>
      <w:r w:rsidRPr="00FD2F79">
        <w:rPr>
          <w:sz w:val="24"/>
          <w:lang w:val="cs-CZ"/>
        </w:rPr>
        <w:t>Předmětem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této</w:t>
      </w:r>
      <w:r w:rsidRPr="00FD2F79">
        <w:rPr>
          <w:spacing w:val="4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smlouvy</w:t>
      </w:r>
      <w:r w:rsidRPr="00FD2F79">
        <w:rPr>
          <w:spacing w:val="42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je</w:t>
      </w:r>
      <w:r w:rsidRPr="00FD2F79">
        <w:rPr>
          <w:spacing w:val="4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stanovení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podmínek,</w:t>
      </w:r>
      <w:r w:rsidRPr="00FD2F79">
        <w:rPr>
          <w:spacing w:val="4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činností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a</w:t>
      </w:r>
      <w:r w:rsidRPr="00FD2F79">
        <w:rPr>
          <w:spacing w:val="4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dalších</w:t>
      </w:r>
      <w:r w:rsidRPr="00FD2F79">
        <w:rPr>
          <w:spacing w:val="4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práv</w:t>
      </w:r>
      <w:r w:rsidRPr="00FD2F79">
        <w:rPr>
          <w:spacing w:val="4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a</w:t>
      </w:r>
      <w:r w:rsidRPr="00FD2F79">
        <w:rPr>
          <w:spacing w:val="4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povinností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TUL a partnera při realizaci spolupráce.</w:t>
      </w:r>
    </w:p>
    <w:p w:rsidR="00B53819" w:rsidRPr="00FD2F79" w:rsidRDefault="00C81AE5">
      <w:pPr>
        <w:pStyle w:val="Odstavecseseznamem"/>
        <w:numPr>
          <w:ilvl w:val="0"/>
          <w:numId w:val="8"/>
        </w:numPr>
        <w:tabs>
          <w:tab w:val="left" w:pos="427"/>
          <w:tab w:val="left" w:pos="544"/>
        </w:tabs>
        <w:ind w:right="1" w:hanging="427"/>
        <w:rPr>
          <w:sz w:val="24"/>
          <w:lang w:val="cs-CZ"/>
        </w:rPr>
      </w:pPr>
      <w:r w:rsidRPr="00FD2F79">
        <w:rPr>
          <w:sz w:val="24"/>
          <w:lang w:val="cs-CZ"/>
        </w:rPr>
        <w:t>Předmětem této smlouvy je i určení vlastnického práva k výsledkům spolupráce</w:t>
      </w:r>
      <w:r w:rsidRPr="00FD2F79">
        <w:rPr>
          <w:spacing w:val="51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založené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touto smlouvou.</w:t>
      </w:r>
    </w:p>
    <w:p w:rsidR="00B53819" w:rsidRPr="00FD2F79" w:rsidRDefault="00C81AE5">
      <w:pPr>
        <w:pStyle w:val="Odstavecseseznamem"/>
        <w:numPr>
          <w:ilvl w:val="0"/>
          <w:numId w:val="8"/>
        </w:numPr>
        <w:tabs>
          <w:tab w:val="left" w:pos="544"/>
        </w:tabs>
        <w:ind w:right="114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Spolupráce smluvních stran bude realizována na základě této smlouv</w:t>
      </w:r>
      <w:r w:rsidRPr="00FD2F79">
        <w:rPr>
          <w:sz w:val="24"/>
          <w:lang w:val="cs-CZ"/>
        </w:rPr>
        <w:t>y a dalších dílčích smluv/objednávek odpovídajících druhu, způsobu a formě spolupráce, které ji budou konkretizovat.</w:t>
      </w:r>
    </w:p>
    <w:p w:rsidR="00B53819" w:rsidRPr="00FD2F79" w:rsidRDefault="00B53819">
      <w:pPr>
        <w:pStyle w:val="Zkladntext"/>
        <w:spacing w:before="8"/>
        <w:ind w:left="0"/>
        <w:rPr>
          <w:sz w:val="23"/>
          <w:lang w:val="cs-CZ"/>
        </w:rPr>
      </w:pPr>
    </w:p>
    <w:p w:rsidR="00B53819" w:rsidRPr="00FD2F79" w:rsidRDefault="00C81AE5">
      <w:pPr>
        <w:pStyle w:val="Zkladntext"/>
        <w:ind w:left="1354" w:right="1361"/>
        <w:jc w:val="center"/>
        <w:rPr>
          <w:lang w:val="cs-CZ"/>
        </w:rPr>
      </w:pPr>
      <w:r w:rsidRPr="00FD2F79">
        <w:rPr>
          <w:lang w:val="cs-CZ"/>
        </w:rPr>
        <w:t>III.</w:t>
      </w:r>
    </w:p>
    <w:p w:rsidR="00B53819" w:rsidRPr="00FD2F79" w:rsidRDefault="00C81AE5">
      <w:pPr>
        <w:pStyle w:val="Nadpis1"/>
        <w:ind w:left="1359"/>
        <w:rPr>
          <w:lang w:val="cs-CZ"/>
        </w:rPr>
      </w:pPr>
      <w:r w:rsidRPr="00FD2F79">
        <w:rPr>
          <w:lang w:val="cs-CZ"/>
        </w:rPr>
        <w:t>Rozdělení činností smluvních stran v rámci spolupráce</w:t>
      </w:r>
    </w:p>
    <w:p w:rsidR="00B53819" w:rsidRPr="00FD2F79" w:rsidRDefault="00C81AE5">
      <w:pPr>
        <w:pStyle w:val="Odstavecseseznamem"/>
        <w:numPr>
          <w:ilvl w:val="0"/>
          <w:numId w:val="7"/>
        </w:numPr>
        <w:tabs>
          <w:tab w:val="left" w:pos="544"/>
        </w:tabs>
        <w:ind w:right="113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Rozdělení činností bude předmětem jednotlivých dílčích smluv/objednávek  vyhotovených k této smlouvě, pokud to povaha a význam předmětné činnosti bude vyžadovat.</w:t>
      </w:r>
    </w:p>
    <w:p w:rsidR="00B53819" w:rsidRPr="00FD2F79" w:rsidRDefault="00C81AE5">
      <w:pPr>
        <w:pStyle w:val="Odstavecseseznamem"/>
        <w:numPr>
          <w:ilvl w:val="0"/>
          <w:numId w:val="7"/>
        </w:numPr>
        <w:tabs>
          <w:tab w:val="left" w:pos="544"/>
        </w:tabs>
        <w:ind w:right="111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V   případě   společných   činností,   které   nejsou   finančně   kryty   a   které   povedou</w:t>
      </w:r>
      <w:r w:rsidRPr="00FD2F79">
        <w:rPr>
          <w:sz w:val="24"/>
          <w:lang w:val="cs-CZ"/>
        </w:rPr>
        <w:t xml:space="preserve">   k oboustranné propagaci anebo k informování veřejnosti, zaměstnanců smluvních stran a studentů o činnosti smluvních stran, budou po vzájemné dohodě poskytovány prostory smluvních stran</w:t>
      </w:r>
      <w:r w:rsidRPr="00FD2F79">
        <w:rPr>
          <w:spacing w:val="-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bezúplatně.</w:t>
      </w:r>
    </w:p>
    <w:p w:rsidR="00B53819" w:rsidRPr="00FD2F79" w:rsidRDefault="00B53819">
      <w:pPr>
        <w:pStyle w:val="Zkladntext"/>
        <w:ind w:left="0"/>
        <w:rPr>
          <w:lang w:val="cs-CZ"/>
        </w:rPr>
      </w:pPr>
    </w:p>
    <w:p w:rsidR="00B53819" w:rsidRPr="00FD2F79" w:rsidRDefault="00C81AE5">
      <w:pPr>
        <w:pStyle w:val="Zkladntext"/>
        <w:spacing w:before="1"/>
        <w:ind w:left="1356" w:right="1361"/>
        <w:jc w:val="center"/>
        <w:rPr>
          <w:lang w:val="cs-CZ"/>
        </w:rPr>
      </w:pPr>
      <w:r w:rsidRPr="00FD2F79">
        <w:rPr>
          <w:lang w:val="cs-CZ"/>
        </w:rPr>
        <w:t>IV.</w:t>
      </w:r>
    </w:p>
    <w:p w:rsidR="00B53819" w:rsidRPr="00FD2F79" w:rsidRDefault="00C81AE5">
      <w:pPr>
        <w:pStyle w:val="Nadpis1"/>
        <w:rPr>
          <w:lang w:val="cs-CZ"/>
        </w:rPr>
      </w:pPr>
      <w:r w:rsidRPr="00FD2F79">
        <w:rPr>
          <w:lang w:val="cs-CZ"/>
        </w:rPr>
        <w:t>Povinnosti smluvních stran</w:t>
      </w:r>
    </w:p>
    <w:p w:rsidR="00B53819" w:rsidRPr="00FD2F79" w:rsidRDefault="00C81AE5">
      <w:pPr>
        <w:pStyle w:val="Odstavecseseznamem"/>
        <w:numPr>
          <w:ilvl w:val="0"/>
          <w:numId w:val="6"/>
        </w:numPr>
        <w:tabs>
          <w:tab w:val="left" w:pos="544"/>
        </w:tabs>
        <w:ind w:right="114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Smluvní strany se zavazu</w:t>
      </w:r>
      <w:r w:rsidRPr="00FD2F79">
        <w:rPr>
          <w:sz w:val="24"/>
          <w:lang w:val="cs-CZ"/>
        </w:rPr>
        <w:t>jí poskytnout si navzájem bezodkladně součinnost pro naplnění cílů</w:t>
      </w:r>
      <w:r w:rsidRPr="00FD2F79">
        <w:rPr>
          <w:spacing w:val="-6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spolupráce.</w:t>
      </w:r>
    </w:p>
    <w:p w:rsidR="00B53819" w:rsidRPr="00FD2F79" w:rsidRDefault="00C81AE5">
      <w:pPr>
        <w:pStyle w:val="Odstavecseseznamem"/>
        <w:numPr>
          <w:ilvl w:val="0"/>
          <w:numId w:val="6"/>
        </w:numPr>
        <w:tabs>
          <w:tab w:val="left" w:pos="544"/>
        </w:tabs>
        <w:ind w:right="114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Smluvní strana je povinna neprodleně písemně informovat druhou smluvní stranu o změně sídla, o přeměně právnické osoby, vstupu do likvidace, probíhajícím insolvenčním řízení a o</w:t>
      </w:r>
      <w:r w:rsidRPr="00FD2F79">
        <w:rPr>
          <w:sz w:val="24"/>
          <w:lang w:val="cs-CZ"/>
        </w:rPr>
        <w:t xml:space="preserve"> dalších skutečnostech zapisovaných do veřejného</w:t>
      </w:r>
      <w:r w:rsidRPr="00FD2F79">
        <w:rPr>
          <w:spacing w:val="-12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rejstříku.</w:t>
      </w:r>
    </w:p>
    <w:p w:rsidR="00B53819" w:rsidRPr="00FD2F79" w:rsidRDefault="00B53819">
      <w:pPr>
        <w:pStyle w:val="Zkladntext"/>
        <w:spacing w:before="11"/>
        <w:ind w:left="0"/>
        <w:rPr>
          <w:sz w:val="23"/>
          <w:lang w:val="cs-CZ"/>
        </w:rPr>
      </w:pPr>
    </w:p>
    <w:p w:rsidR="00B53819" w:rsidRPr="00FD2F79" w:rsidRDefault="00C81AE5">
      <w:pPr>
        <w:pStyle w:val="Zkladntext"/>
        <w:ind w:left="1358" w:right="1361"/>
        <w:jc w:val="center"/>
        <w:rPr>
          <w:lang w:val="cs-CZ"/>
        </w:rPr>
      </w:pPr>
      <w:r w:rsidRPr="00FD2F79">
        <w:rPr>
          <w:lang w:val="cs-CZ"/>
        </w:rPr>
        <w:t>V.</w:t>
      </w:r>
    </w:p>
    <w:p w:rsidR="00B53819" w:rsidRPr="00FD2F79" w:rsidRDefault="00C81AE5">
      <w:pPr>
        <w:pStyle w:val="Nadpis1"/>
        <w:rPr>
          <w:lang w:val="cs-CZ"/>
        </w:rPr>
      </w:pPr>
      <w:r w:rsidRPr="00FD2F79">
        <w:rPr>
          <w:lang w:val="cs-CZ"/>
        </w:rPr>
        <w:t>Práva k hmotnému majetku</w:t>
      </w:r>
    </w:p>
    <w:p w:rsidR="00B53819" w:rsidRPr="00FD2F79" w:rsidRDefault="00C81AE5">
      <w:pPr>
        <w:pStyle w:val="Odstavecseseznamem"/>
        <w:numPr>
          <w:ilvl w:val="0"/>
          <w:numId w:val="5"/>
        </w:numPr>
        <w:tabs>
          <w:tab w:val="left" w:pos="427"/>
          <w:tab w:val="left" w:pos="544"/>
        </w:tabs>
        <w:ind w:right="1" w:hanging="427"/>
        <w:rPr>
          <w:sz w:val="24"/>
          <w:lang w:val="cs-CZ"/>
        </w:rPr>
      </w:pPr>
      <w:r w:rsidRPr="00FD2F79">
        <w:rPr>
          <w:sz w:val="24"/>
          <w:lang w:val="cs-CZ"/>
        </w:rPr>
        <w:t>Vlastníkem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hmotného</w:t>
      </w:r>
      <w:r w:rsidRPr="00FD2F79">
        <w:rPr>
          <w:spacing w:val="42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majetku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vytvořeného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nebo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pořízeného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</w:t>
      </w:r>
      <w:r w:rsidRPr="00FD2F79">
        <w:rPr>
          <w:spacing w:val="-2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rámci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spolupráce</w:t>
      </w:r>
      <w:r w:rsidRPr="00FD2F79">
        <w:rPr>
          <w:spacing w:val="4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je</w:t>
      </w:r>
      <w:r w:rsidRPr="00FD2F79">
        <w:rPr>
          <w:spacing w:val="4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ta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smluvní strana, která jej pořídila nebo vytvořila.</w:t>
      </w:r>
    </w:p>
    <w:p w:rsidR="00B53819" w:rsidRPr="00FD2F79" w:rsidRDefault="00C81AE5">
      <w:pPr>
        <w:pStyle w:val="Odstavecseseznamem"/>
        <w:numPr>
          <w:ilvl w:val="0"/>
          <w:numId w:val="5"/>
        </w:numPr>
        <w:tabs>
          <w:tab w:val="left" w:pos="544"/>
        </w:tabs>
        <w:ind w:right="113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Došlo-li v rámci spolupráce k vytvoření nebo pořízení hmotného majetku společným působením TUL a partnera, je takový majetek v jejich podílovém spoluvlastnictví, a to podle míry, v jaké se na jeho vytvoření podíleli, případně v podílu, na jakém se  dohodno</w:t>
      </w:r>
      <w:r w:rsidRPr="00FD2F79">
        <w:rPr>
          <w:sz w:val="24"/>
          <w:lang w:val="cs-CZ"/>
        </w:rPr>
        <w:t>u; v pochybnostech jsou podíly</w:t>
      </w:r>
      <w:r w:rsidRPr="00FD2F79">
        <w:rPr>
          <w:spacing w:val="-7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rovné.</w:t>
      </w:r>
    </w:p>
    <w:p w:rsidR="00B53819" w:rsidRPr="00FD2F79" w:rsidRDefault="00B53819">
      <w:pPr>
        <w:jc w:val="both"/>
        <w:rPr>
          <w:sz w:val="24"/>
          <w:lang w:val="cs-CZ"/>
        </w:rPr>
        <w:sectPr w:rsidR="00B53819" w:rsidRPr="00FD2F79">
          <w:pgSz w:w="11910" w:h="16840"/>
          <w:pgMar w:top="2220" w:right="1300" w:bottom="280" w:left="1300" w:header="727" w:footer="0" w:gutter="0"/>
          <w:cols w:space="708"/>
        </w:sectPr>
      </w:pPr>
    </w:p>
    <w:p w:rsidR="00B53819" w:rsidRPr="00FD2F79" w:rsidRDefault="00B53819">
      <w:pPr>
        <w:pStyle w:val="Zkladntext"/>
        <w:spacing w:before="3"/>
        <w:ind w:left="0"/>
        <w:rPr>
          <w:sz w:val="16"/>
          <w:lang w:val="cs-CZ"/>
        </w:rPr>
      </w:pPr>
    </w:p>
    <w:p w:rsidR="00B53819" w:rsidRPr="00FD2F79" w:rsidRDefault="00C81AE5">
      <w:pPr>
        <w:pStyle w:val="Odstavecseseznamem"/>
        <w:numPr>
          <w:ilvl w:val="0"/>
          <w:numId w:val="5"/>
        </w:numPr>
        <w:tabs>
          <w:tab w:val="left" w:pos="544"/>
        </w:tabs>
        <w:spacing w:before="90"/>
        <w:ind w:right="115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 xml:space="preserve">TUL i partner jsou povinni nakládat s majetkem ve spoluvlastnictví s péčí řádného hospodáře, zejména jej zabezpečit proti poškození, ztrátě nebo odcizení, a dále jej využívat přednostně pro aktivity </w:t>
      </w:r>
      <w:r w:rsidRPr="00FD2F79">
        <w:rPr>
          <w:sz w:val="24"/>
          <w:lang w:val="cs-CZ"/>
        </w:rPr>
        <w:t>spojené se</w:t>
      </w:r>
      <w:r w:rsidRPr="00FD2F79">
        <w:rPr>
          <w:spacing w:val="-1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spoluprací.</w:t>
      </w:r>
    </w:p>
    <w:p w:rsidR="00B53819" w:rsidRPr="00FD2F79" w:rsidRDefault="00B53819">
      <w:pPr>
        <w:pStyle w:val="Zkladntext"/>
        <w:spacing w:before="11"/>
        <w:ind w:left="0"/>
        <w:rPr>
          <w:sz w:val="23"/>
          <w:lang w:val="cs-CZ"/>
        </w:rPr>
      </w:pPr>
    </w:p>
    <w:p w:rsidR="00B53819" w:rsidRPr="00FD2F79" w:rsidRDefault="00C81AE5">
      <w:pPr>
        <w:pStyle w:val="Zkladntext"/>
        <w:ind w:left="1353" w:right="1361"/>
        <w:jc w:val="center"/>
        <w:rPr>
          <w:lang w:val="cs-CZ"/>
        </w:rPr>
      </w:pPr>
      <w:r w:rsidRPr="00FD2F79">
        <w:rPr>
          <w:lang w:val="cs-CZ"/>
        </w:rPr>
        <w:t>VI.</w:t>
      </w:r>
    </w:p>
    <w:p w:rsidR="00B53819" w:rsidRPr="00FD2F79" w:rsidRDefault="00C81AE5">
      <w:pPr>
        <w:pStyle w:val="Nadpis1"/>
        <w:rPr>
          <w:lang w:val="cs-CZ"/>
        </w:rPr>
      </w:pPr>
      <w:r w:rsidRPr="00FD2F79">
        <w:rPr>
          <w:lang w:val="cs-CZ"/>
        </w:rPr>
        <w:t>Práva duševního vlastnictví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spacing w:line="275" w:lineRule="exact"/>
        <w:ind w:hanging="427"/>
        <w:rPr>
          <w:sz w:val="24"/>
          <w:lang w:val="cs-CZ"/>
        </w:rPr>
      </w:pPr>
      <w:r w:rsidRPr="00FD2F79">
        <w:rPr>
          <w:sz w:val="24"/>
          <w:lang w:val="cs-CZ"/>
        </w:rPr>
        <w:t>Právem duševního vlastnictví se rozumí</w:t>
      </w:r>
      <w:r w:rsidRPr="00FD2F79">
        <w:rPr>
          <w:spacing w:val="-9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zejména:</w:t>
      </w:r>
    </w:p>
    <w:p w:rsidR="00B53819" w:rsidRPr="00FD2F79" w:rsidRDefault="00C81AE5">
      <w:pPr>
        <w:pStyle w:val="Odstavecseseznamem"/>
        <w:numPr>
          <w:ilvl w:val="1"/>
          <w:numId w:val="4"/>
        </w:numPr>
        <w:tabs>
          <w:tab w:val="left" w:pos="824"/>
        </w:tabs>
        <w:spacing w:line="291" w:lineRule="exact"/>
        <w:rPr>
          <w:sz w:val="24"/>
          <w:lang w:val="cs-CZ"/>
        </w:rPr>
      </w:pPr>
      <w:r w:rsidRPr="00FD2F79">
        <w:rPr>
          <w:sz w:val="24"/>
          <w:lang w:val="cs-CZ"/>
        </w:rPr>
        <w:t>autorské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právo,</w:t>
      </w:r>
      <w:r w:rsidRPr="00FD2F79">
        <w:rPr>
          <w:spacing w:val="46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práva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související</w:t>
      </w:r>
      <w:r w:rsidRPr="00FD2F79">
        <w:rPr>
          <w:spacing w:val="46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</w:t>
      </w:r>
      <w:r w:rsidRPr="00FD2F79">
        <w:rPr>
          <w:spacing w:val="-1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právem</w:t>
      </w:r>
      <w:r w:rsidRPr="00FD2F79">
        <w:rPr>
          <w:spacing w:val="46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autorským,</w:t>
      </w:r>
      <w:r w:rsidRPr="00FD2F79">
        <w:rPr>
          <w:spacing w:val="46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právo</w:t>
      </w:r>
      <w:r w:rsidRPr="00FD2F79">
        <w:rPr>
          <w:spacing w:val="46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pořizovatele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databáze</w:t>
      </w:r>
    </w:p>
    <w:p w:rsidR="00B53819" w:rsidRPr="00FD2F79" w:rsidRDefault="00C81AE5">
      <w:pPr>
        <w:pStyle w:val="Zkladntext"/>
        <w:ind w:left="824"/>
        <w:rPr>
          <w:lang w:val="cs-CZ"/>
        </w:rPr>
      </w:pPr>
      <w:r w:rsidRPr="00FD2F79">
        <w:rPr>
          <w:lang w:val="cs-CZ"/>
        </w:rPr>
        <w:t>a know-how,</w:t>
      </w:r>
    </w:p>
    <w:p w:rsidR="00B53819" w:rsidRPr="00FD2F79" w:rsidRDefault="00C81AE5">
      <w:pPr>
        <w:pStyle w:val="Odstavecseseznamem"/>
        <w:numPr>
          <w:ilvl w:val="1"/>
          <w:numId w:val="4"/>
        </w:numPr>
        <w:tabs>
          <w:tab w:val="left" w:pos="824"/>
        </w:tabs>
        <w:ind w:right="117"/>
        <w:rPr>
          <w:sz w:val="24"/>
          <w:lang w:val="cs-CZ"/>
        </w:rPr>
      </w:pPr>
      <w:r w:rsidRPr="00FD2F79">
        <w:rPr>
          <w:sz w:val="24"/>
          <w:lang w:val="cs-CZ"/>
        </w:rPr>
        <w:t>průmyslová práva, ochrana výsledků technické tvůrčí činnos</w:t>
      </w:r>
      <w:r w:rsidRPr="00FD2F79">
        <w:rPr>
          <w:sz w:val="24"/>
          <w:lang w:val="cs-CZ"/>
        </w:rPr>
        <w:t>ti (patenty a užitné vzory) a předmětů průmyslového vlastnictví (průmyslové vzory), práva na  označení (ochranné známky) a konstrukční schémata polovodičových výrobků (topografie polovodičových</w:t>
      </w:r>
      <w:r w:rsidRPr="00FD2F79">
        <w:rPr>
          <w:spacing w:val="-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výrobků).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ind w:right="113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Smluvní strany se zavazují, že duševní vlastnictví v</w:t>
      </w:r>
      <w:r w:rsidRPr="00FD2F79">
        <w:rPr>
          <w:sz w:val="24"/>
          <w:lang w:val="cs-CZ"/>
        </w:rPr>
        <w:t>nesené do spolupráce nebo vzniklé     v jejím rámci nepoužijí v rozporu s jeho účelem, s účelem vzájemné spolupráce určeným touto smlouvou, ve prospěch třetích osob jinak než podle této smlouvy a ani pro vlastní potřebu, která nemá vztah k předmětu spolupr</w:t>
      </w:r>
      <w:r w:rsidRPr="00FD2F79">
        <w:rPr>
          <w:sz w:val="24"/>
          <w:lang w:val="cs-CZ"/>
        </w:rPr>
        <w:t>áce, nebude-li dohodnuto</w:t>
      </w:r>
      <w:r w:rsidRPr="00FD2F79">
        <w:rPr>
          <w:spacing w:val="-9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jinak.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ind w:right="113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Smluvní strany se dohodly na tom, že právo duševního vlastnictví vzniklé v rámci spolupráce upravené touto smlouvou (dále jen „</w:t>
      </w:r>
      <w:r w:rsidRPr="00FD2F79">
        <w:rPr>
          <w:b/>
          <w:sz w:val="24"/>
          <w:lang w:val="cs-CZ"/>
        </w:rPr>
        <w:t>nové duševní vlastnictví</w:t>
      </w:r>
      <w:r w:rsidRPr="00FD2F79">
        <w:rPr>
          <w:sz w:val="24"/>
          <w:lang w:val="cs-CZ"/>
        </w:rPr>
        <w:t>“) je ve vlastnictví  té  smluvní  strany,  která  ho  vytvořila  prostřednictvím  svých  pracovníků   a</w:t>
      </w:r>
      <w:r w:rsidRPr="00FD2F79">
        <w:rPr>
          <w:spacing w:val="-2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pomocí</w:t>
      </w:r>
      <w:r w:rsidRPr="00FD2F79">
        <w:rPr>
          <w:spacing w:val="30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vlastních</w:t>
      </w:r>
      <w:r w:rsidRPr="00FD2F79">
        <w:rPr>
          <w:spacing w:val="30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materiálních</w:t>
      </w:r>
      <w:r w:rsidRPr="00FD2F79">
        <w:rPr>
          <w:spacing w:val="30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a</w:t>
      </w:r>
      <w:r w:rsidRPr="00FD2F79">
        <w:rPr>
          <w:spacing w:val="29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finančních</w:t>
      </w:r>
      <w:r w:rsidRPr="00FD2F79">
        <w:rPr>
          <w:spacing w:val="30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vkladů</w:t>
      </w:r>
      <w:r w:rsidRPr="00FD2F79">
        <w:rPr>
          <w:spacing w:val="30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bez</w:t>
      </w:r>
      <w:r w:rsidRPr="00FD2F79">
        <w:rPr>
          <w:spacing w:val="31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přispění</w:t>
      </w:r>
      <w:r w:rsidRPr="00FD2F79">
        <w:rPr>
          <w:spacing w:val="30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další</w:t>
      </w:r>
      <w:r w:rsidRPr="00FD2F79">
        <w:rPr>
          <w:spacing w:val="30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strany</w:t>
      </w:r>
      <w:r w:rsidRPr="00FD2F79">
        <w:rPr>
          <w:spacing w:val="2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(dále</w:t>
      </w:r>
      <w:r w:rsidRPr="00FD2F79">
        <w:rPr>
          <w:spacing w:val="29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jen</w:t>
      </w:r>
    </w:p>
    <w:p w:rsidR="00B53819" w:rsidRPr="00FD2F79" w:rsidRDefault="00C81AE5">
      <w:pPr>
        <w:ind w:left="543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„</w:t>
      </w:r>
      <w:r w:rsidRPr="00FD2F79">
        <w:rPr>
          <w:b/>
          <w:sz w:val="24"/>
          <w:lang w:val="cs-CZ"/>
        </w:rPr>
        <w:t>vlastník</w:t>
      </w:r>
      <w:r w:rsidRPr="00FD2F79">
        <w:rPr>
          <w:sz w:val="24"/>
          <w:lang w:val="cs-CZ"/>
        </w:rPr>
        <w:t>“).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428"/>
          <w:tab w:val="left" w:pos="544"/>
        </w:tabs>
        <w:ind w:hanging="427"/>
        <w:rPr>
          <w:b/>
          <w:sz w:val="24"/>
          <w:lang w:val="cs-CZ"/>
        </w:rPr>
      </w:pPr>
      <w:r w:rsidRPr="00FD2F79">
        <w:rPr>
          <w:sz w:val="24"/>
          <w:lang w:val="cs-CZ"/>
        </w:rPr>
        <w:t>Vznikne-li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nové</w:t>
      </w:r>
      <w:r w:rsidRPr="00FD2F79">
        <w:rPr>
          <w:spacing w:val="4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duševní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vlastnictví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za</w:t>
      </w:r>
      <w:r w:rsidRPr="00FD2F79">
        <w:rPr>
          <w:spacing w:val="4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přispění</w:t>
      </w:r>
      <w:r w:rsidRPr="00FD2F79">
        <w:rPr>
          <w:spacing w:val="42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druhé</w:t>
      </w:r>
      <w:r w:rsidRPr="00FD2F79">
        <w:rPr>
          <w:spacing w:val="4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smluvní</w:t>
      </w:r>
      <w:r w:rsidRPr="00FD2F79">
        <w:rPr>
          <w:spacing w:val="4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strany</w:t>
      </w:r>
      <w:r w:rsidRPr="00FD2F79">
        <w:rPr>
          <w:spacing w:val="39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(dále</w:t>
      </w:r>
      <w:r w:rsidRPr="00FD2F79">
        <w:rPr>
          <w:spacing w:val="4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jen</w:t>
      </w:r>
      <w:r w:rsidRPr="00FD2F79">
        <w:rPr>
          <w:spacing w:val="4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„</w:t>
      </w:r>
      <w:r w:rsidRPr="00FD2F79">
        <w:rPr>
          <w:b/>
          <w:sz w:val="24"/>
          <w:lang w:val="cs-CZ"/>
        </w:rPr>
        <w:t>nové</w:t>
      </w:r>
    </w:p>
    <w:p w:rsidR="00B53819" w:rsidRPr="00FD2F79" w:rsidRDefault="00C81AE5">
      <w:pPr>
        <w:ind w:left="543"/>
        <w:jc w:val="both"/>
        <w:rPr>
          <w:sz w:val="24"/>
          <w:lang w:val="cs-CZ"/>
        </w:rPr>
      </w:pPr>
      <w:r w:rsidRPr="00FD2F79">
        <w:rPr>
          <w:b/>
          <w:sz w:val="24"/>
          <w:lang w:val="cs-CZ"/>
        </w:rPr>
        <w:t>duševní  spoluvlastnictví</w:t>
      </w:r>
      <w:r w:rsidRPr="00FD2F79">
        <w:rPr>
          <w:sz w:val="24"/>
          <w:lang w:val="cs-CZ"/>
        </w:rPr>
        <w:t>“),   je  ve  spoluvlastnictví   obou   smluvních   stran   (dále jen</w:t>
      </w:r>
    </w:p>
    <w:p w:rsidR="00B53819" w:rsidRPr="00FD2F79" w:rsidRDefault="00C81AE5">
      <w:pPr>
        <w:pStyle w:val="Zkladntext"/>
        <w:ind w:right="114"/>
        <w:jc w:val="both"/>
        <w:rPr>
          <w:lang w:val="cs-CZ"/>
        </w:rPr>
      </w:pPr>
      <w:r w:rsidRPr="00FD2F79">
        <w:rPr>
          <w:lang w:val="cs-CZ"/>
        </w:rPr>
        <w:t>„</w:t>
      </w:r>
      <w:r w:rsidRPr="00FD2F79">
        <w:rPr>
          <w:b/>
          <w:lang w:val="cs-CZ"/>
        </w:rPr>
        <w:t>spoluvlastníci</w:t>
      </w:r>
      <w:r w:rsidRPr="00FD2F79">
        <w:rPr>
          <w:lang w:val="cs-CZ"/>
        </w:rPr>
        <w:t xml:space="preserve">“). Smluvní strany se dohodly, že poměr podílů a rozhodování o  nakládání s novým duševním spoluvlastnictvím </w:t>
      </w:r>
      <w:r w:rsidRPr="00FD2F79">
        <w:rPr>
          <w:lang w:val="cs-CZ"/>
        </w:rPr>
        <w:t>se bude řídit podle míry, v jaké se smluvní   strany   na   jeho    vytvoření    podílely,    nebude-li    dohodnut    poměr   jiný; v pochybnostech jsou podíly</w:t>
      </w:r>
      <w:r w:rsidRPr="00FD2F79">
        <w:rPr>
          <w:spacing w:val="-7"/>
          <w:lang w:val="cs-CZ"/>
        </w:rPr>
        <w:t xml:space="preserve"> </w:t>
      </w:r>
      <w:r w:rsidRPr="00FD2F79">
        <w:rPr>
          <w:lang w:val="cs-CZ"/>
        </w:rPr>
        <w:t>rovné.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ind w:right="113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Smluvní strany jsou povinny chránit nové duševní spoluvlastnictví  způsobem,  který je p</w:t>
      </w:r>
      <w:r w:rsidRPr="00FD2F79">
        <w:rPr>
          <w:sz w:val="24"/>
          <w:lang w:val="cs-CZ"/>
        </w:rPr>
        <w:t>ro ochranu každého druhu duševního vlastnictví nejvýhodnější, vždy však po vzájemné domluvě. Vlastník nebo spoluvlastník (v poměru svého spoluvlastnického podílu) nese náklady spojené s vedením příslušných řízení za účelem dosažení</w:t>
      </w:r>
      <w:r w:rsidRPr="00FD2F79">
        <w:rPr>
          <w:spacing w:val="-1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ochrany.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ind w:right="109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Obě smluvní str</w:t>
      </w:r>
      <w:r w:rsidRPr="00FD2F79">
        <w:rPr>
          <w:sz w:val="24"/>
          <w:lang w:val="cs-CZ"/>
        </w:rPr>
        <w:t xml:space="preserve">any mají právo nové duševní spoluvlastnictví využívat jak v oblasti vědy, výzkumu a vzdělávání, tak v oblasti komerční – tj. v rozsahu zavedení výroby, vlastní výroby, nabídky, prodeje a propagace, vč. uvádění na trh, a to bez omezení množství výroby nebo </w:t>
      </w:r>
      <w:r w:rsidRPr="00FD2F79">
        <w:rPr>
          <w:sz w:val="24"/>
          <w:lang w:val="cs-CZ"/>
        </w:rPr>
        <w:t>prodeje a bez omezení geografického. Smluvní strany v případě potřeby upraví vedení samostatné účetní evidence vztahující se k využívání nového duševního spoluvlastnictví dle tohoto odstavce ve zvláštní dohodě (dílčí smlouvě). Smluvní strany jsou povinny v</w:t>
      </w:r>
      <w:r w:rsidRPr="00FD2F79">
        <w:rPr>
          <w:sz w:val="24"/>
          <w:lang w:val="cs-CZ"/>
        </w:rPr>
        <w:t>yužívat nové duševní spoluvlastnictví způsobem, kterým nezasáhnou do oprávněných zájmů druhého</w:t>
      </w:r>
      <w:r w:rsidRPr="00FD2F79">
        <w:rPr>
          <w:spacing w:val="-7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spoluvlastníka.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ind w:right="111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Smluvní strany se dohodly, že v případě, kdy jedna smluvní strana bude využívat nové duševní spoluvlastnictví v oblasti komerční (dále jen „povin</w:t>
      </w:r>
      <w:r w:rsidRPr="00FD2F79">
        <w:rPr>
          <w:sz w:val="24"/>
          <w:lang w:val="cs-CZ"/>
        </w:rPr>
        <w:t>ný“), poskytne druhé smluvní straně podíl z využití nového duševního spoluvlastnictví. Tento podíl bude vypočítán       z objemu výroby realizované povinným, kdy podíl vyjádřený v % z realizovaného  objemu výroby (ROV) bude sjednán příslušnou dílčí smlouvo</w:t>
      </w:r>
      <w:r w:rsidRPr="00FD2F79">
        <w:rPr>
          <w:sz w:val="24"/>
          <w:lang w:val="cs-CZ"/>
        </w:rPr>
        <w:t>u. Realizovaným objem výroby je  ve  smyslu  tohoto  odstavce  finanční  vyjádření  tržeb  realizovaných</w:t>
      </w:r>
      <w:r w:rsidRPr="00FD2F79">
        <w:rPr>
          <w:spacing w:val="-2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z výroby</w:t>
      </w:r>
    </w:p>
    <w:p w:rsidR="00B53819" w:rsidRPr="00FD2F79" w:rsidRDefault="00B53819">
      <w:pPr>
        <w:jc w:val="both"/>
        <w:rPr>
          <w:sz w:val="24"/>
          <w:lang w:val="cs-CZ"/>
        </w:rPr>
        <w:sectPr w:rsidR="00B53819" w:rsidRPr="00FD2F79">
          <w:pgSz w:w="11910" w:h="16840"/>
          <w:pgMar w:top="2220" w:right="1300" w:bottom="280" w:left="1300" w:header="727" w:footer="0" w:gutter="0"/>
          <w:cols w:space="708"/>
        </w:sectPr>
      </w:pPr>
    </w:p>
    <w:p w:rsidR="00B53819" w:rsidRPr="00FD2F79" w:rsidRDefault="00B53819">
      <w:pPr>
        <w:pStyle w:val="Zkladntext"/>
        <w:spacing w:before="3"/>
        <w:ind w:left="0"/>
        <w:rPr>
          <w:sz w:val="16"/>
          <w:lang w:val="cs-CZ"/>
        </w:rPr>
      </w:pPr>
    </w:p>
    <w:p w:rsidR="00B53819" w:rsidRPr="00FD2F79" w:rsidRDefault="00C81AE5">
      <w:pPr>
        <w:pStyle w:val="Zkladntext"/>
        <w:spacing w:before="90"/>
        <w:ind w:right="114"/>
        <w:jc w:val="both"/>
        <w:rPr>
          <w:lang w:val="cs-CZ"/>
        </w:rPr>
      </w:pPr>
      <w:r w:rsidRPr="00FD2F79">
        <w:rPr>
          <w:lang w:val="cs-CZ"/>
        </w:rPr>
        <w:t>povinného využívající nové duševní spoluvlastnictví, bez daně z přidané hodnoty aplikované ve smyslu zákona č. 235/2004 Sb., o dani z přidané hodnoty, ve znění pozdějších předpisů.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ind w:right="113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Žádná ze smluvních stran není oprávněna udělit bez předchozího písemného so</w:t>
      </w:r>
      <w:r w:rsidRPr="00FD2F79">
        <w:rPr>
          <w:sz w:val="24"/>
          <w:lang w:val="cs-CZ"/>
        </w:rPr>
        <w:t>uhlasu druhé smluvní strany třetí osobě právo užívání (dále jen „</w:t>
      </w:r>
      <w:r w:rsidRPr="00FD2F79">
        <w:rPr>
          <w:b/>
          <w:sz w:val="24"/>
          <w:lang w:val="cs-CZ"/>
        </w:rPr>
        <w:t>licence</w:t>
      </w:r>
      <w:r w:rsidRPr="00FD2F79">
        <w:rPr>
          <w:sz w:val="24"/>
          <w:lang w:val="cs-CZ"/>
        </w:rPr>
        <w:t>“) k novému duševnímu spoluvlastnictví. Bez souhlasu druhé smluvní strany je licence k novému duševnímu spoluvlastnictví udělená jen jednou smluvní stranou neplatná. Licence může být u</w:t>
      </w:r>
      <w:r w:rsidRPr="00FD2F79">
        <w:rPr>
          <w:sz w:val="24"/>
          <w:lang w:val="cs-CZ"/>
        </w:rPr>
        <w:t>dělena samostatnou smlouvou, v níž budou vystupovat partner a TUL jako spoluposkytovatelé licence. Úplata z poskytnuté licence bude mezi smluvní strany rozdělena podle velikosti podílů, pokud nebude dohodnuto</w:t>
      </w:r>
      <w:r w:rsidRPr="00FD2F79">
        <w:rPr>
          <w:spacing w:val="-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jinak.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ind w:right="115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Partner není oprávněn poskytnout licenci</w:t>
      </w:r>
      <w:r w:rsidRPr="00FD2F79">
        <w:rPr>
          <w:sz w:val="24"/>
          <w:lang w:val="cs-CZ"/>
        </w:rPr>
        <w:t xml:space="preserve"> nebo podlicenci k novému duševnímu spoluvlastnictví osobě, která s partnerem tvoří podnikatelské seskupení (ovládající osoba, ovládaná osoba, řízená osoba, řídící osoba, koncern, holding apod.) bez předchozího písemného souhlasu TUL. Totéž platí obdobně i</w:t>
      </w:r>
      <w:r w:rsidRPr="00FD2F79">
        <w:rPr>
          <w:sz w:val="24"/>
          <w:lang w:val="cs-CZ"/>
        </w:rPr>
        <w:t xml:space="preserve"> pro </w:t>
      </w:r>
      <w:proofErr w:type="gramStart"/>
      <w:r w:rsidRPr="00FD2F79">
        <w:rPr>
          <w:sz w:val="24"/>
          <w:lang w:val="cs-CZ"/>
        </w:rPr>
        <w:t>TUL</w:t>
      </w:r>
      <w:proofErr w:type="gramEnd"/>
      <w:r w:rsidRPr="00FD2F79">
        <w:rPr>
          <w:sz w:val="24"/>
          <w:lang w:val="cs-CZ"/>
        </w:rPr>
        <w:t>, která není oprávněna poskytnout licenci výše uvedeným osobám bez předchozího písemného souhlasu  partnera.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ind w:right="114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K převodu podílu k novému duševnímu spoluvlastnictví na třetí stranu je zapotřebí souhlasu obou spoluvlastníků. Převádí-li se spoluvlastnický podíl, případně jeho část, má druhá smluvní strana předkupní právo (dále jen</w:t>
      </w:r>
      <w:r w:rsidRPr="00FD2F79">
        <w:rPr>
          <w:spacing w:val="-12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„předkupník“).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ind w:right="111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Vyjádření ohledně využ</w:t>
      </w:r>
      <w:r w:rsidRPr="00FD2F79">
        <w:rPr>
          <w:sz w:val="24"/>
          <w:lang w:val="cs-CZ"/>
        </w:rPr>
        <w:t xml:space="preserve">ití předkupního práva musí </w:t>
      </w:r>
      <w:r w:rsidRPr="00FD2F79">
        <w:rPr>
          <w:spacing w:val="-2"/>
          <w:sz w:val="24"/>
          <w:lang w:val="cs-CZ"/>
        </w:rPr>
        <w:t xml:space="preserve">být </w:t>
      </w:r>
      <w:r w:rsidRPr="00FD2F79">
        <w:rPr>
          <w:sz w:val="24"/>
          <w:lang w:val="cs-CZ"/>
        </w:rPr>
        <w:t>předkupníkem sděleno druhé straně jako převodci (dále jen „převodce“) do jednoho měsíce od obdržení písemné nabídky převodu, ve které převodce uvede mimo jiné i cenu za převáděný  spoluvlastnický podíl, která je stanovena jak</w:t>
      </w:r>
      <w:r w:rsidRPr="00FD2F79">
        <w:rPr>
          <w:sz w:val="24"/>
          <w:lang w:val="cs-CZ"/>
        </w:rPr>
        <w:t>o tržní hodnota dle střetu nabídky a poptávky na trhu v daném čase, případně znaleckým posudkem, pokud nebude možné zjistit cenu spoluvlastnického podílu dle předchozí věty (dále jen „cena podílu“), a ve které převodce stanoví časového období, po které bud</w:t>
      </w:r>
      <w:r w:rsidRPr="00FD2F79">
        <w:rPr>
          <w:sz w:val="24"/>
          <w:lang w:val="cs-CZ"/>
        </w:rPr>
        <w:t>e nabídka z jeho strany závazná a které nesmí být kratší než 2 měsíce od doručení nabídky</w:t>
      </w:r>
      <w:r w:rsidRPr="00FD2F79">
        <w:rPr>
          <w:spacing w:val="-6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předkupníkovi.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ind w:right="113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V případě, že předkupník sdělí převodci v jednoměsíční lhůtě své rozhodnutí využít předkupní právo, je povinen ve lhůtě, po kterou bude nabídka dle pře</w:t>
      </w:r>
      <w:r w:rsidRPr="00FD2F79">
        <w:rPr>
          <w:sz w:val="24"/>
          <w:lang w:val="cs-CZ"/>
        </w:rPr>
        <w:t>dchozího odstavce závazná, uzavřít příslušnou smlouvu o převodu podílu, případně jeho části, a podíl za cenu uvedenou v nabídce odkoupit. Pokud k uzavření smlouvy nedojde z důvodů na straně převodce, je tento povinen uhradit předkupníkovi za zmaření převod</w:t>
      </w:r>
      <w:r w:rsidRPr="00FD2F79">
        <w:rPr>
          <w:sz w:val="24"/>
          <w:lang w:val="cs-CZ"/>
        </w:rPr>
        <w:t>u smluvní pokutu ve výši jedné třetiny z ceny podílu. V případě, že nedojde ze strany předkupníka   k úhradě ceny podílu ve sjednané lhůtě, ruší se smlouva o převodu od počátku s tím, že předkupní právo předkupníka pro danou nabídku zaniká. Předkupník je p</w:t>
      </w:r>
      <w:r w:rsidRPr="00FD2F79">
        <w:rPr>
          <w:sz w:val="24"/>
          <w:lang w:val="cs-CZ"/>
        </w:rPr>
        <w:t>řevodci zároveň povinen uhradit smluvní pokutu za zmaření převodu podílu, a to ve výši jedné třetiny       z ceny</w:t>
      </w:r>
      <w:r w:rsidRPr="00FD2F79">
        <w:rPr>
          <w:spacing w:val="-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podílu.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604"/>
        </w:tabs>
        <w:ind w:right="115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V případě, že předkupník nebude chtít své předkupní právo využít, sdělí toto rozhodnutí písemně v jednoměsíční lhůtě převodci s tím, ž</w:t>
      </w:r>
      <w:r w:rsidRPr="00FD2F79">
        <w:rPr>
          <w:sz w:val="24"/>
          <w:lang w:val="cs-CZ"/>
        </w:rPr>
        <w:t>e toto své rozhodnutí závazně stvrdí svým prohlášením a podpisem ve smlouvě o převodu spoluvlastnického podílu  mezi převodcem a třetí stranou, která od převodce podíl odkoupí (smlouva musí respektovat podíly a způsob nakládání a využívání duševního vlastn</w:t>
      </w:r>
      <w:r w:rsidRPr="00FD2F79">
        <w:rPr>
          <w:sz w:val="24"/>
          <w:lang w:val="cs-CZ"/>
        </w:rPr>
        <w:t xml:space="preserve">ictví dle této smlouvy). Tato smlouva musí </w:t>
      </w:r>
      <w:r w:rsidRPr="00FD2F79">
        <w:rPr>
          <w:spacing w:val="-2"/>
          <w:sz w:val="24"/>
          <w:lang w:val="cs-CZ"/>
        </w:rPr>
        <w:t xml:space="preserve">být </w:t>
      </w:r>
      <w:r w:rsidRPr="00FD2F79">
        <w:rPr>
          <w:sz w:val="24"/>
          <w:lang w:val="cs-CZ"/>
        </w:rPr>
        <w:t>podepsána nejpozději do konce lhůty, po kterou bude nabídka závazná. Po uplynutí této lhůty již není předkupník svým vyjádřením o nevyužití předkupního práva</w:t>
      </w:r>
      <w:r w:rsidRPr="00FD2F79">
        <w:rPr>
          <w:spacing w:val="-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vázán.</w:t>
      </w:r>
    </w:p>
    <w:p w:rsidR="00B53819" w:rsidRPr="00FD2F79" w:rsidRDefault="00B53819">
      <w:pPr>
        <w:jc w:val="both"/>
        <w:rPr>
          <w:sz w:val="24"/>
          <w:lang w:val="cs-CZ"/>
        </w:rPr>
        <w:sectPr w:rsidR="00B53819" w:rsidRPr="00FD2F79">
          <w:pgSz w:w="11910" w:h="16840"/>
          <w:pgMar w:top="2220" w:right="1300" w:bottom="280" w:left="1300" w:header="727" w:footer="0" w:gutter="0"/>
          <w:cols w:space="708"/>
        </w:sectPr>
      </w:pPr>
    </w:p>
    <w:p w:rsidR="00B53819" w:rsidRPr="00FD2F79" w:rsidRDefault="00B53819">
      <w:pPr>
        <w:pStyle w:val="Zkladntext"/>
        <w:spacing w:before="3"/>
        <w:ind w:left="0"/>
        <w:rPr>
          <w:sz w:val="16"/>
          <w:lang w:val="cs-CZ"/>
        </w:rPr>
      </w:pP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spacing w:before="90"/>
        <w:ind w:right="113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 xml:space="preserve">V případě, že předkupník </w:t>
      </w:r>
      <w:r w:rsidRPr="00FD2F79">
        <w:rPr>
          <w:sz w:val="24"/>
          <w:lang w:val="cs-CZ"/>
        </w:rPr>
        <w:t>písemně sdělí, že nehodlá své předkupní právo využít, ale zároveň odmítá provést prohlášení a podpis ve smlouvě o převodu podílu  mezi převodcem a třetí stranou, je převodce oprávněn uzavřít smlouvu s třetí  stranou uplynutím jednoměsíční lhůty i bez tohot</w:t>
      </w:r>
      <w:r w:rsidRPr="00FD2F79">
        <w:rPr>
          <w:sz w:val="24"/>
          <w:lang w:val="cs-CZ"/>
        </w:rPr>
        <w:t>o prohlášení. V případě, kdy převodce převede svůj podíl za cenu nižší, než je cena podílu, je taková smlouva o převodu podílu</w:t>
      </w:r>
      <w:r w:rsidRPr="00FD2F79">
        <w:rPr>
          <w:spacing w:val="-1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neplatná.</w:t>
      </w:r>
    </w:p>
    <w:p w:rsidR="00B53819" w:rsidRPr="00FD2F79" w:rsidRDefault="00C81AE5">
      <w:pPr>
        <w:pStyle w:val="Odstavecseseznamem"/>
        <w:numPr>
          <w:ilvl w:val="0"/>
          <w:numId w:val="4"/>
        </w:numPr>
        <w:tabs>
          <w:tab w:val="left" w:pos="544"/>
        </w:tabs>
        <w:ind w:hanging="427"/>
        <w:rPr>
          <w:sz w:val="24"/>
          <w:lang w:val="cs-CZ"/>
        </w:rPr>
      </w:pPr>
      <w:r w:rsidRPr="00FD2F79">
        <w:rPr>
          <w:sz w:val="24"/>
          <w:lang w:val="cs-CZ"/>
        </w:rPr>
        <w:t xml:space="preserve">Každá  smluvní  strana  je  oprávněna  uplatňovat  nároky  z porušení  práv   </w:t>
      </w:r>
      <w:r w:rsidRPr="00FD2F79">
        <w:rPr>
          <w:spacing w:val="48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z duševního</w:t>
      </w:r>
    </w:p>
    <w:p w:rsidR="00B53819" w:rsidRPr="00FD2F79" w:rsidRDefault="00C81AE5">
      <w:pPr>
        <w:pStyle w:val="Zkladntext"/>
        <w:jc w:val="both"/>
        <w:rPr>
          <w:lang w:val="cs-CZ"/>
        </w:rPr>
      </w:pPr>
      <w:r w:rsidRPr="00FD2F79">
        <w:rPr>
          <w:lang w:val="cs-CZ"/>
        </w:rPr>
        <w:t>vlastnictví samostatně, nedo</w:t>
      </w:r>
      <w:r w:rsidRPr="00FD2F79">
        <w:rPr>
          <w:lang w:val="cs-CZ"/>
        </w:rPr>
        <w:t>hodnou-li se na společném postupu.</w:t>
      </w:r>
    </w:p>
    <w:p w:rsidR="00B53819" w:rsidRPr="00FD2F79" w:rsidRDefault="00B53819">
      <w:pPr>
        <w:pStyle w:val="Zkladntext"/>
        <w:spacing w:before="11"/>
        <w:ind w:left="0"/>
        <w:rPr>
          <w:sz w:val="23"/>
          <w:lang w:val="cs-CZ"/>
        </w:rPr>
      </w:pPr>
    </w:p>
    <w:p w:rsidR="00B53819" w:rsidRPr="00FD2F79" w:rsidRDefault="00C81AE5">
      <w:pPr>
        <w:pStyle w:val="Zkladntext"/>
        <w:ind w:left="1356" w:right="1361"/>
        <w:jc w:val="center"/>
        <w:rPr>
          <w:lang w:val="cs-CZ"/>
        </w:rPr>
      </w:pPr>
      <w:r w:rsidRPr="00FD2F79">
        <w:rPr>
          <w:lang w:val="cs-CZ"/>
        </w:rPr>
        <w:t>VII.</w:t>
      </w:r>
    </w:p>
    <w:p w:rsidR="00B53819" w:rsidRPr="00FD2F79" w:rsidRDefault="00C81AE5">
      <w:pPr>
        <w:pStyle w:val="Nadpis1"/>
        <w:ind w:left="1360"/>
        <w:rPr>
          <w:lang w:val="cs-CZ"/>
        </w:rPr>
      </w:pPr>
      <w:r w:rsidRPr="00FD2F79">
        <w:rPr>
          <w:lang w:val="cs-CZ"/>
        </w:rPr>
        <w:t>Odpovědnost a sankce</w:t>
      </w:r>
    </w:p>
    <w:p w:rsidR="00B53819" w:rsidRPr="00FD2F79" w:rsidRDefault="00C81AE5">
      <w:pPr>
        <w:pStyle w:val="Odstavecseseznamem"/>
        <w:numPr>
          <w:ilvl w:val="0"/>
          <w:numId w:val="3"/>
        </w:numPr>
        <w:tabs>
          <w:tab w:val="left" w:pos="544"/>
        </w:tabs>
        <w:ind w:right="109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 xml:space="preserve">Za každé podstatné porušení povinností vyplývajících z této smlouvy definované níže je smluvní strana, která ujednání smlouvy porušila, povinna uhradit druhé smluvní straně smluvní pokutu ve výši uvedené níže a druhá smluvní strana je oprávněna od smlouvy </w:t>
      </w:r>
      <w:r w:rsidRPr="00FD2F79">
        <w:rPr>
          <w:sz w:val="24"/>
          <w:lang w:val="cs-CZ"/>
        </w:rPr>
        <w:t>odstoupit. Za podstatné porušení povinností je považováno</w:t>
      </w:r>
      <w:r w:rsidRPr="00FD2F79">
        <w:rPr>
          <w:spacing w:val="-11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následující:</w:t>
      </w:r>
    </w:p>
    <w:p w:rsidR="00B53819" w:rsidRPr="00FD2F79" w:rsidRDefault="00C81AE5">
      <w:pPr>
        <w:pStyle w:val="Odstavecseseznamem"/>
        <w:numPr>
          <w:ilvl w:val="1"/>
          <w:numId w:val="3"/>
        </w:numPr>
        <w:tabs>
          <w:tab w:val="left" w:pos="824"/>
        </w:tabs>
        <w:ind w:right="117"/>
        <w:rPr>
          <w:sz w:val="24"/>
          <w:lang w:val="cs-CZ"/>
        </w:rPr>
      </w:pPr>
      <w:r w:rsidRPr="00FD2F79">
        <w:rPr>
          <w:sz w:val="24"/>
          <w:lang w:val="cs-CZ"/>
        </w:rPr>
        <w:t xml:space="preserve">Neposkytnutí nutné součinnosti (čl. </w:t>
      </w:r>
      <w:r w:rsidRPr="00FD2F79">
        <w:rPr>
          <w:spacing w:val="-3"/>
          <w:sz w:val="24"/>
          <w:lang w:val="cs-CZ"/>
        </w:rPr>
        <w:t xml:space="preserve">IV. </w:t>
      </w:r>
      <w:r w:rsidRPr="00FD2F79">
        <w:rPr>
          <w:sz w:val="24"/>
          <w:lang w:val="cs-CZ"/>
        </w:rPr>
        <w:t>odst. 1 smlouvy) ani v přiměřené dodatečné lhůtě poskytnuté v písemné upomínce druhé smluvní strany – smluvní pokuta ve výši 10.000,- Kč (deset t</w:t>
      </w:r>
      <w:r w:rsidRPr="00FD2F79">
        <w:rPr>
          <w:sz w:val="24"/>
          <w:lang w:val="cs-CZ"/>
        </w:rPr>
        <w:t>isíc korun</w:t>
      </w:r>
      <w:r w:rsidRPr="00FD2F79">
        <w:rPr>
          <w:spacing w:val="-9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českých);</w:t>
      </w:r>
    </w:p>
    <w:p w:rsidR="00B53819" w:rsidRPr="00FD2F79" w:rsidRDefault="00C81AE5">
      <w:pPr>
        <w:pStyle w:val="Odstavecseseznamem"/>
        <w:numPr>
          <w:ilvl w:val="1"/>
          <w:numId w:val="3"/>
        </w:numPr>
        <w:tabs>
          <w:tab w:val="left" w:pos="824"/>
        </w:tabs>
        <w:spacing w:before="2"/>
        <w:rPr>
          <w:sz w:val="24"/>
          <w:lang w:val="cs-CZ"/>
        </w:rPr>
      </w:pPr>
      <w:r w:rsidRPr="00FD2F79">
        <w:rPr>
          <w:sz w:val="24"/>
          <w:lang w:val="cs-CZ"/>
        </w:rPr>
        <w:t xml:space="preserve">Porušení čl. VI této smlouvy – práva duševního vlastnictví (čl. VI. odst. 7, 8, 9, 10)  </w:t>
      </w:r>
      <w:r w:rsidRPr="00FD2F79">
        <w:rPr>
          <w:spacing w:val="52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–</w:t>
      </w:r>
    </w:p>
    <w:p w:rsidR="00B53819" w:rsidRPr="00FD2F79" w:rsidRDefault="00C81AE5">
      <w:pPr>
        <w:pStyle w:val="Zkladntext"/>
        <w:ind w:left="823"/>
        <w:rPr>
          <w:lang w:val="cs-CZ"/>
        </w:rPr>
      </w:pPr>
      <w:r w:rsidRPr="00FD2F79">
        <w:rPr>
          <w:lang w:val="cs-CZ"/>
        </w:rPr>
        <w:t>smluvní pokuta ve výši 50.000,- Kč (padesát tisíc korun českých);</w:t>
      </w:r>
    </w:p>
    <w:p w:rsidR="00B53819" w:rsidRPr="00FD2F79" w:rsidRDefault="00C81AE5">
      <w:pPr>
        <w:pStyle w:val="Odstavecseseznamem"/>
        <w:numPr>
          <w:ilvl w:val="1"/>
          <w:numId w:val="3"/>
        </w:numPr>
        <w:tabs>
          <w:tab w:val="left" w:pos="824"/>
        </w:tabs>
        <w:spacing w:before="1"/>
        <w:rPr>
          <w:sz w:val="24"/>
          <w:lang w:val="cs-CZ"/>
        </w:rPr>
      </w:pPr>
      <w:r w:rsidRPr="00FD2F79">
        <w:rPr>
          <w:sz w:val="24"/>
          <w:lang w:val="cs-CZ"/>
        </w:rPr>
        <w:t xml:space="preserve">Porušení  povinnosti  mlčenlivosti  (čl.  VIII.  smlouvy)  –  smluvní  pokuta </w:t>
      </w:r>
      <w:r w:rsidRPr="00FD2F79">
        <w:rPr>
          <w:sz w:val="24"/>
          <w:lang w:val="cs-CZ"/>
        </w:rPr>
        <w:t xml:space="preserve"> ve    </w:t>
      </w:r>
      <w:r w:rsidRPr="00FD2F79">
        <w:rPr>
          <w:spacing w:val="56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výši</w:t>
      </w:r>
    </w:p>
    <w:p w:rsidR="00B53819" w:rsidRPr="00FD2F79" w:rsidRDefault="00C81AE5">
      <w:pPr>
        <w:pStyle w:val="Zkladntext"/>
        <w:ind w:left="823"/>
        <w:rPr>
          <w:lang w:val="cs-CZ"/>
        </w:rPr>
      </w:pPr>
      <w:r w:rsidRPr="00FD2F79">
        <w:rPr>
          <w:lang w:val="cs-CZ"/>
        </w:rPr>
        <w:t>500.000,- Kč (pět set tisíc korun českých).</w:t>
      </w:r>
    </w:p>
    <w:p w:rsidR="00B53819" w:rsidRPr="00FD2F79" w:rsidRDefault="00C81AE5">
      <w:pPr>
        <w:pStyle w:val="Zkladntext"/>
        <w:ind w:right="116"/>
        <w:jc w:val="both"/>
        <w:rPr>
          <w:lang w:val="cs-CZ"/>
        </w:rPr>
      </w:pPr>
      <w:r w:rsidRPr="00FD2F79">
        <w:rPr>
          <w:lang w:val="cs-CZ"/>
        </w:rPr>
        <w:t>Tímto ujednáním o smluvní pokutě není dotčeno právo na náhradu vzniklé škody. Smluvní pokuta je hrazena na základě faktury se splatností 30 dnů ode dne doručení povinné smluvní straně.</w:t>
      </w:r>
    </w:p>
    <w:p w:rsidR="00B53819" w:rsidRPr="00FD2F79" w:rsidRDefault="00C81AE5">
      <w:pPr>
        <w:pStyle w:val="Odstavecseseznamem"/>
        <w:numPr>
          <w:ilvl w:val="0"/>
          <w:numId w:val="3"/>
        </w:numPr>
        <w:tabs>
          <w:tab w:val="left" w:pos="544"/>
        </w:tabs>
        <w:ind w:right="106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 xml:space="preserve">V případě, kdy smluvní strana poruší své povinnosti vyplývající z této smlouvy nepodstatným způsobem – </w:t>
      </w:r>
      <w:proofErr w:type="gramStart"/>
      <w:r w:rsidRPr="00FD2F79">
        <w:rPr>
          <w:sz w:val="24"/>
          <w:lang w:val="cs-CZ"/>
        </w:rPr>
        <w:t>tzn. poruší</w:t>
      </w:r>
      <w:proofErr w:type="gramEnd"/>
      <w:r w:rsidRPr="00FD2F79">
        <w:rPr>
          <w:sz w:val="24"/>
          <w:lang w:val="cs-CZ"/>
        </w:rPr>
        <w:t xml:space="preserve"> jiné než výše v odst. 1 uvedené povinnosti, je smluvní strana, která byla poškozena, oprávněna na základě písemného upozornění pozastavit dal</w:t>
      </w:r>
      <w:r w:rsidRPr="00FD2F79">
        <w:rPr>
          <w:sz w:val="24"/>
          <w:lang w:val="cs-CZ"/>
        </w:rPr>
        <w:t>ší spolupráci a určit lhůtu k nápravě. Neodstraní-li porušující smluvní strana ve stanovené lhůtě zjištěné nedostatky v plnění povinností vyplývajících z této smlouvy, je poškozená smluvní strana oprávněna od této smlouvy odstoupit. Rozhodnutí o odstoupení</w:t>
      </w:r>
      <w:r w:rsidRPr="00FD2F79">
        <w:rPr>
          <w:sz w:val="24"/>
          <w:lang w:val="cs-CZ"/>
        </w:rPr>
        <w:t xml:space="preserve"> sdělí druhé smluvní straně písemně s udáním</w:t>
      </w:r>
      <w:r w:rsidRPr="00FD2F79">
        <w:rPr>
          <w:spacing w:val="-10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důvodů.</w:t>
      </w:r>
    </w:p>
    <w:p w:rsidR="00B53819" w:rsidRPr="00FD2F79" w:rsidRDefault="00C81AE5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ind w:hanging="427"/>
        <w:rPr>
          <w:sz w:val="24"/>
          <w:lang w:val="cs-CZ"/>
        </w:rPr>
      </w:pPr>
      <w:r w:rsidRPr="00FD2F79">
        <w:rPr>
          <w:sz w:val="24"/>
          <w:lang w:val="cs-CZ"/>
        </w:rPr>
        <w:t>Odpovědnost smluvních stran za škodu se řídí ustanoveními občanského</w:t>
      </w:r>
      <w:r w:rsidRPr="00FD2F79">
        <w:rPr>
          <w:spacing w:val="-10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zákoníku.</w:t>
      </w:r>
    </w:p>
    <w:p w:rsidR="00B53819" w:rsidRPr="00FD2F79" w:rsidRDefault="00B53819">
      <w:pPr>
        <w:pStyle w:val="Zkladntext"/>
        <w:spacing w:before="11"/>
        <w:ind w:left="0"/>
        <w:rPr>
          <w:sz w:val="23"/>
          <w:lang w:val="cs-CZ"/>
        </w:rPr>
      </w:pPr>
    </w:p>
    <w:p w:rsidR="00B53819" w:rsidRPr="00FD2F79" w:rsidRDefault="00C81AE5">
      <w:pPr>
        <w:pStyle w:val="Zkladntext"/>
        <w:ind w:left="1356" w:right="1361"/>
        <w:jc w:val="center"/>
        <w:rPr>
          <w:lang w:val="cs-CZ"/>
        </w:rPr>
      </w:pPr>
      <w:r w:rsidRPr="00FD2F79">
        <w:rPr>
          <w:lang w:val="cs-CZ"/>
        </w:rPr>
        <w:t>VIII.</w:t>
      </w:r>
    </w:p>
    <w:p w:rsidR="00B53819" w:rsidRPr="00FD2F79" w:rsidRDefault="00C81AE5">
      <w:pPr>
        <w:pStyle w:val="Nadpis1"/>
        <w:ind w:left="1360"/>
        <w:rPr>
          <w:lang w:val="cs-CZ"/>
        </w:rPr>
      </w:pPr>
      <w:r w:rsidRPr="00FD2F79">
        <w:rPr>
          <w:lang w:val="cs-CZ"/>
        </w:rPr>
        <w:t>Mlčenlivost</w:t>
      </w:r>
    </w:p>
    <w:p w:rsidR="00B53819" w:rsidRPr="00FD2F79" w:rsidRDefault="00C81AE5">
      <w:pPr>
        <w:pStyle w:val="Odstavecseseznamem"/>
        <w:numPr>
          <w:ilvl w:val="0"/>
          <w:numId w:val="2"/>
        </w:numPr>
        <w:tabs>
          <w:tab w:val="left" w:pos="544"/>
        </w:tabs>
        <w:ind w:right="113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 xml:space="preserve">Smluvní strany se zavazují dodržovat mlčenlivost o všech skutečnostech, které se týkají jejich vzájemné spolupráce vyplývající z této smlouvy i ze všech dalších smluv/objednávek na tuto smlouvu navazujících a které označí za důvěrné, bez ohledu na formu a </w:t>
      </w:r>
      <w:r w:rsidRPr="00FD2F79">
        <w:rPr>
          <w:sz w:val="24"/>
          <w:lang w:val="cs-CZ"/>
        </w:rPr>
        <w:t>způsob jejich sdělení či zachycení, a to až do doby jejich oprávněného zveřejnění (dále jen „důvěrné informace“). Povinnost mlčenlivosti smluvní strany přenesou i na své pracovníky. Pracovníky smluvní strany se pro účely této smlouvy rozumí zaměstnanci sml</w:t>
      </w:r>
      <w:r w:rsidRPr="00FD2F79">
        <w:rPr>
          <w:sz w:val="24"/>
          <w:lang w:val="cs-CZ"/>
        </w:rPr>
        <w:t>uvní strany, případně jiné osoby, které vykonávají činnost pro smluvní stranu na základě jakéhokoliv prokazatelného právního vztahu při plnění závazků vyplývajících      z této</w:t>
      </w:r>
      <w:r w:rsidRPr="00FD2F79">
        <w:rPr>
          <w:spacing w:val="-6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smlouvy.</w:t>
      </w:r>
    </w:p>
    <w:p w:rsidR="00B53819" w:rsidRPr="00FD2F79" w:rsidRDefault="00C81AE5">
      <w:pPr>
        <w:pStyle w:val="Odstavecseseznamem"/>
        <w:numPr>
          <w:ilvl w:val="0"/>
          <w:numId w:val="2"/>
        </w:numPr>
        <w:tabs>
          <w:tab w:val="left" w:pos="544"/>
        </w:tabs>
        <w:ind w:right="115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Poskytnutí důvěrných informací nezakládá žádné právo na licenci, ochra</w:t>
      </w:r>
      <w:r w:rsidRPr="00FD2F79">
        <w:rPr>
          <w:sz w:val="24"/>
          <w:lang w:val="cs-CZ"/>
        </w:rPr>
        <w:t xml:space="preserve">nnou známku, patent,  právo  užití  nebo  šíření  autorského  díla  ani  jakékoliv  jiné  právo    </w:t>
      </w:r>
      <w:r w:rsidRPr="00FD2F79">
        <w:rPr>
          <w:spacing w:val="20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duševního</w:t>
      </w:r>
    </w:p>
    <w:p w:rsidR="00B53819" w:rsidRPr="00FD2F79" w:rsidRDefault="00B53819">
      <w:pPr>
        <w:jc w:val="both"/>
        <w:rPr>
          <w:sz w:val="24"/>
          <w:lang w:val="cs-CZ"/>
        </w:rPr>
        <w:sectPr w:rsidR="00B53819" w:rsidRPr="00FD2F79">
          <w:pgSz w:w="11910" w:h="16840"/>
          <w:pgMar w:top="2220" w:right="1300" w:bottom="280" w:left="1300" w:header="727" w:footer="0" w:gutter="0"/>
          <w:cols w:space="708"/>
        </w:sectPr>
      </w:pPr>
    </w:p>
    <w:p w:rsidR="00B53819" w:rsidRPr="00FD2F79" w:rsidRDefault="00B53819">
      <w:pPr>
        <w:pStyle w:val="Zkladntext"/>
        <w:spacing w:before="3"/>
        <w:ind w:left="0"/>
        <w:rPr>
          <w:sz w:val="16"/>
          <w:lang w:val="cs-CZ"/>
        </w:rPr>
      </w:pPr>
    </w:p>
    <w:p w:rsidR="00B53819" w:rsidRPr="00FD2F79" w:rsidRDefault="00C81AE5">
      <w:pPr>
        <w:pStyle w:val="Zkladntext"/>
        <w:spacing w:before="90"/>
        <w:ind w:right="114"/>
        <w:jc w:val="both"/>
        <w:rPr>
          <w:lang w:val="cs-CZ"/>
        </w:rPr>
      </w:pPr>
      <w:r w:rsidRPr="00FD2F79">
        <w:rPr>
          <w:lang w:val="cs-CZ"/>
        </w:rPr>
        <w:t>vlastnictví. Poskytnutí takových informací druhé smluvní straně neopravňuje tuto stranu vznést námitku priority v řízení týkají</w:t>
      </w:r>
      <w:r w:rsidRPr="00FD2F79">
        <w:rPr>
          <w:lang w:val="cs-CZ"/>
        </w:rPr>
        <w:t>cím se ochrany práv z duševního vlastnictví. Veškeré informace zůstávají i nadále ve vlastnictví poskytující smluvní strany.</w:t>
      </w:r>
    </w:p>
    <w:p w:rsidR="00B53819" w:rsidRPr="00FD2F79" w:rsidRDefault="00C81AE5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spacing w:line="275" w:lineRule="exact"/>
        <w:ind w:hanging="427"/>
        <w:rPr>
          <w:sz w:val="24"/>
          <w:lang w:val="cs-CZ"/>
        </w:rPr>
      </w:pPr>
      <w:r w:rsidRPr="00FD2F79">
        <w:rPr>
          <w:sz w:val="24"/>
          <w:lang w:val="cs-CZ"/>
        </w:rPr>
        <w:t>Povinnost mlčenlivosti se nevztahuje na informace,</w:t>
      </w:r>
      <w:r w:rsidRPr="00FD2F79">
        <w:rPr>
          <w:spacing w:val="-1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které:</w:t>
      </w:r>
    </w:p>
    <w:p w:rsidR="00B53819" w:rsidRPr="00FD2F79" w:rsidRDefault="00C81AE5">
      <w:pPr>
        <w:pStyle w:val="Odstavecseseznamem"/>
        <w:numPr>
          <w:ilvl w:val="1"/>
          <w:numId w:val="2"/>
        </w:numPr>
        <w:tabs>
          <w:tab w:val="left" w:pos="824"/>
        </w:tabs>
        <w:spacing w:line="291" w:lineRule="exact"/>
        <w:rPr>
          <w:sz w:val="24"/>
          <w:lang w:val="cs-CZ"/>
        </w:rPr>
      </w:pPr>
      <w:r w:rsidRPr="00FD2F79">
        <w:rPr>
          <w:sz w:val="24"/>
          <w:lang w:val="cs-CZ"/>
        </w:rPr>
        <w:t>mohou být zveřejněny bez porušení výše uvedených</w:t>
      </w:r>
      <w:r w:rsidRPr="00FD2F79">
        <w:rPr>
          <w:spacing w:val="-11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ujednání,</w:t>
      </w:r>
    </w:p>
    <w:p w:rsidR="00B53819" w:rsidRPr="00FD2F79" w:rsidRDefault="00C81AE5">
      <w:pPr>
        <w:pStyle w:val="Odstavecseseznamem"/>
        <w:numPr>
          <w:ilvl w:val="1"/>
          <w:numId w:val="2"/>
        </w:numPr>
        <w:tabs>
          <w:tab w:val="left" w:pos="824"/>
        </w:tabs>
        <w:ind w:right="115"/>
        <w:jc w:val="left"/>
        <w:rPr>
          <w:sz w:val="24"/>
          <w:lang w:val="cs-CZ"/>
        </w:rPr>
      </w:pPr>
      <w:r w:rsidRPr="00FD2F79">
        <w:rPr>
          <w:sz w:val="24"/>
          <w:lang w:val="cs-CZ"/>
        </w:rPr>
        <w:t xml:space="preserve">budou veřejně </w:t>
      </w:r>
      <w:r w:rsidRPr="00FD2F79">
        <w:rPr>
          <w:sz w:val="24"/>
          <w:lang w:val="cs-CZ"/>
        </w:rPr>
        <w:t>dostupné nebo budou zveřejněny jinak, než porušením povinnosti jedné ze smluvních stran (např. udělením</w:t>
      </w:r>
      <w:r w:rsidRPr="00FD2F79">
        <w:rPr>
          <w:spacing w:val="-9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patentu),</w:t>
      </w:r>
    </w:p>
    <w:p w:rsidR="00B53819" w:rsidRPr="00FD2F79" w:rsidRDefault="00C81AE5">
      <w:pPr>
        <w:pStyle w:val="Odstavecseseznamem"/>
        <w:numPr>
          <w:ilvl w:val="1"/>
          <w:numId w:val="2"/>
        </w:numPr>
        <w:tabs>
          <w:tab w:val="left" w:pos="824"/>
        </w:tabs>
        <w:rPr>
          <w:sz w:val="24"/>
          <w:lang w:val="cs-CZ"/>
        </w:rPr>
      </w:pPr>
      <w:r w:rsidRPr="00FD2F79">
        <w:rPr>
          <w:sz w:val="24"/>
          <w:lang w:val="cs-CZ"/>
        </w:rPr>
        <w:t>budou vyžádány orgánem veřejné moci na základě</w:t>
      </w:r>
      <w:r w:rsidRPr="00FD2F79">
        <w:rPr>
          <w:spacing w:val="-1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zákona.</w:t>
      </w:r>
    </w:p>
    <w:p w:rsidR="00B53819" w:rsidRPr="00FD2F79" w:rsidRDefault="00B53819">
      <w:pPr>
        <w:pStyle w:val="Zkladntext"/>
        <w:spacing w:before="11"/>
        <w:ind w:left="0"/>
        <w:rPr>
          <w:sz w:val="23"/>
          <w:lang w:val="cs-CZ"/>
        </w:rPr>
      </w:pPr>
    </w:p>
    <w:p w:rsidR="00B53819" w:rsidRPr="00FD2F79" w:rsidRDefault="00C81AE5">
      <w:pPr>
        <w:pStyle w:val="Zkladntext"/>
        <w:ind w:left="1356" w:right="1361"/>
        <w:jc w:val="center"/>
        <w:rPr>
          <w:lang w:val="cs-CZ"/>
        </w:rPr>
      </w:pPr>
      <w:r w:rsidRPr="00FD2F79">
        <w:rPr>
          <w:lang w:val="cs-CZ"/>
        </w:rPr>
        <w:t>IX.</w:t>
      </w:r>
    </w:p>
    <w:p w:rsidR="00B53819" w:rsidRPr="00FD2F79" w:rsidRDefault="00C81AE5">
      <w:pPr>
        <w:pStyle w:val="Nadpis1"/>
        <w:rPr>
          <w:lang w:val="cs-CZ"/>
        </w:rPr>
      </w:pPr>
      <w:r w:rsidRPr="00FD2F79">
        <w:rPr>
          <w:lang w:val="cs-CZ"/>
        </w:rPr>
        <w:t>Závěrečná ujednání</w:t>
      </w:r>
    </w:p>
    <w:p w:rsidR="00B53819" w:rsidRPr="00FD2F79" w:rsidRDefault="00C81AE5">
      <w:pPr>
        <w:pStyle w:val="Odstavecseseznamem"/>
        <w:numPr>
          <w:ilvl w:val="0"/>
          <w:numId w:val="1"/>
        </w:numPr>
        <w:tabs>
          <w:tab w:val="left" w:pos="544"/>
        </w:tabs>
        <w:ind w:right="114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Smlouva se uzavírá na dobu neurčitou. Po ukončení smlouvy zůstávají nadále v účinnosti ujednání upravující povinnost mlčenlivosti, ochranu duševního vlastnictví, řešení sporů   a smluvní</w:t>
      </w:r>
      <w:r w:rsidRPr="00FD2F79">
        <w:rPr>
          <w:spacing w:val="-7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pokuty.</w:t>
      </w:r>
    </w:p>
    <w:p w:rsidR="00B53819" w:rsidRPr="00FD2F79" w:rsidRDefault="00C81AE5">
      <w:pPr>
        <w:pStyle w:val="Odstavecseseznamem"/>
        <w:numPr>
          <w:ilvl w:val="0"/>
          <w:numId w:val="1"/>
        </w:numPr>
        <w:tabs>
          <w:tab w:val="left" w:pos="544"/>
        </w:tabs>
        <w:ind w:right="113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Smlouvu lze ukončit vzájemnou písemnou dohodou smluvních stra</w:t>
      </w:r>
      <w:r w:rsidRPr="00FD2F79">
        <w:rPr>
          <w:sz w:val="24"/>
          <w:lang w:val="cs-CZ"/>
        </w:rPr>
        <w:t>n, odstoupením od smlouvy v souladu s čl. VII. smlouvy a také výpovědí bez uvedení důvodu. Výpovědní doba činí 30 dní a počíná běžet ode dne následujícího po dni doručení výpovědi druhé smluvní straně. Smluvní strany jsou po účinnosti výpovědi povinny vypo</w:t>
      </w:r>
      <w:r w:rsidRPr="00FD2F79">
        <w:rPr>
          <w:sz w:val="24"/>
          <w:lang w:val="cs-CZ"/>
        </w:rPr>
        <w:t>řádat své vzájemné</w:t>
      </w:r>
      <w:r w:rsidRPr="00FD2F79">
        <w:rPr>
          <w:spacing w:val="-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závazky.</w:t>
      </w:r>
    </w:p>
    <w:p w:rsidR="00B53819" w:rsidRPr="00FD2F79" w:rsidRDefault="00C81AE5">
      <w:pPr>
        <w:pStyle w:val="Odstavecseseznamem"/>
        <w:numPr>
          <w:ilvl w:val="0"/>
          <w:numId w:val="1"/>
        </w:numPr>
        <w:tabs>
          <w:tab w:val="left" w:pos="427"/>
          <w:tab w:val="left" w:pos="544"/>
        </w:tabs>
        <w:ind w:right="2" w:hanging="427"/>
        <w:rPr>
          <w:sz w:val="24"/>
          <w:lang w:val="cs-CZ"/>
        </w:rPr>
      </w:pPr>
      <w:r w:rsidRPr="00FD2F79">
        <w:rPr>
          <w:sz w:val="24"/>
          <w:lang w:val="cs-CZ"/>
        </w:rPr>
        <w:t>Smlouva  odráží  svobodný  a  vážný  projev  vůle  smluvních  stran.  Právní  vztahy</w:t>
      </w:r>
      <w:r w:rsidRPr="00FD2F79">
        <w:rPr>
          <w:spacing w:val="-1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touto</w:t>
      </w:r>
    </w:p>
    <w:p w:rsidR="00B53819" w:rsidRPr="00FD2F79" w:rsidRDefault="00C81AE5">
      <w:pPr>
        <w:pStyle w:val="Zkladntext"/>
        <w:jc w:val="both"/>
        <w:rPr>
          <w:lang w:val="cs-CZ"/>
        </w:rPr>
      </w:pPr>
      <w:r w:rsidRPr="00FD2F79">
        <w:rPr>
          <w:lang w:val="cs-CZ"/>
        </w:rPr>
        <w:t>smlouvou neupravené se řídí ustanoveními občanského zákoníku.</w:t>
      </w:r>
    </w:p>
    <w:p w:rsidR="00B53819" w:rsidRPr="00FD2F79" w:rsidRDefault="00C81AE5">
      <w:pPr>
        <w:pStyle w:val="Odstavecseseznamem"/>
        <w:numPr>
          <w:ilvl w:val="0"/>
          <w:numId w:val="1"/>
        </w:numPr>
        <w:tabs>
          <w:tab w:val="left" w:pos="544"/>
        </w:tabs>
        <w:ind w:right="116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Práva a povinnosti vyplývající z této smlouvy přecházejí na případné právní</w:t>
      </w:r>
      <w:r w:rsidRPr="00FD2F79">
        <w:rPr>
          <w:sz w:val="24"/>
          <w:lang w:val="cs-CZ"/>
        </w:rPr>
        <w:t xml:space="preserve"> nástupce smluvních stran. Převádět práva a povinnosti z této smlouvy lze jen po písemném souhlasu druhé smluvní</w:t>
      </w:r>
      <w:r w:rsidRPr="00FD2F79">
        <w:rPr>
          <w:spacing w:val="-8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strany.</w:t>
      </w:r>
    </w:p>
    <w:p w:rsidR="00B53819" w:rsidRPr="00FD2F79" w:rsidRDefault="00C81AE5">
      <w:pPr>
        <w:pStyle w:val="Odstavecseseznamem"/>
        <w:numPr>
          <w:ilvl w:val="0"/>
          <w:numId w:val="1"/>
        </w:numPr>
        <w:tabs>
          <w:tab w:val="left" w:pos="544"/>
        </w:tabs>
        <w:ind w:right="116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V případě, že dojde k situaci, kdy se některá ujednání této smlouvy stanou neplatnými, neúčinnými anebo nerealizovatelnými, nebude tím ovlivněna platnost, účinnost nebo realizovatelnost ostatních ujednání této smlouvy a smluvní strany se zavazují neplatné,</w:t>
      </w:r>
      <w:r w:rsidRPr="00FD2F79">
        <w:rPr>
          <w:sz w:val="24"/>
          <w:lang w:val="cs-CZ"/>
        </w:rPr>
        <w:t xml:space="preserve"> neúčinné nebo nerealizovatelné ujednání smlouvy nahradit takovým, které by svým významem co nejlépe odpovídalo původnímu</w:t>
      </w:r>
      <w:r w:rsidRPr="00FD2F79">
        <w:rPr>
          <w:spacing w:val="-8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ujednání.</w:t>
      </w:r>
    </w:p>
    <w:p w:rsidR="00B53819" w:rsidRPr="00FD2F79" w:rsidRDefault="00C81AE5">
      <w:pPr>
        <w:pStyle w:val="Odstavecseseznamem"/>
        <w:numPr>
          <w:ilvl w:val="0"/>
          <w:numId w:val="1"/>
        </w:numPr>
        <w:tabs>
          <w:tab w:val="left" w:pos="544"/>
        </w:tabs>
        <w:ind w:right="115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Smlouva je uzavřena elektronicky. Je-li uzavřena v listinné podobě, pak je vyhotovena ve 2 rovnocenných vyhotoveních, z nich</w:t>
      </w:r>
      <w:r w:rsidRPr="00FD2F79">
        <w:rPr>
          <w:sz w:val="24"/>
          <w:lang w:val="cs-CZ"/>
        </w:rPr>
        <w:t>ž každé má platnost originálu. Každá smluvní strana obdrží po jednom</w:t>
      </w:r>
      <w:r w:rsidRPr="00FD2F79">
        <w:rPr>
          <w:spacing w:val="-6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vyhotovení.</w:t>
      </w:r>
    </w:p>
    <w:p w:rsidR="00B53819" w:rsidRPr="00FD2F79" w:rsidRDefault="00C81AE5">
      <w:pPr>
        <w:pStyle w:val="Odstavecseseznamem"/>
        <w:numPr>
          <w:ilvl w:val="0"/>
          <w:numId w:val="1"/>
        </w:numPr>
        <w:tabs>
          <w:tab w:val="left" w:pos="427"/>
          <w:tab w:val="left" w:pos="544"/>
        </w:tabs>
        <w:ind w:hanging="427"/>
        <w:rPr>
          <w:sz w:val="24"/>
          <w:lang w:val="cs-CZ"/>
        </w:rPr>
      </w:pPr>
      <w:r w:rsidRPr="00FD2F79">
        <w:rPr>
          <w:sz w:val="24"/>
          <w:lang w:val="cs-CZ"/>
        </w:rPr>
        <w:t xml:space="preserve">Změny   a   doplňky   této   smlouvy   je   možné   provádět   pouze   písemnými  </w:t>
      </w:r>
      <w:r w:rsidRPr="00FD2F79">
        <w:rPr>
          <w:spacing w:val="5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dodatky</w:t>
      </w:r>
    </w:p>
    <w:p w:rsidR="00B53819" w:rsidRPr="00FD2F79" w:rsidRDefault="00C81AE5">
      <w:pPr>
        <w:pStyle w:val="Zkladntext"/>
        <w:jc w:val="both"/>
        <w:rPr>
          <w:lang w:val="cs-CZ"/>
        </w:rPr>
      </w:pPr>
      <w:r w:rsidRPr="00FD2F79">
        <w:rPr>
          <w:lang w:val="cs-CZ"/>
        </w:rPr>
        <w:t>podepsanými oběma smluvními stranami.</w:t>
      </w:r>
    </w:p>
    <w:p w:rsidR="00B53819" w:rsidRPr="00FD2F79" w:rsidRDefault="00C81AE5">
      <w:pPr>
        <w:pStyle w:val="Odstavecseseznamem"/>
        <w:numPr>
          <w:ilvl w:val="0"/>
          <w:numId w:val="1"/>
        </w:numPr>
        <w:tabs>
          <w:tab w:val="left" w:pos="544"/>
        </w:tabs>
        <w:ind w:right="113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Smlouva nabývá platnosti dnem oboustranného po</w:t>
      </w:r>
      <w:r w:rsidRPr="00FD2F79">
        <w:rPr>
          <w:sz w:val="24"/>
          <w:lang w:val="cs-CZ"/>
        </w:rPr>
        <w:t>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</w:t>
      </w:r>
      <w:r w:rsidRPr="00FD2F79">
        <w:rPr>
          <w:sz w:val="24"/>
          <w:lang w:val="cs-CZ"/>
        </w:rPr>
        <w:t xml:space="preserve"> této smlouvy se považuje za plnění podle této smlouvy a práva a povinnosti z něj vzniklé se řídí touto smlouvou. Smlouva bude uveřejněna Technickou univerzitou v Liberci dle zákona č. 340/2015 Sb. (o registru smluv) v registru smluv, s čímž obě smluvní st</w:t>
      </w:r>
      <w:r w:rsidRPr="00FD2F79">
        <w:rPr>
          <w:sz w:val="24"/>
          <w:lang w:val="cs-CZ"/>
        </w:rPr>
        <w:t>rany výslovně souhlasí. Smluvní strany jsou v této souvislosti povinny označit ve smlouvě údaje, které jsou předmětem anonymizace a nebudou ve smyslu zákona o registru smluv zveřejněny. TUL nenese žádnou odpovědnost za zveřejnění takto neoznačených</w:t>
      </w:r>
      <w:r w:rsidRPr="00FD2F79">
        <w:rPr>
          <w:spacing w:val="-9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údajů.</w:t>
      </w:r>
    </w:p>
    <w:p w:rsidR="00B53819" w:rsidRPr="00FD2F79" w:rsidRDefault="00B53819">
      <w:pPr>
        <w:jc w:val="both"/>
        <w:rPr>
          <w:sz w:val="24"/>
          <w:lang w:val="cs-CZ"/>
        </w:rPr>
        <w:sectPr w:rsidR="00B53819" w:rsidRPr="00FD2F79">
          <w:pgSz w:w="11910" w:h="16840"/>
          <w:pgMar w:top="2220" w:right="1300" w:bottom="280" w:left="1300" w:header="727" w:footer="0" w:gutter="0"/>
          <w:cols w:space="708"/>
        </w:sectPr>
      </w:pPr>
    </w:p>
    <w:p w:rsidR="00B53819" w:rsidRPr="00FD2F79" w:rsidRDefault="00B53819">
      <w:pPr>
        <w:pStyle w:val="Zkladntext"/>
        <w:spacing w:before="3"/>
        <w:ind w:left="0"/>
        <w:rPr>
          <w:sz w:val="16"/>
          <w:lang w:val="cs-CZ"/>
        </w:rPr>
      </w:pPr>
    </w:p>
    <w:p w:rsidR="00B53819" w:rsidRPr="00FD2F79" w:rsidRDefault="00C81AE5">
      <w:pPr>
        <w:pStyle w:val="Odstavecseseznamem"/>
        <w:numPr>
          <w:ilvl w:val="0"/>
          <w:numId w:val="1"/>
        </w:numPr>
        <w:tabs>
          <w:tab w:val="left" w:pos="544"/>
        </w:tabs>
        <w:spacing w:before="90"/>
        <w:ind w:right="196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>Veškeré spory mezi smluvními stranami vzniklé z této smlouvy budou řešeny smírnou cestou. Nebude-li smírného řešení dosaženo, sjednávají si smluvní strany místní příslušnost věcně příslušného soudu určenou dle sídla</w:t>
      </w:r>
      <w:r w:rsidRPr="00FD2F79">
        <w:rPr>
          <w:spacing w:val="-13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TUL.</w:t>
      </w:r>
    </w:p>
    <w:p w:rsidR="00B53819" w:rsidRPr="00FD2F79" w:rsidRDefault="00C81AE5">
      <w:pPr>
        <w:pStyle w:val="Odstavecseseznamem"/>
        <w:numPr>
          <w:ilvl w:val="0"/>
          <w:numId w:val="1"/>
        </w:numPr>
        <w:tabs>
          <w:tab w:val="left" w:pos="544"/>
        </w:tabs>
        <w:ind w:right="196" w:hanging="427"/>
        <w:jc w:val="both"/>
        <w:rPr>
          <w:sz w:val="24"/>
          <w:lang w:val="cs-CZ"/>
        </w:rPr>
      </w:pPr>
      <w:r w:rsidRPr="00FD2F79">
        <w:rPr>
          <w:sz w:val="24"/>
          <w:lang w:val="cs-CZ"/>
        </w:rPr>
        <w:t xml:space="preserve">Tato smlouva v plném rozsahu a zcela nahrazuje Smlouvu o vzájemné spolupráci uzavřenou mezi smluvními stranami dne </w:t>
      </w:r>
      <w:proofErr w:type="gramStart"/>
      <w:r w:rsidRPr="00FD2F79">
        <w:rPr>
          <w:sz w:val="24"/>
          <w:lang w:val="cs-CZ"/>
        </w:rPr>
        <w:t>17.04.2013</w:t>
      </w:r>
      <w:proofErr w:type="gramEnd"/>
      <w:r w:rsidRPr="00FD2F79">
        <w:rPr>
          <w:sz w:val="24"/>
          <w:lang w:val="cs-CZ"/>
        </w:rPr>
        <w:t xml:space="preserve"> (KNL č. S2013/00264/00) včetně všech dodatků této smlouvy. Platnost a účinnost jednotlivých dílčích smluv, uzavřených na základě u</w:t>
      </w:r>
      <w:r w:rsidRPr="00FD2F79">
        <w:rPr>
          <w:sz w:val="24"/>
          <w:lang w:val="cs-CZ"/>
        </w:rPr>
        <w:t>vedené původní Smlouvy o vzájemné spolupráci, tím není</w:t>
      </w:r>
      <w:r w:rsidRPr="00FD2F79">
        <w:rPr>
          <w:spacing w:val="-14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dotčena.</w:t>
      </w:r>
    </w:p>
    <w:p w:rsidR="00B53819" w:rsidRPr="00FD2F79" w:rsidRDefault="00C81AE5">
      <w:pPr>
        <w:pStyle w:val="Odstavecseseznamem"/>
        <w:numPr>
          <w:ilvl w:val="0"/>
          <w:numId w:val="1"/>
        </w:numPr>
        <w:tabs>
          <w:tab w:val="left" w:pos="544"/>
        </w:tabs>
        <w:ind w:hanging="427"/>
        <w:rPr>
          <w:sz w:val="24"/>
          <w:lang w:val="cs-CZ"/>
        </w:rPr>
      </w:pPr>
      <w:r w:rsidRPr="00FD2F79">
        <w:rPr>
          <w:sz w:val="24"/>
          <w:lang w:val="cs-CZ"/>
        </w:rPr>
        <w:t>Obě smluvní strany prohlašují, že si smlouvu pečlivě přečetly, a na důkaz souhlasu s</w:t>
      </w:r>
      <w:r w:rsidRPr="00FD2F79">
        <w:rPr>
          <w:spacing w:val="-1"/>
          <w:sz w:val="24"/>
          <w:lang w:val="cs-CZ"/>
        </w:rPr>
        <w:t xml:space="preserve"> </w:t>
      </w:r>
      <w:r w:rsidRPr="00FD2F79">
        <w:rPr>
          <w:sz w:val="24"/>
          <w:lang w:val="cs-CZ"/>
        </w:rPr>
        <w:t>výše</w:t>
      </w:r>
    </w:p>
    <w:p w:rsidR="00B53819" w:rsidRPr="00FD2F79" w:rsidRDefault="00C81AE5">
      <w:pPr>
        <w:pStyle w:val="Zkladntext"/>
        <w:rPr>
          <w:lang w:val="cs-CZ"/>
        </w:rPr>
      </w:pPr>
      <w:r w:rsidRPr="00FD2F79">
        <w:rPr>
          <w:lang w:val="cs-CZ"/>
        </w:rPr>
        <w:t>uvedenými ujednáními připojují své podpisy:</w:t>
      </w:r>
    </w:p>
    <w:p w:rsidR="00B53819" w:rsidRPr="00FD2F79" w:rsidRDefault="00B53819">
      <w:pPr>
        <w:pStyle w:val="Zkladntext"/>
        <w:spacing w:before="10"/>
        <w:ind w:left="0"/>
        <w:rPr>
          <w:lang w:val="cs-CZ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AD2E06" w:rsidRPr="00277CE0" w:rsidTr="002D6402">
        <w:trPr>
          <w:trHeight w:val="1648"/>
          <w:jc w:val="center"/>
        </w:trPr>
        <w:tc>
          <w:tcPr>
            <w:tcW w:w="4607" w:type="dxa"/>
            <w:shd w:val="clear" w:color="auto" w:fill="auto"/>
          </w:tcPr>
          <w:p w:rsidR="00AD2E06" w:rsidRPr="00B4691C" w:rsidRDefault="00AD2E06" w:rsidP="002D6402">
            <w:pPr>
              <w:keepNext/>
              <w:spacing w:after="60"/>
              <w:jc w:val="center"/>
            </w:pPr>
            <w:r w:rsidRPr="00B4691C">
              <w:rPr>
                <w:b/>
              </w:rPr>
              <w:t>Krajská nemocnice Liberec, a.s.</w:t>
            </w:r>
          </w:p>
          <w:p w:rsidR="00AD2E06" w:rsidRPr="00B4691C" w:rsidRDefault="00AD2E06" w:rsidP="002D6402">
            <w:pPr>
              <w:keepNext/>
              <w:spacing w:after="60"/>
              <w:jc w:val="center"/>
            </w:pPr>
          </w:p>
          <w:p w:rsidR="00AD2E06" w:rsidRDefault="00AD2E06" w:rsidP="002D6402">
            <w:pPr>
              <w:keepNext/>
              <w:jc w:val="center"/>
            </w:pPr>
          </w:p>
          <w:p w:rsidR="00AD2E06" w:rsidRPr="00B4691C" w:rsidRDefault="00AD2E06" w:rsidP="002D6402">
            <w:pPr>
              <w:keepNext/>
              <w:spacing w:after="60"/>
              <w:jc w:val="center"/>
            </w:pPr>
            <w:r w:rsidRPr="00B4691C">
              <w:t>………………………………………….</w:t>
            </w:r>
          </w:p>
          <w:p w:rsidR="00AD2E06" w:rsidRPr="00B4691C" w:rsidRDefault="00AD2E06" w:rsidP="002D6402">
            <w:pPr>
              <w:keepNext/>
              <w:spacing w:after="60"/>
              <w:jc w:val="center"/>
            </w:pPr>
            <w:r>
              <w:t>xxxxx</w:t>
            </w:r>
          </w:p>
          <w:p w:rsidR="00AD2E06" w:rsidRPr="00B4691C" w:rsidRDefault="00AD2E06" w:rsidP="00C81AE5">
            <w:pPr>
              <w:keepNext/>
              <w:spacing w:after="60"/>
              <w:jc w:val="center"/>
            </w:pPr>
            <w:r w:rsidRPr="00B4691C">
              <w:t>V </w:t>
            </w:r>
            <w:r w:rsidRPr="00B4691C">
              <w:fldChar w:fldCharType="begin">
                <w:ffData>
                  <w:name w:val="Text42"/>
                  <w:enabled/>
                  <w:calcOnExit w:val="0"/>
                  <w:textInput>
                    <w:default w:val="Liberci"/>
                  </w:textInput>
                </w:ffData>
              </w:fldChar>
            </w:r>
            <w:r w:rsidRPr="00B4691C">
              <w:instrText xml:space="preserve"> </w:instrText>
            </w:r>
            <w:bookmarkStart w:id="2" w:name="Text42"/>
            <w:r w:rsidRPr="00B4691C">
              <w:instrText xml:space="preserve">FORMTEXT </w:instrText>
            </w:r>
            <w:r w:rsidRPr="00B4691C">
              <w:fldChar w:fldCharType="separate"/>
            </w:r>
            <w:r w:rsidRPr="00B4691C">
              <w:rPr>
                <w:noProof/>
              </w:rPr>
              <w:t>Liberci</w:t>
            </w:r>
            <w:r w:rsidRPr="00B4691C">
              <w:fldChar w:fldCharType="end"/>
            </w:r>
            <w:bookmarkEnd w:id="2"/>
            <w:r w:rsidRPr="00B4691C">
              <w:t xml:space="preserve"> dne </w:t>
            </w:r>
            <w:r w:rsidR="00671A42">
              <w:t>21</w:t>
            </w:r>
            <w:r>
              <w:t xml:space="preserve">. </w:t>
            </w:r>
            <w:proofErr w:type="gramStart"/>
            <w:r w:rsidR="00671A42">
              <w:t>a</w:t>
            </w:r>
            <w:proofErr w:type="gramEnd"/>
            <w:r w:rsidR="00671A42">
              <w:t xml:space="preserve"> 26. 2.</w:t>
            </w:r>
            <w:r>
              <w:t xml:space="preserve"> 202</w:t>
            </w:r>
            <w:r w:rsidR="00671A42">
              <w:t>4</w:t>
            </w:r>
            <w:bookmarkStart w:id="3" w:name="_GoBack"/>
            <w:bookmarkEnd w:id="3"/>
          </w:p>
        </w:tc>
        <w:tc>
          <w:tcPr>
            <w:tcW w:w="4607" w:type="dxa"/>
            <w:shd w:val="clear" w:color="auto" w:fill="auto"/>
          </w:tcPr>
          <w:p w:rsidR="00AD2E06" w:rsidRPr="00B4691C" w:rsidRDefault="00AD2E06" w:rsidP="002D6402">
            <w:pPr>
              <w:keepNext/>
              <w:jc w:val="center"/>
            </w:pPr>
            <w:r w:rsidRPr="00B4691C">
              <w:rPr>
                <w:b/>
                <w:bCs/>
              </w:rPr>
              <w:t>Technická univerzita v Liberci</w:t>
            </w:r>
          </w:p>
          <w:p w:rsidR="00AD2E06" w:rsidRDefault="00AD2E06" w:rsidP="002D6402">
            <w:pPr>
              <w:keepNext/>
              <w:spacing w:after="120"/>
              <w:jc w:val="center"/>
              <w:rPr>
                <w:b/>
              </w:rPr>
            </w:pPr>
          </w:p>
          <w:p w:rsidR="00671A42" w:rsidRPr="007B394C" w:rsidRDefault="00671A42" w:rsidP="00671A42">
            <w:pPr>
              <w:keepNext/>
              <w:jc w:val="center"/>
              <w:rPr>
                <w:b/>
              </w:rPr>
            </w:pPr>
          </w:p>
          <w:p w:rsidR="00AD2E06" w:rsidRPr="00B4691C" w:rsidRDefault="00AD2E06" w:rsidP="002D6402">
            <w:pPr>
              <w:keepNext/>
              <w:spacing w:after="60"/>
              <w:jc w:val="center"/>
            </w:pPr>
            <w:r w:rsidRPr="00B4691C">
              <w:t>……………………………………………</w:t>
            </w:r>
          </w:p>
          <w:p w:rsidR="00AD2E06" w:rsidRPr="00B4691C" w:rsidRDefault="00AD2E06" w:rsidP="002D6402">
            <w:pPr>
              <w:keepNext/>
              <w:spacing w:after="60"/>
              <w:jc w:val="center"/>
            </w:pPr>
            <w:r>
              <w:t>xxxxx</w:t>
            </w:r>
          </w:p>
          <w:p w:rsidR="00AD2E06" w:rsidRPr="00277CE0" w:rsidRDefault="00AD2E06" w:rsidP="00671A42">
            <w:pPr>
              <w:keepNext/>
              <w:jc w:val="center"/>
            </w:pPr>
            <w:r w:rsidRPr="00B4691C">
              <w:t xml:space="preserve">V Liberci dne </w:t>
            </w:r>
            <w:r w:rsidR="00671A42">
              <w:t>21</w:t>
            </w:r>
            <w:r>
              <w:t xml:space="preserve">. </w:t>
            </w:r>
            <w:r w:rsidR="00671A42">
              <w:t>2</w:t>
            </w:r>
            <w:r>
              <w:t>. 202</w:t>
            </w:r>
            <w:r w:rsidR="00671A42">
              <w:t>4</w:t>
            </w:r>
          </w:p>
        </w:tc>
      </w:tr>
    </w:tbl>
    <w:p w:rsidR="00AD2E06" w:rsidRDefault="00AD2E06" w:rsidP="00AD2E06"/>
    <w:sectPr w:rsidR="00AD2E06">
      <w:pgSz w:w="11910" w:h="16840"/>
      <w:pgMar w:top="2220" w:right="1220" w:bottom="280" w:left="1300" w:header="7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1AE5">
      <w:r>
        <w:separator/>
      </w:r>
    </w:p>
  </w:endnote>
  <w:endnote w:type="continuationSeparator" w:id="0">
    <w:p w:rsidR="00000000" w:rsidRDefault="00C8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1AE5">
      <w:r>
        <w:separator/>
      </w:r>
    </w:p>
  </w:footnote>
  <w:footnote w:type="continuationSeparator" w:id="0">
    <w:p w:rsidR="00000000" w:rsidRDefault="00C8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19" w:rsidRDefault="00C81AE5">
    <w:pPr>
      <w:pStyle w:val="Zkladntext"/>
      <w:spacing w:line="14" w:lineRule="auto"/>
      <w:ind w:left="0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8647" behindDoc="1" locked="0" layoutInCell="1" allowOverlap="1">
          <wp:simplePos x="0" y="0"/>
          <wp:positionH relativeFrom="page">
            <wp:posOffset>5707378</wp:posOffset>
          </wp:positionH>
          <wp:positionV relativeFrom="page">
            <wp:posOffset>461644</wp:posOffset>
          </wp:positionV>
          <wp:extent cx="951228" cy="9512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228" cy="951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68428671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545465</wp:posOffset>
          </wp:positionV>
          <wp:extent cx="1477644" cy="82803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7644" cy="828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004"/>
    <w:multiLevelType w:val="hybridMultilevel"/>
    <w:tmpl w:val="7AD265BA"/>
    <w:lvl w:ilvl="0" w:tplc="19EE10C6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C0E21840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C5C8459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23DE60A2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ADB23666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5BE0FD18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1DC0BC78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C4C2D512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9D8C6A02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" w15:restartNumberingAfterBreak="0">
    <w:nsid w:val="13E73414"/>
    <w:multiLevelType w:val="hybridMultilevel"/>
    <w:tmpl w:val="20F22CF8"/>
    <w:lvl w:ilvl="0" w:tplc="9684AEC6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97E6D184">
      <w:numFmt w:val="bullet"/>
      <w:lvlText w:val="-"/>
      <w:lvlJc w:val="left"/>
      <w:pPr>
        <w:ind w:left="824" w:hanging="281"/>
      </w:pPr>
      <w:rPr>
        <w:rFonts w:ascii="Tahoma" w:eastAsia="Tahoma" w:hAnsi="Tahoma" w:cs="Tahoma" w:hint="default"/>
        <w:spacing w:val="-32"/>
        <w:w w:val="99"/>
        <w:sz w:val="24"/>
        <w:szCs w:val="24"/>
      </w:rPr>
    </w:lvl>
    <w:lvl w:ilvl="2" w:tplc="40161D96">
      <w:numFmt w:val="bullet"/>
      <w:lvlText w:val="•"/>
      <w:lvlJc w:val="left"/>
      <w:pPr>
        <w:ind w:left="1762" w:hanging="281"/>
      </w:pPr>
      <w:rPr>
        <w:rFonts w:hint="default"/>
      </w:rPr>
    </w:lvl>
    <w:lvl w:ilvl="3" w:tplc="8BCCBADA">
      <w:numFmt w:val="bullet"/>
      <w:lvlText w:val="•"/>
      <w:lvlJc w:val="left"/>
      <w:pPr>
        <w:ind w:left="2705" w:hanging="281"/>
      </w:pPr>
      <w:rPr>
        <w:rFonts w:hint="default"/>
      </w:rPr>
    </w:lvl>
    <w:lvl w:ilvl="4" w:tplc="C6D0A9E8">
      <w:numFmt w:val="bullet"/>
      <w:lvlText w:val="•"/>
      <w:lvlJc w:val="left"/>
      <w:pPr>
        <w:ind w:left="3648" w:hanging="281"/>
      </w:pPr>
      <w:rPr>
        <w:rFonts w:hint="default"/>
      </w:rPr>
    </w:lvl>
    <w:lvl w:ilvl="5" w:tplc="CE10E6FC">
      <w:numFmt w:val="bullet"/>
      <w:lvlText w:val="•"/>
      <w:lvlJc w:val="left"/>
      <w:pPr>
        <w:ind w:left="4591" w:hanging="281"/>
      </w:pPr>
      <w:rPr>
        <w:rFonts w:hint="default"/>
      </w:rPr>
    </w:lvl>
    <w:lvl w:ilvl="6" w:tplc="EBA6E484">
      <w:numFmt w:val="bullet"/>
      <w:lvlText w:val="•"/>
      <w:lvlJc w:val="left"/>
      <w:pPr>
        <w:ind w:left="5534" w:hanging="281"/>
      </w:pPr>
      <w:rPr>
        <w:rFonts w:hint="default"/>
      </w:rPr>
    </w:lvl>
    <w:lvl w:ilvl="7" w:tplc="4E9C0FBE">
      <w:numFmt w:val="bullet"/>
      <w:lvlText w:val="•"/>
      <w:lvlJc w:val="left"/>
      <w:pPr>
        <w:ind w:left="6477" w:hanging="281"/>
      </w:pPr>
      <w:rPr>
        <w:rFonts w:hint="default"/>
      </w:rPr>
    </w:lvl>
    <w:lvl w:ilvl="8" w:tplc="4B069F62">
      <w:numFmt w:val="bullet"/>
      <w:lvlText w:val="•"/>
      <w:lvlJc w:val="left"/>
      <w:pPr>
        <w:ind w:left="7420" w:hanging="281"/>
      </w:pPr>
      <w:rPr>
        <w:rFonts w:hint="default"/>
      </w:rPr>
    </w:lvl>
  </w:abstractNum>
  <w:abstractNum w:abstractNumId="2" w15:restartNumberingAfterBreak="0">
    <w:nsid w:val="1F651349"/>
    <w:multiLevelType w:val="hybridMultilevel"/>
    <w:tmpl w:val="318E6516"/>
    <w:lvl w:ilvl="0" w:tplc="545E2E5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17CA1630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7DAE1658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96DAD83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C2BC37D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8A845688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2D687324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B30A095A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41A81C28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3" w15:restartNumberingAfterBreak="0">
    <w:nsid w:val="311B0C72"/>
    <w:multiLevelType w:val="hybridMultilevel"/>
    <w:tmpl w:val="30B025CA"/>
    <w:lvl w:ilvl="0" w:tplc="14847CE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F9068D2">
      <w:numFmt w:val="bullet"/>
      <w:lvlText w:val="-"/>
      <w:lvlJc w:val="left"/>
      <w:pPr>
        <w:ind w:left="824" w:hanging="281"/>
      </w:pPr>
      <w:rPr>
        <w:rFonts w:ascii="Tahoma" w:eastAsia="Tahoma" w:hAnsi="Tahoma" w:cs="Tahoma" w:hint="default"/>
        <w:spacing w:val="-32"/>
        <w:w w:val="99"/>
        <w:sz w:val="24"/>
        <w:szCs w:val="24"/>
      </w:rPr>
    </w:lvl>
    <w:lvl w:ilvl="2" w:tplc="BA3C420A">
      <w:numFmt w:val="bullet"/>
      <w:lvlText w:val="•"/>
      <w:lvlJc w:val="left"/>
      <w:pPr>
        <w:ind w:left="1762" w:hanging="281"/>
      </w:pPr>
      <w:rPr>
        <w:rFonts w:hint="default"/>
      </w:rPr>
    </w:lvl>
    <w:lvl w:ilvl="3" w:tplc="F4EA70AA">
      <w:numFmt w:val="bullet"/>
      <w:lvlText w:val="•"/>
      <w:lvlJc w:val="left"/>
      <w:pPr>
        <w:ind w:left="2705" w:hanging="281"/>
      </w:pPr>
      <w:rPr>
        <w:rFonts w:hint="default"/>
      </w:rPr>
    </w:lvl>
    <w:lvl w:ilvl="4" w:tplc="C332D71A">
      <w:numFmt w:val="bullet"/>
      <w:lvlText w:val="•"/>
      <w:lvlJc w:val="left"/>
      <w:pPr>
        <w:ind w:left="3648" w:hanging="281"/>
      </w:pPr>
      <w:rPr>
        <w:rFonts w:hint="default"/>
      </w:rPr>
    </w:lvl>
    <w:lvl w:ilvl="5" w:tplc="79C84942">
      <w:numFmt w:val="bullet"/>
      <w:lvlText w:val="•"/>
      <w:lvlJc w:val="left"/>
      <w:pPr>
        <w:ind w:left="4591" w:hanging="281"/>
      </w:pPr>
      <w:rPr>
        <w:rFonts w:hint="default"/>
      </w:rPr>
    </w:lvl>
    <w:lvl w:ilvl="6" w:tplc="CD664830">
      <w:numFmt w:val="bullet"/>
      <w:lvlText w:val="•"/>
      <w:lvlJc w:val="left"/>
      <w:pPr>
        <w:ind w:left="5534" w:hanging="281"/>
      </w:pPr>
      <w:rPr>
        <w:rFonts w:hint="default"/>
      </w:rPr>
    </w:lvl>
    <w:lvl w:ilvl="7" w:tplc="F04AE3CE">
      <w:numFmt w:val="bullet"/>
      <w:lvlText w:val="•"/>
      <w:lvlJc w:val="left"/>
      <w:pPr>
        <w:ind w:left="6477" w:hanging="281"/>
      </w:pPr>
      <w:rPr>
        <w:rFonts w:hint="default"/>
      </w:rPr>
    </w:lvl>
    <w:lvl w:ilvl="8" w:tplc="E7E6096E">
      <w:numFmt w:val="bullet"/>
      <w:lvlText w:val="•"/>
      <w:lvlJc w:val="left"/>
      <w:pPr>
        <w:ind w:left="7420" w:hanging="281"/>
      </w:pPr>
      <w:rPr>
        <w:rFonts w:hint="default"/>
      </w:rPr>
    </w:lvl>
  </w:abstractNum>
  <w:abstractNum w:abstractNumId="4" w15:restartNumberingAfterBreak="0">
    <w:nsid w:val="327D297F"/>
    <w:multiLevelType w:val="hybridMultilevel"/>
    <w:tmpl w:val="296804CE"/>
    <w:lvl w:ilvl="0" w:tplc="A68CB32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7570C5B4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4228693C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8508EE1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118A2802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1D9C65E2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2E2497C6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CC00180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FDB46820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5" w15:restartNumberingAfterBreak="0">
    <w:nsid w:val="3BBC5AEF"/>
    <w:multiLevelType w:val="hybridMultilevel"/>
    <w:tmpl w:val="AF6418FE"/>
    <w:lvl w:ilvl="0" w:tplc="455C71F4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C2AC902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D2522026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684EAC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9662B03A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16C6F7A6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4E5811E0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0324BFB4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18024736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6" w15:restartNumberingAfterBreak="0">
    <w:nsid w:val="75BC72E9"/>
    <w:multiLevelType w:val="hybridMultilevel"/>
    <w:tmpl w:val="4FEC8ADC"/>
    <w:lvl w:ilvl="0" w:tplc="7DC6787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5F8478E">
      <w:numFmt w:val="bullet"/>
      <w:lvlText w:val="-"/>
      <w:lvlJc w:val="left"/>
      <w:pPr>
        <w:ind w:left="824" w:hanging="281"/>
      </w:pPr>
      <w:rPr>
        <w:rFonts w:ascii="Tahoma" w:eastAsia="Tahoma" w:hAnsi="Tahoma" w:cs="Tahoma" w:hint="default"/>
        <w:spacing w:val="-32"/>
        <w:w w:val="99"/>
        <w:sz w:val="24"/>
        <w:szCs w:val="24"/>
      </w:rPr>
    </w:lvl>
    <w:lvl w:ilvl="2" w:tplc="9014E7AA">
      <w:numFmt w:val="bullet"/>
      <w:lvlText w:val="•"/>
      <w:lvlJc w:val="left"/>
      <w:pPr>
        <w:ind w:left="1762" w:hanging="281"/>
      </w:pPr>
      <w:rPr>
        <w:rFonts w:hint="default"/>
      </w:rPr>
    </w:lvl>
    <w:lvl w:ilvl="3" w:tplc="18027A14">
      <w:numFmt w:val="bullet"/>
      <w:lvlText w:val="•"/>
      <w:lvlJc w:val="left"/>
      <w:pPr>
        <w:ind w:left="2705" w:hanging="281"/>
      </w:pPr>
      <w:rPr>
        <w:rFonts w:hint="default"/>
      </w:rPr>
    </w:lvl>
    <w:lvl w:ilvl="4" w:tplc="B522566E">
      <w:numFmt w:val="bullet"/>
      <w:lvlText w:val="•"/>
      <w:lvlJc w:val="left"/>
      <w:pPr>
        <w:ind w:left="3648" w:hanging="281"/>
      </w:pPr>
      <w:rPr>
        <w:rFonts w:hint="default"/>
      </w:rPr>
    </w:lvl>
    <w:lvl w:ilvl="5" w:tplc="2A6A77F8">
      <w:numFmt w:val="bullet"/>
      <w:lvlText w:val="•"/>
      <w:lvlJc w:val="left"/>
      <w:pPr>
        <w:ind w:left="4591" w:hanging="281"/>
      </w:pPr>
      <w:rPr>
        <w:rFonts w:hint="default"/>
      </w:rPr>
    </w:lvl>
    <w:lvl w:ilvl="6" w:tplc="DDCEC380">
      <w:numFmt w:val="bullet"/>
      <w:lvlText w:val="•"/>
      <w:lvlJc w:val="left"/>
      <w:pPr>
        <w:ind w:left="5534" w:hanging="281"/>
      </w:pPr>
      <w:rPr>
        <w:rFonts w:hint="default"/>
      </w:rPr>
    </w:lvl>
    <w:lvl w:ilvl="7" w:tplc="B7A6E85C">
      <w:numFmt w:val="bullet"/>
      <w:lvlText w:val="•"/>
      <w:lvlJc w:val="left"/>
      <w:pPr>
        <w:ind w:left="6477" w:hanging="281"/>
      </w:pPr>
      <w:rPr>
        <w:rFonts w:hint="default"/>
      </w:rPr>
    </w:lvl>
    <w:lvl w:ilvl="8" w:tplc="9850ABCC">
      <w:numFmt w:val="bullet"/>
      <w:lvlText w:val="•"/>
      <w:lvlJc w:val="left"/>
      <w:pPr>
        <w:ind w:left="7420" w:hanging="281"/>
      </w:pPr>
      <w:rPr>
        <w:rFonts w:hint="default"/>
      </w:rPr>
    </w:lvl>
  </w:abstractNum>
  <w:abstractNum w:abstractNumId="7" w15:restartNumberingAfterBreak="0">
    <w:nsid w:val="77A36E25"/>
    <w:multiLevelType w:val="hybridMultilevel"/>
    <w:tmpl w:val="C314631C"/>
    <w:lvl w:ilvl="0" w:tplc="A994FFBC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7D3CC366">
      <w:numFmt w:val="bullet"/>
      <w:lvlText w:val="-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CF545A4C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993C14F2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CF52F6CA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303CB9D6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F328E3B0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7A466EF4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ECB0D4B6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8" w15:restartNumberingAfterBreak="0">
    <w:nsid w:val="78274611"/>
    <w:multiLevelType w:val="hybridMultilevel"/>
    <w:tmpl w:val="8B4A1DB6"/>
    <w:lvl w:ilvl="0" w:tplc="1D30087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ADCD252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47BC7CFC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5196827E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9858D1B4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672EA8B0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EF96E81C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6468536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F28C877C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9" w15:restartNumberingAfterBreak="0">
    <w:nsid w:val="7E0E2D18"/>
    <w:multiLevelType w:val="hybridMultilevel"/>
    <w:tmpl w:val="3EDCF09E"/>
    <w:lvl w:ilvl="0" w:tplc="939E99F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B34E4E3E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F8627442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8E40B640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51B05B36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C1BA765E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72DCECC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9BA213BE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A68E3120">
      <w:numFmt w:val="bullet"/>
      <w:lvlText w:val="•"/>
      <w:lvlJc w:val="left"/>
      <w:pPr>
        <w:ind w:left="7553" w:hanging="4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53819"/>
    <w:rsid w:val="00671A42"/>
    <w:rsid w:val="00AD2E06"/>
    <w:rsid w:val="00B53819"/>
    <w:rsid w:val="00C81AE5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84E412"/>
  <w15:docId w15:val="{D4C2E810-09FA-42F6-92D0-5A9D9A6A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358" w:right="1361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7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2528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spolupráci</vt:lpstr>
    </vt:vector>
  </TitlesOfParts>
  <Company/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spolupráci</dc:title>
  <dc:creator>iveta.lukasova</dc:creator>
  <cp:lastModifiedBy>Marianna</cp:lastModifiedBy>
  <cp:revision>4</cp:revision>
  <dcterms:created xsi:type="dcterms:W3CDTF">2025-03-19T08:37:00Z</dcterms:created>
  <dcterms:modified xsi:type="dcterms:W3CDTF">2025-03-19T07:52:00Z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2025-03-19T00:00:00Z</vt:filetime>
  </property>
</Properties>
</file>