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kladntext1"/>
        <w:keepNext w:val="false"/>
        <w:keepLines w:val="false"/>
        <w:widowControl w:val="false"/>
        <w:shd w:val="clear" w:color="auto" w:fill="auto"/>
        <w:bidi w:val="0"/>
        <w:spacing w:lineRule="auto" w:line="240" w:before="0" w:after="280"/>
        <w:ind w:hanging="0" w:left="0" w:right="0"/>
        <w:jc w:val="center"/>
        <w:rPr>
          <w:sz w:val="24"/>
          <w:szCs w:val="24"/>
        </w:rPr>
      </w:pPr>
      <w:r>
        <w:rPr>
          <w:rStyle w:val="Zkladntext"/>
          <w:b/>
          <w:bCs/>
          <w:color w:val="000000"/>
          <w:sz w:val="24"/>
          <w:szCs w:val="24"/>
        </w:rPr>
        <w:t>SMLOUVA O DÍLO č.</w:t>
      </w:r>
    </w:p>
    <w:p>
      <w:pPr>
        <w:pStyle w:val="Nadpis31"/>
        <w:keepNext w:val="true"/>
        <w:keepLines/>
        <w:widowControl w:val="false"/>
        <w:shd w:val="clear" w:color="auto" w:fill="auto"/>
        <w:bidi w:val="0"/>
        <w:spacing w:lineRule="auto" w:line="240" w:before="0" w:after="0"/>
        <w:ind w:firstLine="220" w:left="0" w:right="0"/>
        <w:jc w:val="left"/>
        <w:rPr/>
      </w:pPr>
      <w:bookmarkStart w:id="0" w:name="bookmark0"/>
      <w:r>
        <w:rPr>
          <w:rStyle w:val="Nadpis3"/>
          <w:b/>
          <w:bCs/>
          <w:color w:val="000000"/>
        </w:rPr>
        <w:t>Objednatel:</w:t>
      </w:r>
      <w:bookmarkEnd w:id="0"/>
    </w:p>
    <w:p>
      <w:pPr>
        <w:pStyle w:val="Nadpis31"/>
        <w:keepNext w:val="true"/>
        <w:keepLines/>
        <w:widowControl w:val="false"/>
        <w:shd w:val="clear" w:color="auto" w:fill="auto"/>
        <w:tabs>
          <w:tab w:val="clear" w:pos="720"/>
          <w:tab w:val="left" w:pos="1631" w:leader="none"/>
        </w:tabs>
        <w:bidi w:val="0"/>
        <w:spacing w:lineRule="auto" w:line="240" w:before="0" w:after="120"/>
        <w:ind w:firstLine="220" w:left="0" w:right="0"/>
        <w:jc w:val="left"/>
        <w:rPr/>
      </w:pPr>
      <w:r>
        <w:rPr>
          <w:rStyle w:val="Nadpis3"/>
          <w:b w:val="false"/>
          <w:bCs w:val="false"/>
          <w:color w:val="000000"/>
        </w:rPr>
        <w:t>Název:</w:t>
        <w:tab/>
      </w:r>
      <w:r>
        <w:rPr>
          <w:rStyle w:val="Nadpis3"/>
          <w:b/>
          <w:bCs/>
          <w:color w:val="000000"/>
        </w:rPr>
        <w:t>Léčebna dlouhodobě nemocných Rybitví</w:t>
      </w:r>
    </w:p>
    <w:p>
      <w:pPr>
        <w:pStyle w:val="Zkladntext1"/>
        <w:keepNext w:val="false"/>
        <w:keepLines w:val="false"/>
        <w:widowControl w:val="false"/>
        <w:shd w:val="clear" w:color="auto" w:fill="auto"/>
        <w:tabs>
          <w:tab w:val="clear" w:pos="720"/>
          <w:tab w:val="left" w:pos="1631" w:leader="none"/>
        </w:tabs>
        <w:bidi w:val="0"/>
        <w:spacing w:lineRule="auto" w:line="240" w:before="0" w:after="120"/>
        <w:ind w:firstLine="220" w:left="0" w:right="0"/>
        <w:jc w:val="left"/>
        <w:rPr/>
      </w:pPr>
      <w:r>
        <w:rPr>
          <w:rStyle w:val="Zkladntext"/>
          <w:color w:val="000000"/>
        </w:rPr>
        <w:t>Sídlo:</w:t>
        <w:tab/>
        <w:t>Činžovních domů 139-140, 533 54 Rybitví</w:t>
      </w:r>
    </w:p>
    <w:p>
      <w:pPr>
        <w:pStyle w:val="Zkladntext1"/>
        <w:keepNext w:val="false"/>
        <w:keepLines w:val="false"/>
        <w:widowControl w:val="false"/>
        <w:shd w:val="clear" w:color="auto" w:fill="auto"/>
        <w:bidi w:val="0"/>
        <w:spacing w:lineRule="auto" w:line="240" w:before="0" w:after="240"/>
        <w:ind w:firstLine="220" w:left="0" w:right="0"/>
        <w:jc w:val="left"/>
        <w:rPr/>
      </w:pPr>
      <w:r>
        <w:rPr>
          <w:rStyle w:val="Zkladntext"/>
          <w:color w:val="000000"/>
        </w:rPr>
        <w:t>Zastoupený: Mgr, Jana Tomšů, ředitelka</w:t>
      </w:r>
    </w:p>
    <w:p>
      <w:pPr>
        <w:pStyle w:val="Zkladntext1"/>
        <w:keepNext w:val="false"/>
        <w:keepLines w:val="false"/>
        <w:widowControl w:val="false"/>
        <w:shd w:val="clear" w:color="auto" w:fill="auto"/>
        <w:tabs>
          <w:tab w:val="clear" w:pos="720"/>
          <w:tab w:val="left" w:pos="1631" w:leader="none"/>
        </w:tabs>
        <w:bidi w:val="0"/>
        <w:spacing w:lineRule="auto" w:line="240" w:before="0" w:after="740"/>
        <w:ind w:firstLine="220" w:left="0" w:right="0"/>
        <w:jc w:val="left"/>
        <w:rPr/>
      </w:pPr>
      <w:r>
        <w:rPr>
          <w:rStyle w:val="Zkladntext"/>
          <w:color w:val="000000"/>
        </w:rPr>
        <w:t>IČO:</w:t>
        <w:tab/>
        <w:t>00190560</w:t>
      </w:r>
    </w:p>
    <w:p>
      <w:pPr>
        <w:pStyle w:val="Zkladntext1"/>
        <w:keepNext w:val="false"/>
        <w:keepLines w:val="false"/>
        <w:widowControl w:val="false"/>
        <w:shd w:val="clear" w:color="auto" w:fill="auto"/>
        <w:bidi w:val="0"/>
        <w:spacing w:lineRule="auto" w:line="240" w:before="0" w:after="0"/>
        <w:ind w:firstLine="220" w:left="0" w:right="0"/>
        <w:jc w:val="left"/>
        <w:rPr/>
      </w:pPr>
      <w:r>
        <w:rPr>
          <w:rStyle w:val="Zkladntext"/>
          <w:color w:val="000000"/>
          <w:u w:val="single"/>
        </w:rPr>
        <w:t>zástupce objednatele ve věcech smluvních</w:t>
      </w:r>
    </w:p>
    <w:p>
      <w:pPr>
        <w:pStyle w:val="Zkladntext1"/>
        <w:keepNext w:val="false"/>
        <w:keepLines w:val="false"/>
        <w:widowControl w:val="false"/>
        <w:shd w:val="clear" w:color="auto" w:fill="auto"/>
        <w:bidi w:val="0"/>
        <w:spacing w:lineRule="auto" w:line="240" w:before="0" w:after="240"/>
        <w:ind w:firstLine="220" w:left="0" w:right="0"/>
        <w:jc w:val="left"/>
        <w:rPr/>
      </w:pPr>
      <w:r>
        <w:rPr>
          <w:rStyle w:val="Zkladntext"/>
          <w:color w:val="000000"/>
        </w:rPr>
        <w:t>Mgr. Jana Tomšů</w:t>
      </w:r>
    </w:p>
    <w:p>
      <w:pPr>
        <w:pStyle w:val="Zkladntext1"/>
        <w:keepNext w:val="false"/>
        <w:keepLines w:val="false"/>
        <w:widowControl w:val="false"/>
        <w:shd w:val="clear" w:color="auto" w:fill="auto"/>
        <w:bidi w:val="0"/>
        <w:spacing w:lineRule="auto" w:line="240" w:before="0" w:after="240"/>
        <w:ind w:firstLine="220" w:left="0" w:right="0"/>
        <w:jc w:val="left"/>
        <w:rPr/>
      </w:pPr>
      <w:r>
        <w:rPr>
          <w:rStyle w:val="Zkladntext"/>
          <w:color w:val="000000"/>
        </w:rPr>
        <w:t>zástupce objednatele ve věcech technických</w:t>
      </w:r>
    </w:p>
    <w:p>
      <w:pPr>
        <w:pStyle w:val="Zkladntext1"/>
        <w:keepNext w:val="false"/>
        <w:keepLines w:val="false"/>
        <w:widowControl w:val="false"/>
        <w:shd w:val="clear" w:color="auto" w:fill="auto"/>
        <w:bidi w:val="0"/>
        <w:spacing w:lineRule="auto" w:line="240" w:before="0" w:after="0"/>
        <w:ind w:firstLine="220" w:left="0" w:right="0"/>
        <w:jc w:val="left"/>
        <w:rPr/>
      </w:pPr>
      <w:r>
        <w:rPr>
          <w:rStyle w:val="Zkladntext"/>
          <w:color w:val="000000"/>
        </w:rPr>
        <w:t>(dále také jen „Objednatel“)</w:t>
      </w:r>
    </w:p>
    <w:p>
      <w:pPr>
        <w:pStyle w:val="Zkladntext1"/>
        <w:keepNext w:val="false"/>
        <w:keepLines w:val="false"/>
        <w:widowControl w:val="false"/>
        <w:shd w:val="clear" w:color="auto" w:fill="auto"/>
        <w:bidi w:val="0"/>
        <w:spacing w:lineRule="auto" w:line="240" w:before="0" w:after="240"/>
        <w:ind w:firstLine="220" w:left="0" w:right="0"/>
        <w:jc w:val="left"/>
        <w:rPr/>
      </w:pPr>
      <w:r>
        <w:rPr>
          <w:rStyle w:val="Zkladntext"/>
          <w:color w:val="000000"/>
        </w:rPr>
        <w:t>- na straně jedné -</w:t>
      </w:r>
    </w:p>
    <w:p>
      <w:pPr>
        <w:pStyle w:val="Zkladntext1"/>
        <w:keepNext w:val="false"/>
        <w:keepLines w:val="false"/>
        <w:widowControl w:val="false"/>
        <w:shd w:val="clear" w:color="auto" w:fill="auto"/>
        <w:bidi w:val="0"/>
        <w:spacing w:lineRule="auto" w:line="240" w:before="0" w:after="240"/>
        <w:ind w:hanging="0" w:left="0" w:right="0"/>
        <w:jc w:val="center"/>
        <w:rPr/>
      </w:pPr>
      <w:r>
        <w:rPr>
          <w:rStyle w:val="Zkladntext"/>
          <w:color w:val="000000"/>
        </w:rPr>
        <w:t>a</w:t>
      </w:r>
    </w:p>
    <w:p>
      <w:pPr>
        <w:pStyle w:val="Titulektabulky1"/>
        <w:keepNext w:val="false"/>
        <w:keepLines w:val="false"/>
        <w:widowControl w:val="false"/>
        <w:shd w:val="clear" w:color="auto" w:fill="auto"/>
        <w:bidi w:val="0"/>
        <w:spacing w:lineRule="auto" w:line="240" w:before="0" w:after="0"/>
        <w:ind w:hanging="0" w:left="0" w:right="0"/>
        <w:jc w:val="left"/>
        <w:rPr/>
      </w:pPr>
      <w:r>
        <w:rPr>
          <w:rStyle w:val="Titulektabulky"/>
          <w:b/>
          <w:bCs/>
        </w:rPr>
        <w:t>Zhotovitel:</w:t>
      </w:r>
    </w:p>
    <w:tbl>
      <w:tblPr>
        <w:tblW w:w="4710" w:type="dxa"/>
        <w:jc w:val="left"/>
        <w:tblInd w:w="0" w:type="dxa"/>
        <w:tblLayout w:type="fixed"/>
        <w:tblCellMar>
          <w:top w:w="0" w:type="dxa"/>
          <w:left w:w="108" w:type="dxa"/>
          <w:bottom w:w="0" w:type="dxa"/>
          <w:right w:w="108" w:type="dxa"/>
        </w:tblCellMar>
      </w:tblPr>
      <w:tblGrid>
        <w:gridCol w:w="1300"/>
        <w:gridCol w:w="3409"/>
      </w:tblGrid>
      <w:tr>
        <w:trPr>
          <w:trHeight w:val="350" w:hRule="exact"/>
        </w:trPr>
        <w:tc>
          <w:tcPr>
            <w:tcW w:w="1300" w:type="dxa"/>
            <w:tcBorders/>
            <w:shd w:color="auto" w:fill="auto" w:val="clear"/>
          </w:tcPr>
          <w:p>
            <w:pPr>
              <w:pStyle w:val="Jin1"/>
              <w:keepNext w:val="false"/>
              <w:keepLines w:val="false"/>
              <w:widowControl w:val="false"/>
              <w:shd w:val="clear" w:color="auto" w:fill="auto"/>
              <w:bidi w:val="0"/>
              <w:spacing w:lineRule="auto" w:line="240" w:before="0" w:after="0"/>
              <w:ind w:hanging="0" w:left="0" w:right="0"/>
              <w:jc w:val="left"/>
              <w:rPr/>
            </w:pPr>
            <w:r>
              <w:rPr>
                <w:rStyle w:val="Jin"/>
                <w:color w:val="000000"/>
              </w:rPr>
              <w:t>Název:</w:t>
            </w:r>
          </w:p>
        </w:tc>
        <w:tc>
          <w:tcPr>
            <w:tcW w:w="3409" w:type="dxa"/>
            <w:tcBorders/>
            <w:shd w:color="auto" w:fill="auto" w:val="clear"/>
          </w:tcPr>
          <w:p>
            <w:pPr>
              <w:pStyle w:val="Jin1"/>
              <w:keepNext w:val="false"/>
              <w:keepLines w:val="false"/>
              <w:widowControl w:val="false"/>
              <w:shd w:val="clear" w:color="auto" w:fill="auto"/>
              <w:bidi w:val="0"/>
              <w:spacing w:lineRule="auto" w:line="240" w:before="0" w:after="0"/>
              <w:ind w:firstLine="140" w:left="0" w:right="0"/>
              <w:jc w:val="left"/>
              <w:rPr/>
            </w:pPr>
            <w:r>
              <w:rPr>
                <w:rStyle w:val="Jin"/>
                <w:color w:val="000000"/>
              </w:rPr>
              <w:t>CODE spol. s r.o.</w:t>
            </w:r>
          </w:p>
        </w:tc>
      </w:tr>
      <w:tr>
        <w:trPr>
          <w:trHeight w:val="550" w:hRule="exact"/>
        </w:trPr>
        <w:tc>
          <w:tcPr>
            <w:tcW w:w="1300" w:type="dxa"/>
            <w:tcBorders/>
            <w:shd w:color="auto" w:fill="auto" w:val="clear"/>
            <w:vAlign w:val="bottom"/>
          </w:tcPr>
          <w:p>
            <w:pPr>
              <w:pStyle w:val="Jin1"/>
              <w:keepNext w:val="false"/>
              <w:keepLines w:val="false"/>
              <w:widowControl w:val="false"/>
              <w:shd w:val="clear" w:color="auto" w:fill="auto"/>
              <w:bidi w:val="0"/>
              <w:spacing w:lineRule="auto" w:line="240" w:before="0" w:after="0"/>
              <w:ind w:hanging="0" w:left="0" w:right="0"/>
              <w:jc w:val="left"/>
              <w:rPr/>
            </w:pPr>
            <w:r>
              <w:rPr>
                <w:rStyle w:val="Jin"/>
                <w:color w:val="000000"/>
              </w:rPr>
              <w:t>Sídlo:</w:t>
            </w:r>
          </w:p>
        </w:tc>
        <w:tc>
          <w:tcPr>
            <w:tcW w:w="3409"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140" w:left="0" w:right="0"/>
              <w:jc w:val="left"/>
              <w:rPr/>
            </w:pPr>
            <w:r>
              <w:rPr>
                <w:rStyle w:val="Jin"/>
                <w:color w:val="000000"/>
              </w:rPr>
              <w:t>Na Vrtálně 84, 530 03 Pardubice</w:t>
            </w:r>
          </w:p>
        </w:tc>
      </w:tr>
    </w:tbl>
    <w:p>
      <w:pPr>
        <w:pStyle w:val="Titulektabulky1"/>
        <w:keepNext w:val="false"/>
        <w:keepLines w:val="false"/>
        <w:widowControl w:val="false"/>
        <w:shd w:val="clear" w:color="auto" w:fill="auto"/>
        <w:bidi w:val="0"/>
        <w:spacing w:lineRule="auto" w:line="240" w:before="0" w:after="0"/>
        <w:ind w:hanging="0" w:left="0" w:right="0"/>
        <w:jc w:val="left"/>
        <w:rPr/>
      </w:pPr>
      <w:r>
        <w:rPr>
          <w:rStyle w:val="Titulektabulky"/>
        </w:rPr>
        <w:t>Zastoupený: Ing. Viktor Meduna</w:t>
      </w:r>
    </w:p>
    <w:p>
      <w:pPr>
        <w:pStyle w:val="Normal"/>
        <w:widowControl w:val="false"/>
        <w:spacing w:lineRule="exact" w:line="1" w:before="0" w:after="239"/>
        <w:rPr/>
      </w:pPr>
      <w:r>
        <w:rPr/>
      </w:r>
    </w:p>
    <w:p>
      <w:pPr>
        <w:pStyle w:val="Zkladntext1"/>
        <w:keepNext w:val="false"/>
        <w:keepLines w:val="false"/>
        <w:widowControl w:val="false"/>
        <w:shd w:val="clear" w:color="auto" w:fill="auto"/>
        <w:tabs>
          <w:tab w:val="clear" w:pos="720"/>
          <w:tab w:val="left" w:pos="1281" w:leader="none"/>
        </w:tabs>
        <w:bidi w:val="0"/>
        <w:spacing w:lineRule="auto" w:line="240" w:before="0" w:after="0"/>
        <w:ind w:firstLine="220" w:left="0" w:right="0"/>
        <w:jc w:val="left"/>
        <w:rPr/>
      </w:pPr>
      <w:r>
        <w:rPr>
          <w:rStyle w:val="Zkladntext"/>
          <w:color w:val="000000"/>
        </w:rPr>
        <w:t>IČO:</w:t>
        <w:tab/>
        <w:t>49286960</w:t>
      </w:r>
    </w:p>
    <w:p>
      <w:pPr>
        <w:pStyle w:val="Zkladntext1"/>
        <w:keepNext w:val="false"/>
        <w:keepLines w:val="false"/>
        <w:widowControl w:val="false"/>
        <w:shd w:val="clear" w:color="auto" w:fill="auto"/>
        <w:bidi w:val="0"/>
        <w:spacing w:lineRule="auto" w:line="240" w:before="0" w:after="0"/>
        <w:ind w:firstLine="220" w:left="0" w:right="0"/>
        <w:jc w:val="left"/>
        <w:rPr/>
      </w:pPr>
      <w:r>
        <w:rPr>
          <w:rStyle w:val="Zkladntext"/>
          <w:color w:val="000000"/>
        </w:rPr>
        <w:t>DIČ: CZ49286960</w:t>
      </w:r>
    </w:p>
    <w:p>
      <w:pPr>
        <w:pStyle w:val="Zkladntext1"/>
        <w:keepNext w:val="false"/>
        <w:keepLines w:val="false"/>
        <w:widowControl w:val="false"/>
        <w:shd w:val="clear" w:color="auto" w:fill="auto"/>
        <w:bidi w:val="0"/>
        <w:spacing w:lineRule="auto" w:line="240" w:before="0" w:after="0"/>
        <w:ind w:firstLine="220" w:left="0" w:right="0"/>
        <w:jc w:val="left"/>
        <w:rPr/>
      </w:pPr>
      <w:r>
        <w:rPr>
          <w:rStyle w:val="Zkladntext"/>
          <w:color w:val="000000"/>
        </w:rPr>
        <w:t>místem podnikání: Pardubice</w:t>
      </w:r>
    </w:p>
    <w:p>
      <w:pPr>
        <w:pStyle w:val="Zkladntext1"/>
        <w:keepNext w:val="false"/>
        <w:keepLines w:val="false"/>
        <w:widowControl w:val="false"/>
        <w:shd w:val="clear" w:color="auto" w:fill="auto"/>
        <w:tabs>
          <w:tab w:val="clear" w:pos="720"/>
          <w:tab w:val="left" w:pos="2282" w:leader="none"/>
        </w:tabs>
        <w:bidi w:val="0"/>
        <w:spacing w:lineRule="auto" w:line="240" w:before="0" w:after="0"/>
        <w:ind w:firstLine="220" w:left="0" w:right="0"/>
        <w:jc w:val="left"/>
        <w:rPr/>
      </w:pPr>
      <w:r>
        <w:rPr>
          <w:rStyle w:val="Zkladntext"/>
          <w:color w:val="000000"/>
        </w:rPr>
        <w:t>zastoupený</w:t>
        <w:tab/>
        <w:t>Ing. Viktor Meduna</w:t>
      </w:r>
    </w:p>
    <w:p>
      <w:pPr>
        <w:pStyle w:val="Zkladntext1"/>
        <w:keepNext w:val="false"/>
        <w:keepLines w:val="false"/>
        <w:widowControl w:val="false"/>
        <w:shd w:val="clear" w:color="auto" w:fill="auto"/>
        <w:tabs>
          <w:tab w:val="clear" w:pos="720"/>
          <w:tab w:val="left" w:pos="2282" w:leader="none"/>
          <w:tab w:val="right" w:pos="5486" w:leader="none"/>
        </w:tabs>
        <w:bidi w:val="0"/>
        <w:spacing w:lineRule="auto" w:line="240" w:before="0" w:after="0"/>
        <w:ind w:firstLine="220" w:left="0" w:right="0"/>
        <w:jc w:val="left"/>
        <w:rPr>
          <w:rStyle w:val="Zkladntext"/>
          <w:color w:val="000000"/>
        </w:rPr>
      </w:pPr>
      <w:r>
        <w:rPr/>
      </w:r>
    </w:p>
    <w:p>
      <w:pPr>
        <w:pStyle w:val="Zkladntext1"/>
        <w:widowControl w:val="false"/>
        <w:shd w:val="clear" w:color="auto" w:fill="auto"/>
        <w:tabs>
          <w:tab w:val="clear" w:pos="720"/>
          <w:tab w:val="left" w:pos="2282" w:leader="none"/>
          <w:tab w:val="right" w:pos="5486" w:leader="none"/>
        </w:tabs>
        <w:bidi w:val="0"/>
        <w:spacing w:lineRule="auto" w:line="240" w:before="0" w:after="0"/>
        <w:ind w:firstLine="220" w:left="0" w:right="0"/>
        <w:jc w:val="left"/>
        <w:rPr>
          <w:rStyle w:val="Zkladntext"/>
          <w:color w:val="000000"/>
        </w:rPr>
      </w:pPr>
      <w:r>
        <w:rPr/>
      </w:r>
    </w:p>
    <w:p>
      <w:pPr>
        <w:pStyle w:val="Zkladntext1"/>
        <w:keepNext w:val="false"/>
        <w:keepLines w:val="false"/>
        <w:widowControl w:val="false"/>
        <w:shd w:val="clear" w:color="auto" w:fill="auto"/>
        <w:bidi w:val="0"/>
        <w:spacing w:lineRule="auto" w:line="240" w:before="0" w:after="0"/>
        <w:ind w:firstLine="40" w:left="220" w:right="0"/>
        <w:jc w:val="left"/>
        <w:rPr/>
      </w:pPr>
      <w:r>
        <mc:AlternateContent>
          <mc:Choice Requires="wps">
            <w:drawing>
              <wp:anchor behindDoc="0" distT="0" distB="0" distL="114300" distR="114300" simplePos="0" locked="0" layoutInCell="0" allowOverlap="1" relativeHeight="2">
                <wp:simplePos x="0" y="0"/>
                <wp:positionH relativeFrom="page">
                  <wp:posOffset>3754120</wp:posOffset>
                </wp:positionH>
                <wp:positionV relativeFrom="paragraph">
                  <wp:posOffset>165100</wp:posOffset>
                </wp:positionV>
                <wp:extent cx="1539240" cy="987425"/>
                <wp:effectExtent l="0" t="635" r="0" b="0"/>
                <wp:wrapSquare wrapText="left"/>
                <wp:docPr id="1" name="Shape 1"/>
                <a:graphic xmlns:a="http://schemas.openxmlformats.org/drawingml/2006/main">
                  <a:graphicData uri="http://schemas.microsoft.com/office/word/2010/wordprocessingShape">
                    <wps:wsp>
                      <wps:cNvSpPr/>
                      <wps:spPr>
                        <a:xfrm>
                          <a:off x="0" y="0"/>
                          <a:ext cx="1539360" cy="987480"/>
                        </a:xfrm>
                        <a:prstGeom prst="rect">
                          <a:avLst/>
                        </a:prstGeom>
                        <a:noFill/>
                        <a:ln w="0">
                          <a:noFill/>
                        </a:ln>
                      </wps:spPr>
                      <wps:style>
                        <a:lnRef idx="0"/>
                        <a:fillRef idx="0"/>
                        <a:effectRef idx="0"/>
                        <a:fontRef idx="minor"/>
                      </wps:style>
                      <wps:txbx>
                        <w:txbxContent>
                          <w:p>
                            <w:pPr>
                              <w:pStyle w:val="Zkladntext1"/>
                              <w:keepNext w:val="false"/>
                              <w:keepLines w:val="false"/>
                              <w:widowControl w:val="false"/>
                              <w:shd w:val="clear" w:color="auto" w:fill="auto"/>
                              <w:bidi w:val="0"/>
                              <w:spacing w:lineRule="auto" w:line="240" w:before="0" w:after="0"/>
                              <w:ind w:hanging="0" w:left="0" w:right="0"/>
                              <w:jc w:val="left"/>
                              <w:rPr/>
                            </w:pPr>
                            <w:r>
                              <w:rPr>
                                <w:rStyle w:val="Zkladntext"/>
                                <w:color w:val="000000"/>
                              </w:rPr>
                              <w:t>Ing. Viktor Meduna p. Jakub Meduna Ing. Viktor Meduna Ing.arch. Karel Rothanzl Ing. Zdeněk Havránek Ing. Prokop Jícha</w:t>
                            </w:r>
                          </w:p>
                        </w:txbxContent>
                      </wps:txbx>
                      <wps:bodyPr lIns="0" rIns="0" tIns="0" bIns="0" anchor="t">
                        <a:noAutofit/>
                      </wps:bodyPr>
                    </wps:wsp>
                  </a:graphicData>
                </a:graphic>
              </wp:anchor>
            </w:drawing>
          </mc:Choice>
          <mc:Fallback>
            <w:pict>
              <v:rect id="shape_0" ID="Shape 1" path="m0,0l-2147483645,0l-2147483645,-2147483646l0,-2147483646xe" stroked="f" o:allowincell="f" style="position:absolute;margin-left:295.6pt;margin-top:13pt;width:121.15pt;height:77.7pt;mso-wrap-style:square;v-text-anchor:top;mso-position-horizontal-relative:page">
                <v:fill o:detectmouseclick="t" on="false"/>
                <v:stroke color="#3465a4" joinstyle="round" endcap="flat"/>
                <v:textbox>
                  <w:txbxContent>
                    <w:p>
                      <w:pPr>
                        <w:pStyle w:val="Zkladntext1"/>
                        <w:keepNext w:val="false"/>
                        <w:keepLines w:val="false"/>
                        <w:widowControl w:val="false"/>
                        <w:shd w:val="clear" w:color="auto" w:fill="auto"/>
                        <w:bidi w:val="0"/>
                        <w:spacing w:lineRule="auto" w:line="240" w:before="0" w:after="0"/>
                        <w:ind w:hanging="0" w:left="0" w:right="0"/>
                        <w:jc w:val="left"/>
                        <w:rPr/>
                      </w:pPr>
                      <w:r>
                        <w:rPr>
                          <w:rStyle w:val="Zkladntext"/>
                          <w:color w:val="000000"/>
                        </w:rPr>
                        <w:t>Ing. Viktor Meduna p. Jakub Meduna Ing. Viktor Meduna Ing.arch. Karel Rothanzl Ing. Zdeněk Havránek Ing. Prokop Jícha</w:t>
                      </w:r>
                    </w:p>
                  </w:txbxContent>
                </v:textbox>
                <w10:wrap type="square" side="left"/>
              </v:rect>
            </w:pict>
          </mc:Fallback>
        </mc:AlternateContent>
      </w:r>
      <w:r>
        <w:rPr>
          <w:rStyle w:val="Zkladntext"/>
          <w:color w:val="000000"/>
        </w:rPr>
        <w:t>Zhotovitel zmocňuje následující osoby k jednání: zástupce zhotovitele ve věcech smluvních zástupce zhotovitele ve věcech technických Vedoucí projektant</w:t>
      </w:r>
    </w:p>
    <w:p>
      <w:pPr>
        <w:pStyle w:val="Zkladntext1"/>
        <w:keepNext w:val="false"/>
        <w:keepLines w:val="false"/>
        <w:widowControl w:val="false"/>
        <w:shd w:val="clear" w:color="auto" w:fill="auto"/>
        <w:bidi w:val="0"/>
        <w:spacing w:lineRule="auto" w:line="240" w:before="0" w:after="0"/>
        <w:ind w:firstLine="220" w:left="0" w:right="0"/>
        <w:jc w:val="left"/>
        <w:rPr/>
      </w:pPr>
      <w:r>
        <w:rPr>
          <w:rStyle w:val="Zkladntext"/>
          <w:color w:val="000000"/>
        </w:rPr>
        <w:t>Zástupce hlavního projektanta</w:t>
      </w:r>
    </w:p>
    <w:p>
      <w:pPr>
        <w:pStyle w:val="Zkladntext1"/>
        <w:keepNext w:val="false"/>
        <w:keepLines w:val="false"/>
        <w:widowControl w:val="false"/>
        <w:shd w:val="clear" w:color="auto" w:fill="auto"/>
        <w:bidi w:val="0"/>
        <w:spacing w:lineRule="auto" w:line="240" w:before="0" w:after="500"/>
        <w:ind w:firstLine="40" w:left="220" w:right="0"/>
        <w:jc w:val="left"/>
        <w:rPr/>
      </w:pPr>
      <w:r>
        <w:rPr>
          <w:rStyle w:val="Zkladntext"/>
          <w:color w:val="000000"/>
        </w:rPr>
        <w:t>projektant v oboru technologická zařízení staveb projektant v oboru statika a dynamika staveb</w:t>
      </w:r>
    </w:p>
    <w:p>
      <w:pPr>
        <w:pStyle w:val="Zkladntext1"/>
        <w:keepNext w:val="false"/>
        <w:keepLines w:val="false"/>
        <w:widowControl w:val="false"/>
        <w:shd w:val="clear" w:color="auto" w:fill="auto"/>
        <w:bidi w:val="0"/>
        <w:spacing w:lineRule="auto" w:line="240" w:before="0" w:after="500"/>
        <w:ind w:firstLine="40" w:left="220" w:right="0"/>
        <w:jc w:val="left"/>
        <w:rPr/>
      </w:pPr>
      <w:r>
        <w:rPr>
          <w:rStyle w:val="Zkladntext"/>
          <w:color w:val="000000"/>
        </w:rPr>
        <w:t>dále jen „Zhotovitel“) - na straně druhé -</w:t>
      </w:r>
    </w:p>
    <w:p>
      <w:pPr>
        <w:pStyle w:val="Zkladntext1"/>
        <w:keepNext w:val="false"/>
        <w:keepLines w:val="false"/>
        <w:widowControl w:val="false"/>
        <w:shd w:val="clear" w:color="auto" w:fill="auto"/>
        <w:bidi w:val="0"/>
        <w:spacing w:lineRule="auto" w:line="240" w:before="0" w:after="240"/>
        <w:ind w:firstLine="40" w:left="220" w:right="0"/>
        <w:jc w:val="left"/>
        <w:rPr/>
      </w:pPr>
      <w:r>
        <w:rPr>
          <w:rStyle w:val="Zkladntext"/>
          <w:color w:val="000000"/>
        </w:rPr>
        <w:t>(Zhotovitel a Objednatel dále společně také jako „Smluvní strany“ nebo každý samostatně také jako „Smluvní strana“)</w:t>
      </w:r>
    </w:p>
    <w:p>
      <w:pPr>
        <w:pStyle w:val="Zkladntext1"/>
        <w:keepNext w:val="false"/>
        <w:keepLines w:val="false"/>
        <w:widowControl w:val="false"/>
        <w:shd w:val="clear" w:color="auto" w:fill="auto"/>
        <w:bidi w:val="0"/>
        <w:spacing w:lineRule="auto" w:line="240" w:before="0" w:after="240"/>
        <w:ind w:hanging="0" w:left="0" w:right="0"/>
        <w:jc w:val="center"/>
        <w:rPr/>
      </w:pPr>
      <w:r>
        <w:rPr>
          <w:rStyle w:val="Zkladntext"/>
          <w:color w:val="000000"/>
        </w:rPr>
        <w:t>uzavřeli dnešního dne tuto</w:t>
      </w:r>
    </w:p>
    <w:p>
      <w:pPr>
        <w:sectPr>
          <w:type w:val="nextPage"/>
          <w:pgSz w:w="11906" w:h="16838"/>
          <w:pgMar w:left="671" w:right="737" w:gutter="0" w:header="0" w:top="1082" w:footer="0" w:bottom="1082"/>
          <w:pgNumType w:fmt="decimal"/>
          <w:formProt w:val="false"/>
          <w:textDirection w:val="lrTb"/>
          <w:docGrid w:type="default" w:linePitch="360" w:charSpace="0"/>
        </w:sectPr>
        <w:pStyle w:val="Zkladntext1"/>
        <w:keepNext w:val="false"/>
        <w:keepLines w:val="false"/>
        <w:widowControl w:val="false"/>
        <w:shd w:val="clear" w:color="auto" w:fill="auto"/>
        <w:bidi w:val="0"/>
        <w:spacing w:lineRule="auto" w:line="240" w:before="0" w:after="240"/>
        <w:ind w:hanging="0" w:left="0" w:right="0"/>
        <w:jc w:val="center"/>
        <w:rPr/>
      </w:pPr>
      <w:r>
        <w:rPr>
          <w:rStyle w:val="Zkladntext"/>
          <w:b/>
          <w:bCs/>
          <w:color w:val="000000"/>
        </w:rPr>
        <w:t>Smlouvu o dílo na zhotovení projektu Léčebna dlouhodobě nemocných Rybitví - přístavba</w:t>
        <w:br/>
        <w:t>lůžkového pavilonu (dále jen „Smlouva“)</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I</w:t>
      </w:r>
    </w:p>
    <w:p>
      <w:pPr>
        <w:pStyle w:val="Nadpis31"/>
        <w:keepNext w:val="true"/>
        <w:keepLines/>
        <w:widowControl w:val="false"/>
        <w:shd w:val="clear" w:color="auto" w:fill="auto"/>
        <w:bidi w:val="0"/>
        <w:spacing w:lineRule="auto" w:line="240" w:before="0" w:after="240"/>
        <w:ind w:hanging="0" w:left="0" w:right="0"/>
        <w:jc w:val="center"/>
        <w:rPr/>
      </w:pPr>
      <w:bookmarkStart w:id="1" w:name="bookmark3"/>
      <w:r>
        <w:rPr>
          <w:rStyle w:val="Nadpis3"/>
          <w:b/>
          <w:bCs/>
        </w:rPr>
        <w:t>Základní ustanovení</w:t>
      </w:r>
      <w:bookmarkEnd w:id="1"/>
    </w:p>
    <w:p>
      <w:pPr>
        <w:pStyle w:val="Zkladntext1"/>
        <w:keepNext w:val="false"/>
        <w:keepLines w:val="false"/>
        <w:widowControl w:val="false"/>
        <w:numPr>
          <w:ilvl w:val="0"/>
          <w:numId w:val="1"/>
        </w:numPr>
        <w:shd w:val="clear" w:color="auto" w:fill="auto"/>
        <w:tabs>
          <w:tab w:val="clear" w:pos="720"/>
          <w:tab w:val="left" w:pos="350" w:leader="none"/>
        </w:tabs>
        <w:bidi w:val="0"/>
        <w:spacing w:lineRule="auto" w:line="240" w:before="0" w:after="240"/>
        <w:ind w:hanging="340" w:left="340" w:right="0"/>
        <w:jc w:val="both"/>
        <w:rPr/>
      </w:pPr>
      <w:r>
        <w:rPr>
          <w:rStyle w:val="Zkladntext"/>
        </w:rPr>
        <w:t>Na základě této Smlouvy se Zhotovitel zavazuje zhotovit a Objednateli předat dílo v rozsahu, způsobem a v termínech stanovených touto smlouvou. Rozsah závazku Zhotovitele zahrnuje veškeré dodávky a služby, které jsou specifikovány v čl. II. této smlouvy.</w:t>
      </w:r>
    </w:p>
    <w:p>
      <w:pPr>
        <w:pStyle w:val="Zkladntext1"/>
        <w:keepNext w:val="false"/>
        <w:keepLines w:val="false"/>
        <w:widowControl w:val="false"/>
        <w:numPr>
          <w:ilvl w:val="0"/>
          <w:numId w:val="1"/>
        </w:numPr>
        <w:shd w:val="clear" w:color="auto" w:fill="auto"/>
        <w:tabs>
          <w:tab w:val="clear" w:pos="720"/>
          <w:tab w:val="left" w:pos="350" w:leader="none"/>
        </w:tabs>
        <w:bidi w:val="0"/>
        <w:spacing w:lineRule="auto" w:line="240" w:before="0" w:after="240"/>
        <w:ind w:hanging="340" w:left="340" w:right="0"/>
        <w:jc w:val="both"/>
        <w:rPr/>
      </w:pPr>
      <w:r>
        <w:rPr>
          <w:rStyle w:val="Zkladntext"/>
        </w:rPr>
        <w:t>Objednatel se zavazuje poskytnout Zhotoviteli přiměřenou součinnost ke splnění jeho závazků z této Smlouvy.</w:t>
      </w:r>
    </w:p>
    <w:p>
      <w:pPr>
        <w:pStyle w:val="Zkladntext1"/>
        <w:keepNext w:val="false"/>
        <w:keepLines w:val="false"/>
        <w:widowControl w:val="false"/>
        <w:numPr>
          <w:ilvl w:val="0"/>
          <w:numId w:val="1"/>
        </w:numPr>
        <w:shd w:val="clear" w:color="auto" w:fill="auto"/>
        <w:tabs>
          <w:tab w:val="clear" w:pos="720"/>
          <w:tab w:val="left" w:pos="350" w:leader="none"/>
        </w:tabs>
        <w:bidi w:val="0"/>
        <w:spacing w:lineRule="auto" w:line="240" w:before="0" w:after="500"/>
        <w:ind w:hanging="340" w:left="340" w:right="0"/>
        <w:jc w:val="both"/>
        <w:rPr/>
      </w:pPr>
      <w:r>
        <w:rPr>
          <w:rStyle w:val="Zkladntext"/>
        </w:rPr>
        <w:t>Objednatel se zavazuje zhotovené dílo převzít a zaplatit za něj sjednanou cenu ve výši, způsobem a za podmínek uvedených v této Smlouvě.</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II</w:t>
      </w:r>
    </w:p>
    <w:p>
      <w:pPr>
        <w:pStyle w:val="Nadpis31"/>
        <w:keepNext w:val="true"/>
        <w:keepLines/>
        <w:widowControl w:val="false"/>
        <w:shd w:val="clear" w:color="auto" w:fill="auto"/>
        <w:bidi w:val="0"/>
        <w:spacing w:lineRule="auto" w:line="240" w:before="0" w:after="240"/>
        <w:ind w:hanging="0" w:left="0" w:right="0"/>
        <w:jc w:val="center"/>
        <w:rPr/>
      </w:pPr>
      <w:bookmarkStart w:id="2" w:name="bookmark5"/>
      <w:r>
        <w:rPr>
          <w:rStyle w:val="Nadpis3"/>
          <w:b/>
          <w:bCs/>
        </w:rPr>
        <w:t>Předmět Smlouvy a rozsah Díla</w:t>
      </w:r>
      <w:bookmarkEnd w:id="2"/>
    </w:p>
    <w:p>
      <w:pPr>
        <w:pStyle w:val="Zkladntext1"/>
        <w:keepNext w:val="false"/>
        <w:keepLines w:val="false"/>
        <w:widowControl w:val="false"/>
        <w:numPr>
          <w:ilvl w:val="0"/>
          <w:numId w:val="2"/>
        </w:numPr>
        <w:shd w:val="clear" w:color="auto" w:fill="auto"/>
        <w:tabs>
          <w:tab w:val="clear" w:pos="720"/>
          <w:tab w:val="left" w:pos="715" w:leader="none"/>
        </w:tabs>
        <w:bidi w:val="0"/>
        <w:spacing w:lineRule="auto" w:line="240" w:before="0" w:after="360"/>
        <w:ind w:hanging="360" w:left="720" w:right="0"/>
        <w:jc w:val="both"/>
        <w:rPr/>
      </w:pPr>
      <w:r>
        <w:rPr>
          <w:rStyle w:val="Zkladntext"/>
        </w:rPr>
        <w:t xml:space="preserve">Předmětem Smlouvy je zhotovení díla - kompletní projektové dokumentace (dále také jen „Dílo“) a poskytování služeb autorského dozoru projektanta při realizaci stavby </w:t>
      </w:r>
      <w:r>
        <w:rPr>
          <w:rStyle w:val="Zkladntext"/>
          <w:b/>
          <w:bCs/>
        </w:rPr>
        <w:t>Léčebna dlouhodobě nemocných Rybitví - přístavba lůžkového pavilonu.</w:t>
      </w:r>
    </w:p>
    <w:p>
      <w:pPr>
        <w:pStyle w:val="Zkladntext1"/>
        <w:keepNext w:val="false"/>
        <w:keepLines w:val="false"/>
        <w:widowControl w:val="false"/>
        <w:numPr>
          <w:ilvl w:val="0"/>
          <w:numId w:val="2"/>
        </w:numPr>
        <w:shd w:val="clear" w:color="auto" w:fill="auto"/>
        <w:tabs>
          <w:tab w:val="clear" w:pos="720"/>
          <w:tab w:val="left" w:pos="702" w:leader="none"/>
        </w:tabs>
        <w:bidi w:val="0"/>
        <w:spacing w:lineRule="auto" w:line="240" w:before="0" w:after="240"/>
        <w:ind w:firstLine="340" w:left="0" w:right="0"/>
        <w:jc w:val="both"/>
        <w:rPr/>
      </w:pPr>
      <w:r>
        <w:rPr>
          <w:rStyle w:val="Zkladntext"/>
        </w:rPr>
        <w:t>Dílo je tvořeno následujícími dílčími částmi:</w:t>
      </w:r>
    </w:p>
    <w:p>
      <w:pPr>
        <w:pStyle w:val="Zkladntext1"/>
        <w:keepNext w:val="false"/>
        <w:keepLines w:val="false"/>
        <w:widowControl w:val="false"/>
        <w:numPr>
          <w:ilvl w:val="0"/>
          <w:numId w:val="3"/>
        </w:numPr>
        <w:shd w:val="clear" w:color="auto" w:fill="auto"/>
        <w:tabs>
          <w:tab w:val="clear" w:pos="720"/>
          <w:tab w:val="left" w:pos="1062" w:leader="none"/>
        </w:tabs>
        <w:bidi w:val="0"/>
        <w:spacing w:lineRule="auto" w:line="240" w:before="0" w:after="0"/>
        <w:ind w:hanging="280" w:left="1020" w:right="0"/>
        <w:jc w:val="both"/>
        <w:rPr/>
      </w:pPr>
      <w:r>
        <w:rPr>
          <w:rStyle w:val="Zkladntext"/>
        </w:rPr>
        <w:t>Zpracování projektové dokumentace pro povolení stavby ve smyslu vyhlášky č. 131/2024 Sb., o dokumentaci staveb, včetně orientační specifikace. Projektová dokumentace bude řešit lokalitu jako celek. Návrh dokumentace bude projednán a schválen se zástupci Objednatele. Zhotovitel zajistí kontrolní dny přípravy projektové dokumentace s Objednatelem, a to minimálně dvakrát měsíčně nebo kdykoli na výzvu Objednatele. Konzultace proběhnou v sídle objednatele. Zhotovitel oznámí konání konzultace vždy alespoň jeden týden předem. Objednatel zajistí patřičné prostory. Zhotovitel není povinen provést konzultaci dle tohoto ustanovení v případě, že objednatel písemně označí její konání za nadbytečné.</w:t>
      </w:r>
    </w:p>
    <w:p>
      <w:pPr>
        <w:pStyle w:val="Zkladntext1"/>
        <w:keepNext w:val="false"/>
        <w:keepLines w:val="false"/>
        <w:widowControl w:val="false"/>
        <w:numPr>
          <w:ilvl w:val="0"/>
          <w:numId w:val="3"/>
        </w:numPr>
        <w:shd w:val="clear" w:color="auto" w:fill="auto"/>
        <w:tabs>
          <w:tab w:val="clear" w:pos="720"/>
          <w:tab w:val="left" w:pos="1062" w:leader="none"/>
        </w:tabs>
        <w:bidi w:val="0"/>
        <w:spacing w:lineRule="auto" w:line="240" w:before="0" w:after="100"/>
        <w:ind w:hanging="280" w:left="1020" w:right="0"/>
        <w:jc w:val="both"/>
        <w:rPr/>
      </w:pPr>
      <w:r>
        <w:rPr>
          <w:rStyle w:val="Zkladntext"/>
        </w:rPr>
        <w:t>Zajištění kompletní inženýrské činnosti v rozsahu společného územního rozhodnutí o umístění stavby a stavebního povolení (zejména zajištění vyjádření SIS, DOSS pro vydání společného povolení).</w:t>
      </w:r>
    </w:p>
    <w:p>
      <w:pPr>
        <w:pStyle w:val="Zkladntext1"/>
        <w:keepNext w:val="false"/>
        <w:keepLines w:val="false"/>
        <w:widowControl w:val="false"/>
        <w:numPr>
          <w:ilvl w:val="0"/>
          <w:numId w:val="3"/>
        </w:numPr>
        <w:shd w:val="clear" w:color="auto" w:fill="auto"/>
        <w:tabs>
          <w:tab w:val="clear" w:pos="720"/>
          <w:tab w:val="left" w:pos="1138" w:leader="none"/>
        </w:tabs>
        <w:bidi w:val="0"/>
        <w:spacing w:lineRule="auto" w:line="240" w:before="0" w:after="100"/>
        <w:ind w:hanging="200" w:left="1020" w:right="0"/>
        <w:jc w:val="both"/>
        <w:rPr/>
      </w:pPr>
      <w:r>
        <w:rPr>
          <w:rStyle w:val="Zkladntext"/>
        </w:rPr>
        <w:t>Zpracování projektové dokumentace pro provedení stavby (DPS), včetně soupisu stavebních prací, dodávek a služeb s výkazem výměr v rozsahu nezbytném pro výběr zhotovitele a provedení díla ve smyslu vyhlášky č. 169/2016 Sb. Návrh dokumentace bude projednán a schválen se zástupci objednatele. Zhotovitel provede průběžnou konzultaci přípravy projektové dokumentace s objednatelem, a to minimálně jednou měsíčně. Konzultace proběhnou v sídle objednatele. Objednatel oznámí konání konzultace vždy alespoň jeden týden předem. Objednatel zajistí patřičné prostory. Zhotovitel není povinen provést konzultaci dle tohoto ustanovení v případě, že objednatel písemně označí její konání za nadbytečné. Maximální doba provádění díla pro tuto etapu je 180 dnů po nabytí právní moci stavebního povolení.</w:t>
      </w:r>
    </w:p>
    <w:p>
      <w:pPr>
        <w:pStyle w:val="Zkladntext1"/>
        <w:keepNext w:val="false"/>
        <w:keepLines w:val="false"/>
        <w:widowControl w:val="false"/>
        <w:numPr>
          <w:ilvl w:val="0"/>
          <w:numId w:val="3"/>
        </w:numPr>
        <w:shd w:val="clear" w:color="auto" w:fill="auto"/>
        <w:tabs>
          <w:tab w:val="clear" w:pos="720"/>
          <w:tab w:val="left" w:pos="1152" w:leader="none"/>
        </w:tabs>
        <w:bidi w:val="0"/>
        <w:spacing w:lineRule="auto" w:line="240" w:before="0" w:after="240"/>
        <w:ind w:hanging="200" w:left="1020" w:right="0"/>
        <w:jc w:val="both"/>
        <w:rPr/>
      </w:pPr>
      <w:r>
        <w:rPr>
          <w:rStyle w:val="Zkladntext"/>
        </w:rPr>
        <w:t>Provádění autorského dozoru při provádění stavby, který bude prováděn po jednotlivých etapách, včetně součinnosti při výběru zhotovitele stavby (ATD) a provedení související činnosti při realizaci stavby, tj. zejména:</w:t>
      </w:r>
    </w:p>
    <w:p>
      <w:pPr>
        <w:pStyle w:val="Zkladntext1"/>
        <w:keepNext w:val="false"/>
        <w:keepLines w:val="false"/>
        <w:widowControl w:val="false"/>
        <w:numPr>
          <w:ilvl w:val="0"/>
          <w:numId w:val="4"/>
        </w:numPr>
        <w:shd w:val="clear" w:color="auto" w:fill="auto"/>
        <w:tabs>
          <w:tab w:val="clear" w:pos="720"/>
          <w:tab w:val="left" w:pos="1745" w:leader="none"/>
        </w:tabs>
        <w:bidi w:val="0"/>
        <w:spacing w:lineRule="auto" w:line="240" w:before="0" w:after="0"/>
        <w:ind w:hanging="360" w:left="1740" w:right="0"/>
        <w:jc w:val="both"/>
        <w:rPr/>
      </w:pPr>
      <w:r>
        <w:rPr>
          <w:rStyle w:val="Zkladntext"/>
        </w:rPr>
        <w:t>kontrola dodržení projektu s přihlédnutím k podmínkám určeným stavebním povolením s poskytováním vysvětlení potřebných pro plynulost výstavby,</w:t>
      </w:r>
    </w:p>
    <w:p>
      <w:pPr>
        <w:pStyle w:val="Zkladntext1"/>
        <w:keepNext w:val="false"/>
        <w:keepLines w:val="false"/>
        <w:widowControl w:val="false"/>
        <w:numPr>
          <w:ilvl w:val="0"/>
          <w:numId w:val="4"/>
        </w:numPr>
        <w:shd w:val="clear" w:color="auto" w:fill="auto"/>
        <w:tabs>
          <w:tab w:val="clear" w:pos="720"/>
          <w:tab w:val="left" w:pos="1745" w:leader="none"/>
        </w:tabs>
        <w:bidi w:val="0"/>
        <w:spacing w:lineRule="auto" w:line="240" w:before="0" w:after="0"/>
        <w:ind w:hanging="0" w:left="1380" w:right="0"/>
        <w:jc w:val="both"/>
        <w:rPr/>
      </w:pPr>
      <w:r>
        <w:rPr>
          <w:rStyle w:val="Zkladntext"/>
        </w:rPr>
        <w:t>poskytování vysvětlení potřebných pro vypracování dodavatelské dokumentace,</w:t>
      </w:r>
    </w:p>
    <w:p>
      <w:pPr>
        <w:pStyle w:val="Zkladntext1"/>
        <w:keepNext w:val="false"/>
        <w:keepLines w:val="false"/>
        <w:widowControl w:val="false"/>
        <w:numPr>
          <w:ilvl w:val="0"/>
          <w:numId w:val="4"/>
        </w:numPr>
        <w:shd w:val="clear" w:color="auto" w:fill="auto"/>
        <w:tabs>
          <w:tab w:val="clear" w:pos="720"/>
          <w:tab w:val="left" w:pos="1745" w:leader="none"/>
        </w:tabs>
        <w:bidi w:val="0"/>
        <w:spacing w:lineRule="auto" w:line="240" w:before="0" w:after="0"/>
        <w:ind w:hanging="360" w:left="1740" w:right="0"/>
        <w:jc w:val="both"/>
        <w:rPr/>
      </w:pPr>
      <w:r>
        <w:rPr>
          <w:rStyle w:val="Zkladntext"/>
        </w:rPr>
        <w:t>projednávání, upřesňování a schvalování projektových změn formou zápisu do stavebního deníku s event. malou obrazovou přílohou (popř. jiným způsobem dohodnutým s účastníky výstavby), pokud nemají dopad na zvýšení ceny díla a zhoršení technických parametrů stavby,</w:t>
      </w:r>
    </w:p>
    <w:p>
      <w:pPr>
        <w:sectPr>
          <w:type w:val="nextPage"/>
          <w:pgSz w:w="11906" w:h="16838"/>
          <w:pgMar w:left="684" w:right="722" w:gutter="0" w:header="0" w:top="1386" w:footer="0" w:bottom="586"/>
          <w:pgNumType w:fmt="decimal"/>
          <w:formProt w:val="false"/>
          <w:textDirection w:val="lrTb"/>
          <w:docGrid w:type="default" w:linePitch="360" w:charSpace="0"/>
        </w:sectPr>
        <w:pStyle w:val="Zkladntext1"/>
        <w:keepNext w:val="false"/>
        <w:keepLines w:val="false"/>
        <w:widowControl w:val="false"/>
        <w:numPr>
          <w:ilvl w:val="0"/>
          <w:numId w:val="4"/>
        </w:numPr>
        <w:shd w:val="clear" w:color="auto" w:fill="auto"/>
        <w:tabs>
          <w:tab w:val="clear" w:pos="720"/>
          <w:tab w:val="left" w:pos="1745" w:leader="none"/>
        </w:tabs>
        <w:bidi w:val="0"/>
        <w:spacing w:lineRule="auto" w:line="240" w:before="0" w:after="240"/>
        <w:ind w:hanging="0" w:left="1380" w:right="0"/>
        <w:jc w:val="both"/>
        <w:rPr/>
      </w:pPr>
      <w:r>
        <w:rPr>
          <w:rStyle w:val="Zkladntext"/>
        </w:rPr>
        <w:t>účast na jednáních zúčastněných partnerů výstavby, jako jsou kontrolní dny stavby, a</w:t>
      </w:r>
    </w:p>
    <w:p>
      <w:pPr>
        <w:pStyle w:val="Zkladntext1"/>
        <w:keepNext w:val="false"/>
        <w:keepLines w:val="false"/>
        <w:widowControl w:val="false"/>
        <w:shd w:val="clear" w:color="auto" w:fill="auto"/>
        <w:bidi w:val="0"/>
        <w:spacing w:lineRule="auto" w:line="240" w:before="0" w:after="0"/>
        <w:ind w:hanging="0" w:left="1820" w:right="0"/>
        <w:jc w:val="both"/>
        <w:rPr/>
      </w:pPr>
      <w:r>
        <w:rPr>
          <w:rStyle w:val="Zkladntext"/>
          <w:color w:val="000000"/>
        </w:rPr>
        <w:t>zvláštních jednáních o řešení jednotlivých případů,</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340" w:left="1820" w:right="0"/>
        <w:jc w:val="both"/>
        <w:rPr/>
      </w:pPr>
      <w:r>
        <w:rPr>
          <w:rStyle w:val="Zkladntext"/>
          <w:color w:val="000000"/>
        </w:rPr>
        <w:t>vyjadřování se a schvalování návrhů záměny použití materiálů oproti projektu za materiály obdobných vlastností na základě požadavků zhotovitele nebo investora stavby,</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340" w:left="1820" w:right="0"/>
        <w:jc w:val="both"/>
        <w:rPr/>
      </w:pPr>
      <w:r>
        <w:rPr>
          <w:rStyle w:val="Zkladntext"/>
          <w:color w:val="000000"/>
        </w:rPr>
        <w:t>vyjádření k požadavkům na větší množství výrobků a výkonů oproti projednané dokumentaci,</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0" w:left="1480" w:right="0"/>
        <w:jc w:val="both"/>
        <w:rPr/>
      </w:pPr>
      <w:r>
        <w:rPr>
          <w:rStyle w:val="Zkladntext"/>
          <w:color w:val="000000"/>
        </w:rPr>
        <w:t>účast na předání a převzetí stavby nebo její části do užívání,</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0" w:left="1480" w:right="0"/>
        <w:jc w:val="both"/>
        <w:rPr/>
      </w:pPr>
      <w:r>
        <w:rPr>
          <w:rStyle w:val="Zkladntext"/>
          <w:color w:val="000000"/>
        </w:rPr>
        <w:t>účast v kolaudačním řízení a poskytování potřebné spolupráce a vysvětlení,</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340" w:left="1820" w:right="0"/>
        <w:jc w:val="both"/>
        <w:rPr/>
      </w:pPr>
      <w:r>
        <w:rPr>
          <w:rStyle w:val="Zkladntext"/>
          <w:color w:val="000000"/>
        </w:rPr>
        <w:t>porovnání věcných údajů uvedených v žádosti o vydání kolaudačního souhlasu s údaji uvedenými ve vydaném souhlasu - za tímto účelem je objednatel povinen bez jakéhokoliv odkladu předat zhotoviteli vydaný kolaudační souhlas. V případě zjištění rozdílných údajů mezi výše uvedenými podklady a vydaným souhlasem musí poskytovatel o této skutečnosti informovat objednatele;</w:t>
      </w:r>
    </w:p>
    <w:p>
      <w:pPr>
        <w:pStyle w:val="Zkladntext1"/>
        <w:keepNext w:val="false"/>
        <w:keepLines w:val="false"/>
        <w:widowControl w:val="false"/>
        <w:numPr>
          <w:ilvl w:val="0"/>
          <w:numId w:val="4"/>
        </w:numPr>
        <w:shd w:val="clear" w:color="auto" w:fill="auto"/>
        <w:tabs>
          <w:tab w:val="clear" w:pos="720"/>
          <w:tab w:val="left" w:pos="1845" w:leader="none"/>
        </w:tabs>
        <w:bidi w:val="0"/>
        <w:spacing w:lineRule="auto" w:line="240" w:before="0" w:after="0"/>
        <w:ind w:hanging="340" w:left="1820" w:right="0"/>
        <w:jc w:val="both"/>
        <w:rPr/>
      </w:pPr>
      <w:r>
        <w:rPr>
          <w:rStyle w:val="Zkladntext"/>
          <w:color w:val="000000"/>
        </w:rPr>
        <w:t>plnění dalších povinností vyžádaných objednatelem, které souvisejí s autorským dozorem.</w:t>
      </w:r>
    </w:p>
    <w:p>
      <w:pPr>
        <w:pStyle w:val="Zkladntext1"/>
        <w:keepNext w:val="false"/>
        <w:keepLines w:val="false"/>
        <w:widowControl w:val="false"/>
        <w:shd w:val="clear" w:color="auto" w:fill="auto"/>
        <w:bidi w:val="0"/>
        <w:spacing w:lineRule="auto" w:line="240" w:before="0" w:after="100"/>
        <w:ind w:hanging="0" w:left="1120" w:right="0"/>
        <w:jc w:val="both"/>
        <w:rPr/>
      </w:pPr>
      <w:r>
        <w:rPr>
          <w:rStyle w:val="Zkladntext"/>
          <w:color w:val="000000"/>
        </w:rPr>
        <w:t>Pro všechny výše uvedené činnosti objednatel stanovuje maximální lhůtu do 15 kalendářních dnů ode dne nastalé skutečnosti.</w:t>
      </w:r>
    </w:p>
    <w:p>
      <w:pPr>
        <w:pStyle w:val="Zkladntext1"/>
        <w:keepNext w:val="false"/>
        <w:keepLines w:val="false"/>
        <w:widowControl w:val="false"/>
        <w:numPr>
          <w:ilvl w:val="0"/>
          <w:numId w:val="2"/>
        </w:numPr>
        <w:shd w:val="clear" w:color="auto" w:fill="auto"/>
        <w:tabs>
          <w:tab w:val="clear" w:pos="720"/>
          <w:tab w:val="left" w:pos="352" w:leader="none"/>
        </w:tabs>
        <w:bidi w:val="0"/>
        <w:spacing w:lineRule="auto" w:line="240" w:before="0" w:after="240"/>
        <w:ind w:hanging="340" w:left="340" w:right="0"/>
        <w:jc w:val="both"/>
        <w:rPr/>
      </w:pPr>
      <w:r>
        <w:rPr>
          <w:rStyle w:val="Zkladntext"/>
          <w:color w:val="000000"/>
        </w:rPr>
        <w:t>Za zhotovení částí díla uvedených v odstavci 2. tohoto článku pod písmeny a) a b) se považuje vypracování projektu uvedeného díla tak, aby mohla sloužit jako podklad k zajištění pravomocného kladného rozhodnutí příslušného správního orgánu k takové části díla se vztahující.</w:t>
      </w:r>
    </w:p>
    <w:p>
      <w:pPr>
        <w:pStyle w:val="Zkladntext1"/>
        <w:keepNext w:val="false"/>
        <w:keepLines w:val="false"/>
        <w:widowControl w:val="false"/>
        <w:numPr>
          <w:ilvl w:val="0"/>
          <w:numId w:val="2"/>
        </w:numPr>
        <w:shd w:val="clear" w:color="auto" w:fill="auto"/>
        <w:tabs>
          <w:tab w:val="clear" w:pos="720"/>
          <w:tab w:val="left" w:pos="352" w:leader="none"/>
        </w:tabs>
        <w:bidi w:val="0"/>
        <w:spacing w:lineRule="auto" w:line="240" w:before="0" w:after="0"/>
        <w:ind w:hanging="340" w:left="340" w:right="0"/>
        <w:jc w:val="both"/>
        <w:rPr/>
      </w:pPr>
      <w:r>
        <w:rPr>
          <w:rStyle w:val="Zkladntext"/>
          <w:color w:val="000000"/>
        </w:rPr>
        <w:t>Projektová dokumentace podle bodu c) bude obsahovat u jednotlivých stavebních objektů a položek soupisu dodávek kód CPV, CZ-CPA a CZ-CC.</w:t>
      </w:r>
    </w:p>
    <w:p>
      <w:pPr>
        <w:pStyle w:val="Zkladntext1"/>
        <w:keepNext w:val="false"/>
        <w:keepLines w:val="false"/>
        <w:widowControl w:val="false"/>
        <w:shd w:val="clear" w:color="auto" w:fill="auto"/>
        <w:bidi w:val="0"/>
        <w:spacing w:lineRule="auto" w:line="240" w:before="0" w:after="240"/>
        <w:ind w:firstLine="40" w:left="340" w:right="0"/>
        <w:jc w:val="both"/>
        <w:rPr/>
      </w:pPr>
      <w:r>
        <w:rPr>
          <w:rStyle w:val="Zkladntext"/>
          <w:color w:val="000000"/>
        </w:rPr>
        <w:t>Paré č. 1 a 2 projektová dokumentace podle bodu e) bude obsahovat oceněný soupis stavebních prací a služeb s výkazem výměr dle vyhl. č. 169/2016 Sb., platné a účinné v době dokončení dokumentace. Použitá cenová úroveň bude v komentáři uvedena. Ceny budou uvedeny bez DPH, u všech položek bude stanovena sazba DPH a uvedena cena včetně DPH. Součástí projektové dokumentace bude plán bezpečnosti a ochrany zdraví při práci na staveništi zpracovaný osobou odborně způsobilou podle zákona č. 309/2006 Sb., v platném znění s ohledem na druh a velikost stavby tak, aby plně vyhovoval potřebám zajištění bezpečné a zdraví neohrožující práce a projekt ZOV.</w:t>
      </w:r>
    </w:p>
    <w:p>
      <w:pPr>
        <w:pStyle w:val="Zkladntext1"/>
        <w:keepNext w:val="false"/>
        <w:keepLines w:val="false"/>
        <w:widowControl w:val="false"/>
        <w:numPr>
          <w:ilvl w:val="0"/>
          <w:numId w:val="2"/>
        </w:numPr>
        <w:shd w:val="clear" w:color="auto" w:fill="auto"/>
        <w:tabs>
          <w:tab w:val="clear" w:pos="720"/>
          <w:tab w:val="left" w:pos="352" w:leader="none"/>
        </w:tabs>
        <w:bidi w:val="0"/>
        <w:spacing w:lineRule="auto" w:line="240" w:before="0" w:after="240"/>
        <w:ind w:hanging="340" w:left="340" w:right="0"/>
        <w:jc w:val="both"/>
        <w:rPr/>
      </w:pPr>
      <w:r>
        <w:rPr>
          <w:rStyle w:val="Zkladntext"/>
          <w:color w:val="000000"/>
        </w:rPr>
        <w:t>Veškeré části díla musí být zhotoveny dle této smlouvy a dle případných písemných požadavků Objednatele na změny zadání a dle písemných pokynů Objednatele. V případě, že Objednatel dá Zhotoviteli takový pokyn, který není možné splnit, respektive podle kterého nebude možné zhotovit dílo nebo některou jeho část tak, aby bylo řádně dokončeno - u částí díla uvedených pod písm. c) až e) pravomocným schválením správních orgánů - je Zhotovitel povinen toto Objednateli písemně sdělit a nepokračovat ve zhotovování Díla do doby vyřešení takového stavu. O dobu od sdělení, že se jedná o nevhodný pokyn do doby vyřešení takového stavu a podání nového pokynu se prodlužuje doba plnění Díla dle článku III. této smlouvy.</w:t>
      </w:r>
    </w:p>
    <w:p>
      <w:pPr>
        <w:pStyle w:val="Zkladntext1"/>
        <w:keepNext w:val="false"/>
        <w:keepLines w:val="false"/>
        <w:widowControl w:val="false"/>
        <w:numPr>
          <w:ilvl w:val="0"/>
          <w:numId w:val="2"/>
        </w:numPr>
        <w:shd w:val="clear" w:color="auto" w:fill="auto"/>
        <w:tabs>
          <w:tab w:val="clear" w:pos="720"/>
          <w:tab w:val="left" w:pos="352" w:leader="none"/>
        </w:tabs>
        <w:bidi w:val="0"/>
        <w:spacing w:lineRule="auto" w:line="240" w:before="0" w:after="500"/>
        <w:ind w:hanging="340" w:left="340" w:right="0"/>
        <w:jc w:val="both"/>
        <w:rPr/>
      </w:pPr>
      <w:r>
        <w:rPr>
          <w:rStyle w:val="Zkladntext"/>
          <w:color w:val="000000"/>
        </w:rPr>
        <w:t>Objednatel je oprávněn kdykoliv v průběhu zhotovování Díla zúžit rozsah prováděného díla, a to tak, že oznámí Zhotoviteli, že části díla, které mají následovat po té části díla, kterou Zhotovitel právě provádí, již nepožaduje od Zhotovitele provést. V takovém případě Objednatel dokončí část díla, kterou právě provádí a další části díla již provádět nebude, přičemž za tyto části díla, které Zhotovitel provádět nebude, mu nepřísluší úhrada. O cenu takových částí díla se snižuje celková Cena díla.</w:t>
      </w:r>
    </w:p>
    <w:p>
      <w:pPr>
        <w:pStyle w:val="Zkladntext1"/>
        <w:keepNext w:val="false"/>
        <w:keepLines w:val="false"/>
        <w:widowControl w:val="false"/>
        <w:shd w:val="clear" w:color="auto" w:fill="auto"/>
        <w:bidi w:val="0"/>
        <w:spacing w:lineRule="auto" w:line="240" w:before="0" w:after="240"/>
        <w:ind w:hanging="0" w:left="0" w:right="0"/>
        <w:jc w:val="center"/>
        <w:rPr/>
      </w:pPr>
      <w:r>
        <w:rPr>
          <w:rStyle w:val="Zkladntext"/>
          <w:color w:val="000000"/>
        </w:rPr>
        <w:t>Článek III</w:t>
        <w:br/>
      </w:r>
      <w:r>
        <w:rPr>
          <w:rStyle w:val="Zkladntext"/>
          <w:b/>
          <w:bCs/>
          <w:color w:val="000000"/>
        </w:rPr>
        <w:t>Čas plnění Díla</w:t>
      </w:r>
    </w:p>
    <w:p>
      <w:pPr>
        <w:pStyle w:val="Zkladntext1"/>
        <w:keepNext w:val="false"/>
        <w:keepLines w:val="false"/>
        <w:widowControl w:val="false"/>
        <w:numPr>
          <w:ilvl w:val="0"/>
          <w:numId w:val="5"/>
        </w:numPr>
        <w:shd w:val="clear" w:color="auto" w:fill="auto"/>
        <w:tabs>
          <w:tab w:val="clear" w:pos="720"/>
          <w:tab w:val="left" w:pos="352" w:leader="none"/>
        </w:tabs>
        <w:bidi w:val="0"/>
        <w:spacing w:lineRule="auto" w:line="240" w:before="0" w:after="0"/>
        <w:ind w:hanging="0" w:left="0" w:right="0"/>
        <w:jc w:val="both"/>
        <w:rPr/>
      </w:pPr>
      <w:r>
        <w:rPr>
          <w:rStyle w:val="Zkladntext"/>
          <w:color w:val="000000"/>
        </w:rPr>
        <w:t>Zhotovitel se zavazuje provést sjednané Dílo v následujících termínech:</w:t>
      </w:r>
    </w:p>
    <w:p>
      <w:pPr>
        <w:pStyle w:val="Zkladntext1"/>
        <w:keepNext w:val="false"/>
        <w:keepLines w:val="false"/>
        <w:widowControl w:val="false"/>
        <w:numPr>
          <w:ilvl w:val="0"/>
          <w:numId w:val="6"/>
        </w:numPr>
        <w:shd w:val="clear" w:color="auto" w:fill="auto"/>
        <w:tabs>
          <w:tab w:val="clear" w:pos="720"/>
          <w:tab w:val="left" w:pos="1065" w:leader="none"/>
        </w:tabs>
        <w:bidi w:val="0"/>
        <w:spacing w:lineRule="auto" w:line="240" w:before="0" w:after="100"/>
        <w:ind w:hanging="360" w:left="1060" w:right="0"/>
        <w:jc w:val="both"/>
        <w:rPr/>
      </w:pPr>
      <w:r>
        <w:rPr>
          <w:rStyle w:val="Zkladntext"/>
          <w:color w:val="000000"/>
        </w:rPr>
        <w:t>Celková doba Zpracování projektové dokumentace k povolení stavby dle vyhl. 131/2024 Sb., o dokumentaci staveb, včetně orientačního rozpočtu nejpozději za 45 kalendářních dnů od písemné výzvy k plnění této smlouvy.</w:t>
      </w:r>
    </w:p>
    <w:p>
      <w:pPr>
        <w:pStyle w:val="Zkladntext1"/>
        <w:keepNext w:val="false"/>
        <w:keepLines w:val="false"/>
        <w:widowControl w:val="false"/>
        <w:numPr>
          <w:ilvl w:val="0"/>
          <w:numId w:val="6"/>
        </w:numPr>
        <w:shd w:val="clear" w:color="auto" w:fill="auto"/>
        <w:tabs>
          <w:tab w:val="clear" w:pos="720"/>
          <w:tab w:val="left" w:pos="1065" w:leader="none"/>
        </w:tabs>
        <w:bidi w:val="0"/>
        <w:spacing w:lineRule="auto" w:line="240" w:before="0" w:after="100"/>
        <w:ind w:hanging="360" w:left="1060" w:right="0"/>
        <w:jc w:val="both"/>
        <w:rPr/>
      </w:pPr>
      <w:r>
        <w:rPr>
          <w:rStyle w:val="Zkladntext"/>
          <w:color w:val="000000"/>
        </w:rPr>
        <w:t>Objednatel stanovil nejdelší možnou lhůtu 30 dnů na projednání dokumentace uvedené pod písmenem a) s investorem a k zapracování jeho připomínek.</w:t>
      </w:r>
    </w:p>
    <w:p>
      <w:pPr>
        <w:sectPr>
          <w:type w:val="nextPage"/>
          <w:pgSz w:w="11906" w:h="16838"/>
          <w:pgMar w:left="647" w:right="694" w:gutter="0" w:header="0" w:top="1052" w:footer="0" w:bottom="660"/>
          <w:pgNumType w:fmt="decimal"/>
          <w:formProt w:val="false"/>
          <w:textDirection w:val="lrTb"/>
          <w:docGrid w:type="default" w:linePitch="360" w:charSpace="0"/>
        </w:sectPr>
        <w:pStyle w:val="Zkladntext1"/>
        <w:keepNext w:val="false"/>
        <w:keepLines w:val="false"/>
        <w:widowControl w:val="false"/>
        <w:numPr>
          <w:ilvl w:val="0"/>
          <w:numId w:val="6"/>
        </w:numPr>
        <w:shd w:val="clear" w:color="auto" w:fill="auto"/>
        <w:tabs>
          <w:tab w:val="clear" w:pos="720"/>
          <w:tab w:val="left" w:pos="1065" w:leader="none"/>
        </w:tabs>
        <w:bidi w:val="0"/>
        <w:spacing w:lineRule="auto" w:line="240" w:before="0" w:after="100"/>
        <w:ind w:hanging="360" w:left="1060" w:right="0"/>
        <w:jc w:val="both"/>
        <w:rPr/>
      </w:pPr>
      <w:r>
        <w:rPr>
          <w:rStyle w:val="Zkladntext"/>
          <w:color w:val="000000"/>
        </w:rPr>
        <w:t>Objednatel stanovil nejdelší možnou lhůtu 90 dnů na projednání návrhu stavby u dotčených orgánů a s účastníky stavebního řízení včetně inženýrské činnosti k podání žádosti o vydání</w:t>
      </w:r>
    </w:p>
    <w:p>
      <w:pPr>
        <w:pStyle w:val="Zkladntext1"/>
        <w:keepNext w:val="false"/>
        <w:keepLines w:val="false"/>
        <w:widowControl w:val="false"/>
        <w:shd w:val="clear" w:color="auto" w:fill="auto"/>
        <w:bidi w:val="0"/>
        <w:spacing w:lineRule="auto" w:line="240" w:before="220" w:after="100"/>
        <w:ind w:hanging="0" w:left="1120" w:right="0"/>
        <w:jc w:val="both"/>
        <w:rPr/>
      </w:pPr>
      <w:r>
        <w:rPr>
          <w:rStyle w:val="Zkladntext"/>
        </w:rPr>
        <w:t>stavebního povolení stavby.</w:t>
      </w:r>
    </w:p>
    <w:p>
      <w:pPr>
        <w:pStyle w:val="Zkladntext1"/>
        <w:keepNext w:val="false"/>
        <w:keepLines w:val="false"/>
        <w:widowControl w:val="false"/>
        <w:numPr>
          <w:ilvl w:val="0"/>
          <w:numId w:val="6"/>
        </w:numPr>
        <w:shd w:val="clear" w:color="auto" w:fill="auto"/>
        <w:tabs>
          <w:tab w:val="clear" w:pos="720"/>
          <w:tab w:val="left" w:pos="1127" w:leader="none"/>
        </w:tabs>
        <w:bidi w:val="0"/>
        <w:spacing w:lineRule="auto" w:line="240" w:before="0" w:after="100"/>
        <w:ind w:hanging="380" w:left="1120" w:right="0"/>
        <w:jc w:val="both"/>
        <w:rPr/>
      </w:pPr>
      <w:r>
        <w:rPr>
          <w:rStyle w:val="Zkladntext"/>
        </w:rPr>
        <w:t>Zpracování projektové dokumentace pro provedení stavby (DPS), včetně soupisu stavebních prací, dodávek a služeb s výkazem výměr v rozsahu nezbytném pro výběr zhotovitele a provedení díla ve smyslu vyhlášky č. 169/2016 Sb. b). Objednatel stanovil nejdelší možnou lhůtu 180 dnů po nabytí právní moci stavebního povolení.</w:t>
      </w:r>
    </w:p>
    <w:p>
      <w:pPr>
        <w:pStyle w:val="Zkladntext1"/>
        <w:keepNext w:val="false"/>
        <w:keepLines w:val="false"/>
        <w:widowControl w:val="false"/>
        <w:numPr>
          <w:ilvl w:val="0"/>
          <w:numId w:val="6"/>
        </w:numPr>
        <w:shd w:val="clear" w:color="auto" w:fill="auto"/>
        <w:tabs>
          <w:tab w:val="clear" w:pos="720"/>
          <w:tab w:val="left" w:pos="1122" w:leader="none"/>
        </w:tabs>
        <w:bidi w:val="0"/>
        <w:spacing w:lineRule="auto" w:line="240" w:before="0" w:after="100"/>
        <w:ind w:hanging="380" w:left="1120" w:right="0"/>
        <w:jc w:val="both"/>
        <w:rPr/>
      </w:pPr>
      <w:r>
        <w:rPr>
          <w:rStyle w:val="Zkladntext"/>
        </w:rPr>
        <w:t>Autorský dozor projektanta při realizaci stavby (AD) - dle článku II. pod písmenem d) po celou dobu realizace stavby, předpoklad r. 2026</w:t>
      </w:r>
    </w:p>
    <w:p>
      <w:pPr>
        <w:pStyle w:val="Zkladntext1"/>
        <w:keepNext w:val="false"/>
        <w:keepLines w:val="false"/>
        <w:widowControl w:val="false"/>
        <w:numPr>
          <w:ilvl w:val="0"/>
          <w:numId w:val="6"/>
        </w:numPr>
        <w:shd w:val="clear" w:color="auto" w:fill="auto"/>
        <w:tabs>
          <w:tab w:val="clear" w:pos="720"/>
          <w:tab w:val="left" w:pos="1062" w:leader="none"/>
        </w:tabs>
        <w:bidi w:val="0"/>
        <w:spacing w:lineRule="auto" w:line="240" w:before="0" w:after="500"/>
        <w:ind w:firstLine="700" w:left="0" w:right="0"/>
        <w:jc w:val="both"/>
        <w:rPr/>
      </w:pPr>
      <w:r>
        <w:rPr>
          <w:rStyle w:val="Zkladntext"/>
        </w:rPr>
        <w:t>Spolupráce při dokončení stavby - při dokončování stavby, předpoklad r. 2027</w:t>
      </w:r>
    </w:p>
    <w:p>
      <w:pPr>
        <w:pStyle w:val="Zkladntext1"/>
        <w:keepNext w:val="false"/>
        <w:keepLines w:val="false"/>
        <w:widowControl w:val="false"/>
        <w:shd w:val="clear" w:color="auto" w:fill="auto"/>
        <w:bidi w:val="0"/>
        <w:spacing w:lineRule="auto" w:line="240" w:before="0" w:after="0"/>
        <w:ind w:hanging="0" w:left="4940" w:right="0"/>
        <w:jc w:val="left"/>
        <w:rPr/>
      </w:pPr>
      <w:r>
        <w:rPr>
          <w:rStyle w:val="Zkladntext"/>
        </w:rPr>
        <w:t>Článek IV</w:t>
      </w:r>
    </w:p>
    <w:p>
      <w:pPr>
        <w:pStyle w:val="Nadpis31"/>
        <w:keepNext w:val="true"/>
        <w:keepLines/>
        <w:widowControl w:val="false"/>
        <w:shd w:val="clear" w:color="auto" w:fill="auto"/>
        <w:bidi w:val="0"/>
        <w:spacing w:lineRule="auto" w:line="240" w:before="0" w:after="240"/>
        <w:ind w:hanging="0" w:left="4940" w:right="0"/>
        <w:jc w:val="left"/>
        <w:rPr/>
      </w:pPr>
      <w:bookmarkStart w:id="3" w:name="bookmark7"/>
      <w:r>
        <w:rPr>
          <w:rStyle w:val="Nadpis3"/>
          <w:b/>
          <w:bCs/>
        </w:rPr>
        <w:t>Cena díla</w:t>
      </w:r>
      <w:bookmarkEnd w:id="3"/>
    </w:p>
    <w:p>
      <w:pPr>
        <w:pStyle w:val="Zkladntext1"/>
        <w:keepNext w:val="false"/>
        <w:keepLines w:val="false"/>
        <w:widowControl w:val="false"/>
        <w:numPr>
          <w:ilvl w:val="0"/>
          <w:numId w:val="7"/>
        </w:numPr>
        <w:shd w:val="clear" w:color="auto" w:fill="auto"/>
        <w:tabs>
          <w:tab w:val="clear" w:pos="720"/>
          <w:tab w:val="left" w:pos="350" w:leader="none"/>
        </w:tabs>
        <w:bidi w:val="0"/>
        <w:spacing w:lineRule="auto" w:line="240" w:before="0" w:after="240"/>
        <w:ind w:hanging="360" w:left="360" w:right="0"/>
        <w:jc w:val="both"/>
        <w:rPr/>
      </w:pPr>
      <w:r>
        <w:rPr>
          <w:rStyle w:val="Zkladntext"/>
        </w:rPr>
        <w:t>Cena za zhotovení Díla je cenou nejvýše přípustnou a je vypočítána jako součet cen jednotlivých částí díla, na kterých se Smluvní strany dohodly takto:</w:t>
      </w:r>
    </w:p>
    <w:tbl>
      <w:tblPr>
        <w:tblW w:w="6345" w:type="dxa"/>
        <w:jc w:val="left"/>
        <w:tblInd w:w="0" w:type="dxa"/>
        <w:tblLayout w:type="fixed"/>
        <w:tblCellMar>
          <w:top w:w="0" w:type="dxa"/>
          <w:left w:w="108" w:type="dxa"/>
          <w:bottom w:w="0" w:type="dxa"/>
          <w:right w:w="108" w:type="dxa"/>
        </w:tblCellMar>
      </w:tblPr>
      <w:tblGrid>
        <w:gridCol w:w="3940"/>
        <w:gridCol w:w="2404"/>
      </w:tblGrid>
      <w:tr>
        <w:trPr>
          <w:trHeight w:val="245" w:hRule="exact"/>
        </w:trPr>
        <w:tc>
          <w:tcPr>
            <w:tcW w:w="6344" w:type="dxa"/>
            <w:gridSpan w:val="2"/>
            <w:tcBorders/>
            <w:shd w:color="auto" w:fill="auto" w:val="clear"/>
            <w:vAlign w:val="bottom"/>
          </w:tcPr>
          <w:p>
            <w:pPr>
              <w:pStyle w:val="Jin1"/>
              <w:keepNext w:val="false"/>
              <w:keepLines w:val="false"/>
              <w:widowControl w:val="false"/>
              <w:shd w:val="clear" w:color="auto" w:fill="auto"/>
              <w:bidi w:val="0"/>
              <w:spacing w:lineRule="auto" w:line="240" w:before="0" w:after="0"/>
              <w:ind w:hanging="0" w:left="0" w:right="0"/>
              <w:jc w:val="left"/>
              <w:rPr/>
            </w:pPr>
            <w:r>
              <w:rPr>
                <w:rStyle w:val="Jin"/>
                <w:b/>
                <w:bCs/>
              </w:rPr>
              <w:t>dle čl. II, odst. a)</w:t>
            </w:r>
          </w:p>
        </w:tc>
      </w:tr>
      <w:tr>
        <w:trPr>
          <w:trHeight w:val="26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(bez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both"/>
              <w:rPr/>
            </w:pPr>
            <w:r>
              <w:rPr>
                <w:rStyle w:val="Jin"/>
              </w:rPr>
              <w:t>1,600.000,00 Kč</w:t>
            </w:r>
          </w:p>
        </w:tc>
      </w:tr>
      <w:tr>
        <w:trPr>
          <w:trHeight w:val="245"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DPH 21 %</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500" w:left="0" w:right="0"/>
              <w:jc w:val="both"/>
              <w:rPr/>
            </w:pPr>
            <w:r>
              <w:rPr>
                <w:rStyle w:val="Jin"/>
              </w:rPr>
              <w:t>336.000,00 Kč</w:t>
            </w:r>
          </w:p>
        </w:tc>
      </w:tr>
      <w:tr>
        <w:trPr>
          <w:trHeight w:val="25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vč.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both"/>
              <w:rPr/>
            </w:pPr>
            <w:r>
              <w:rPr>
                <w:rStyle w:val="Jin"/>
              </w:rPr>
              <w:t>1,936.000,00 Kč</w:t>
            </w:r>
          </w:p>
        </w:tc>
      </w:tr>
      <w:tr>
        <w:trPr>
          <w:trHeight w:val="25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hanging="0" w:left="0" w:right="0"/>
              <w:jc w:val="left"/>
              <w:rPr/>
            </w:pPr>
            <w:r>
              <w:rPr>
                <w:rStyle w:val="Jin"/>
                <w:b/>
                <w:bCs/>
              </w:rPr>
              <w:t>dle čl. II, odst. b)</w:t>
            </w:r>
          </w:p>
        </w:tc>
        <w:tc>
          <w:tcPr>
            <w:tcW w:w="2404" w:type="dxa"/>
            <w:tcBorders/>
            <w:shd w:color="auto" w:fill="auto" w:val="clear"/>
          </w:tcPr>
          <w:p>
            <w:pPr>
              <w:pStyle w:val="Normal"/>
              <w:widowControl w:val="false"/>
              <w:rPr>
                <w:sz w:val="10"/>
                <w:szCs w:val="10"/>
              </w:rPr>
            </w:pPr>
            <w:r>
              <w:rPr>
                <w:sz w:val="10"/>
                <w:szCs w:val="10"/>
              </w:rPr>
            </w:r>
          </w:p>
        </w:tc>
      </w:tr>
      <w:tr>
        <w:trPr>
          <w:trHeight w:val="259"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(bez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left"/>
              <w:rPr/>
            </w:pPr>
            <w:r>
              <w:rPr>
                <w:rStyle w:val="Jin"/>
              </w:rPr>
              <w:t>275.000,00 Kč</w:t>
            </w:r>
          </w:p>
        </w:tc>
      </w:tr>
      <w:tr>
        <w:trPr>
          <w:trHeight w:val="245"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DPH 21 %</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440" w:left="0" w:right="0"/>
              <w:jc w:val="left"/>
              <w:rPr/>
            </w:pPr>
            <w:r>
              <w:rPr>
                <w:rStyle w:val="Jin"/>
              </w:rPr>
              <w:t>57.750,00 Kč</w:t>
            </w:r>
          </w:p>
        </w:tc>
      </w:tr>
      <w:tr>
        <w:trPr>
          <w:trHeight w:val="25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vč.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left"/>
              <w:rPr/>
            </w:pPr>
            <w:r>
              <w:rPr>
                <w:rStyle w:val="Jin"/>
              </w:rPr>
              <w:t>332.750,00 Kč</w:t>
            </w:r>
          </w:p>
        </w:tc>
      </w:tr>
      <w:tr>
        <w:trPr>
          <w:trHeight w:val="25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hanging="0" w:left="0" w:right="0"/>
              <w:jc w:val="both"/>
              <w:rPr/>
            </w:pPr>
            <w:r>
              <w:rPr>
                <w:rStyle w:val="Jin"/>
                <w:b/>
                <w:bCs/>
              </w:rPr>
              <w:t>dle čl. II, odst. c)</w:t>
            </w:r>
          </w:p>
        </w:tc>
        <w:tc>
          <w:tcPr>
            <w:tcW w:w="2404" w:type="dxa"/>
            <w:tcBorders/>
            <w:shd w:color="auto" w:fill="auto" w:val="clear"/>
          </w:tcPr>
          <w:p>
            <w:pPr>
              <w:pStyle w:val="Normal"/>
              <w:widowControl w:val="false"/>
              <w:rPr>
                <w:sz w:val="10"/>
                <w:szCs w:val="10"/>
              </w:rPr>
            </w:pPr>
            <w:r>
              <w:rPr>
                <w:sz w:val="10"/>
                <w:szCs w:val="10"/>
              </w:rPr>
            </w:r>
          </w:p>
        </w:tc>
      </w:tr>
      <w:tr>
        <w:trPr>
          <w:trHeight w:val="259"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(bez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both"/>
              <w:rPr/>
            </w:pPr>
            <w:r>
              <w:rPr>
                <w:rStyle w:val="Jin"/>
              </w:rPr>
              <w:t>2,465.000,00 Kč</w:t>
            </w:r>
          </w:p>
        </w:tc>
      </w:tr>
      <w:tr>
        <w:trPr>
          <w:trHeight w:val="245"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DPH 21 %</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500" w:left="0" w:right="0"/>
              <w:jc w:val="both"/>
              <w:rPr/>
            </w:pPr>
            <w:r>
              <w:rPr>
                <w:rStyle w:val="Jin"/>
              </w:rPr>
              <w:t>517.650,00 Kč</w:t>
            </w:r>
          </w:p>
        </w:tc>
      </w:tr>
      <w:tr>
        <w:trPr>
          <w:trHeight w:val="25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vč.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both"/>
              <w:rPr/>
            </w:pPr>
            <w:r>
              <w:rPr>
                <w:rStyle w:val="Jin"/>
              </w:rPr>
              <w:t>2,982,650,00 Kč</w:t>
            </w:r>
          </w:p>
        </w:tc>
      </w:tr>
      <w:tr>
        <w:trPr>
          <w:trHeight w:val="26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hanging="0" w:left="0" w:right="0"/>
              <w:jc w:val="both"/>
              <w:rPr/>
            </w:pPr>
            <w:r>
              <w:rPr>
                <w:rStyle w:val="Jin"/>
                <w:b/>
                <w:bCs/>
              </w:rPr>
              <w:t>dle čl. II, odst. d)</w:t>
            </w:r>
          </w:p>
        </w:tc>
        <w:tc>
          <w:tcPr>
            <w:tcW w:w="2404" w:type="dxa"/>
            <w:tcBorders/>
            <w:shd w:color="auto" w:fill="auto" w:val="clear"/>
          </w:tcPr>
          <w:p>
            <w:pPr>
              <w:pStyle w:val="Normal"/>
              <w:widowControl w:val="false"/>
              <w:rPr>
                <w:sz w:val="10"/>
                <w:szCs w:val="10"/>
              </w:rPr>
            </w:pPr>
            <w:r>
              <w:rPr>
                <w:sz w:val="10"/>
                <w:szCs w:val="10"/>
              </w:rPr>
            </w:r>
          </w:p>
        </w:tc>
      </w:tr>
      <w:tr>
        <w:trPr>
          <w:trHeight w:val="259"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(bez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left"/>
              <w:rPr/>
            </w:pPr>
            <w:r>
              <w:rPr>
                <w:rStyle w:val="Jin"/>
              </w:rPr>
              <w:t>350.000,00 Kč</w:t>
            </w:r>
          </w:p>
        </w:tc>
      </w:tr>
      <w:tr>
        <w:trPr>
          <w:trHeight w:val="240"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DPH 21 %</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440" w:left="0" w:right="0"/>
              <w:jc w:val="left"/>
              <w:rPr/>
            </w:pPr>
            <w:r>
              <w:rPr>
                <w:rStyle w:val="Jin"/>
              </w:rPr>
              <w:t>73.500,00 Kč</w:t>
            </w:r>
          </w:p>
        </w:tc>
      </w:tr>
      <w:tr>
        <w:trPr>
          <w:trHeight w:val="384" w:hRule="exact"/>
        </w:trPr>
        <w:tc>
          <w:tcPr>
            <w:tcW w:w="3940" w:type="dxa"/>
            <w:tcBorders/>
            <w:shd w:color="auto" w:fill="auto" w:val="clear"/>
          </w:tcPr>
          <w:p>
            <w:pPr>
              <w:pStyle w:val="Jin1"/>
              <w:keepNext w:val="false"/>
              <w:keepLines w:val="false"/>
              <w:widowControl w:val="false"/>
              <w:shd w:val="clear" w:color="auto" w:fill="auto"/>
              <w:bidi w:val="0"/>
              <w:spacing w:lineRule="auto" w:line="240" w:before="0" w:after="0"/>
              <w:ind w:firstLine="720" w:left="0" w:right="0"/>
              <w:jc w:val="left"/>
              <w:rPr/>
            </w:pPr>
            <w:r>
              <w:rPr>
                <w:rStyle w:val="Jin"/>
              </w:rPr>
              <w:t>Cena celkem vč. DPH</w:t>
            </w:r>
          </w:p>
        </w:tc>
        <w:tc>
          <w:tcPr>
            <w:tcW w:w="2404" w:type="dxa"/>
            <w:tcBorders/>
            <w:shd w:color="auto" w:fill="auto" w:val="clear"/>
          </w:tcPr>
          <w:p>
            <w:pPr>
              <w:pStyle w:val="Jin1"/>
              <w:keepNext w:val="false"/>
              <w:keepLines w:val="false"/>
              <w:widowControl w:val="false"/>
              <w:shd w:val="clear" w:color="auto" w:fill="auto"/>
              <w:bidi w:val="0"/>
              <w:spacing w:lineRule="auto" w:line="240" w:before="0" w:after="0"/>
              <w:ind w:firstLine="320" w:left="0" w:right="0"/>
              <w:jc w:val="left"/>
              <w:rPr/>
            </w:pPr>
            <w:r>
              <w:rPr>
                <w:rStyle w:val="Jin"/>
              </w:rPr>
              <w:t>423.500,00 Kč</w:t>
            </w:r>
          </w:p>
        </w:tc>
      </w:tr>
      <w:tr>
        <w:trPr>
          <w:trHeight w:val="384"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left"/>
              <w:rPr/>
            </w:pPr>
            <w:r>
              <w:rPr>
                <w:rStyle w:val="Jin"/>
                <w:b/>
                <w:bCs/>
              </w:rPr>
              <w:t>Cena díla celkem (bez DPH)</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320" w:left="0" w:right="0"/>
              <w:jc w:val="left"/>
              <w:rPr/>
            </w:pPr>
            <w:r>
              <w:rPr>
                <w:rStyle w:val="Jin"/>
                <w:b/>
                <w:bCs/>
              </w:rPr>
              <w:t>4,690.000,00 Kč</w:t>
            </w:r>
          </w:p>
        </w:tc>
      </w:tr>
      <w:tr>
        <w:trPr>
          <w:trHeight w:val="245" w:hRule="exact"/>
        </w:trPr>
        <w:tc>
          <w:tcPr>
            <w:tcW w:w="3940"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720" w:left="0" w:right="0"/>
              <w:jc w:val="both"/>
              <w:rPr/>
            </w:pPr>
            <w:r>
              <w:rPr>
                <w:rStyle w:val="Jin"/>
              </w:rPr>
              <w:t>DPH 21 %</w:t>
            </w:r>
          </w:p>
        </w:tc>
        <w:tc>
          <w:tcPr>
            <w:tcW w:w="2404" w:type="dxa"/>
            <w:tcBorders/>
            <w:shd w:color="auto" w:fill="auto" w:val="clear"/>
            <w:vAlign w:val="bottom"/>
          </w:tcPr>
          <w:p>
            <w:pPr>
              <w:pStyle w:val="Jin1"/>
              <w:keepNext w:val="false"/>
              <w:keepLines w:val="false"/>
              <w:widowControl w:val="false"/>
              <w:shd w:val="clear" w:color="auto" w:fill="auto"/>
              <w:bidi w:val="0"/>
              <w:spacing w:lineRule="auto" w:line="240" w:before="0" w:after="0"/>
              <w:ind w:firstLine="500" w:left="0" w:right="0"/>
              <w:jc w:val="both"/>
              <w:rPr/>
            </w:pPr>
            <w:r>
              <w:rPr>
                <w:rStyle w:val="Jin"/>
              </w:rPr>
              <w:t>984.900,00 Kč</w:t>
            </w:r>
          </w:p>
        </w:tc>
      </w:tr>
      <w:tr>
        <w:trPr>
          <w:trHeight w:val="278" w:hRule="exact"/>
        </w:trPr>
        <w:tc>
          <w:tcPr>
            <w:tcW w:w="3940" w:type="dxa"/>
            <w:tcBorders/>
            <w:shd w:color="auto" w:fill="auto" w:val="clear"/>
          </w:tcPr>
          <w:p>
            <w:pPr>
              <w:pStyle w:val="Jin1"/>
              <w:keepNext w:val="false"/>
              <w:keepLines w:val="false"/>
              <w:widowControl w:val="false"/>
              <w:shd w:val="clear" w:color="auto" w:fill="auto"/>
              <w:bidi w:val="0"/>
              <w:spacing w:lineRule="auto" w:line="240" w:before="0" w:after="0"/>
              <w:ind w:firstLine="720" w:left="0" w:right="0"/>
              <w:jc w:val="left"/>
              <w:rPr/>
            </w:pPr>
            <w:r>
              <w:rPr>
                <w:rStyle w:val="Jin"/>
                <w:b/>
                <w:bCs/>
              </w:rPr>
              <w:t>Cena díla celkem vč. DPH</w:t>
            </w:r>
          </w:p>
        </w:tc>
        <w:tc>
          <w:tcPr>
            <w:tcW w:w="2404" w:type="dxa"/>
            <w:tcBorders/>
            <w:shd w:color="auto" w:fill="auto" w:val="clear"/>
          </w:tcPr>
          <w:p>
            <w:pPr>
              <w:pStyle w:val="Jin1"/>
              <w:keepNext w:val="false"/>
              <w:keepLines w:val="false"/>
              <w:widowControl w:val="false"/>
              <w:shd w:val="clear" w:color="auto" w:fill="auto"/>
              <w:bidi w:val="0"/>
              <w:spacing w:lineRule="auto" w:line="240" w:before="0" w:after="0"/>
              <w:ind w:firstLine="320" w:left="0" w:right="0"/>
              <w:jc w:val="left"/>
              <w:rPr/>
            </w:pPr>
            <w:r>
              <w:rPr>
                <w:rStyle w:val="Jin"/>
                <w:b/>
                <w:bCs/>
              </w:rPr>
              <w:t>5,674.900,00 Kč</w:t>
            </w:r>
          </w:p>
        </w:tc>
      </w:tr>
    </w:tbl>
    <w:p>
      <w:pPr>
        <w:pStyle w:val="Normal"/>
        <w:widowControl w:val="false"/>
        <w:spacing w:lineRule="exact" w:line="1" w:before="0" w:after="239"/>
        <w:rPr/>
      </w:pPr>
      <w:r>
        <w:rPr/>
      </w:r>
    </w:p>
    <w:p>
      <w:pPr>
        <w:pStyle w:val="Zkladntext1"/>
        <w:keepNext w:val="false"/>
        <w:keepLines w:val="false"/>
        <w:widowControl w:val="false"/>
        <w:numPr>
          <w:ilvl w:val="0"/>
          <w:numId w:val="7"/>
        </w:numPr>
        <w:shd w:val="clear" w:color="auto" w:fill="auto"/>
        <w:tabs>
          <w:tab w:val="clear" w:pos="720"/>
          <w:tab w:val="left" w:pos="358" w:leader="none"/>
        </w:tabs>
        <w:bidi w:val="0"/>
        <w:spacing w:lineRule="auto" w:line="240" w:before="0" w:after="240"/>
        <w:ind w:hanging="360" w:left="360" w:right="0"/>
        <w:jc w:val="both"/>
        <w:rPr/>
      </w:pPr>
      <w:r>
        <w:rPr>
          <w:rStyle w:val="Zkladntext"/>
        </w:rPr>
        <w:t>Cena díla je oběma Smluvními stranami sjednána v souladu se zákonem o cenách. K této ceně je dopočtena DPH ve výši platné sazby.</w:t>
      </w:r>
    </w:p>
    <w:p>
      <w:pPr>
        <w:pStyle w:val="Zkladntext1"/>
        <w:keepNext w:val="false"/>
        <w:keepLines w:val="false"/>
        <w:widowControl w:val="false"/>
        <w:numPr>
          <w:ilvl w:val="0"/>
          <w:numId w:val="7"/>
        </w:numPr>
        <w:shd w:val="clear" w:color="auto" w:fill="auto"/>
        <w:tabs>
          <w:tab w:val="clear" w:pos="720"/>
          <w:tab w:val="left" w:pos="354" w:leader="none"/>
        </w:tabs>
        <w:bidi w:val="0"/>
        <w:spacing w:lineRule="auto" w:line="240" w:before="0" w:after="240"/>
        <w:ind w:hanging="360" w:left="360" w:right="0"/>
        <w:jc w:val="both"/>
        <w:rPr/>
      </w:pPr>
      <w:r>
        <w:rPr>
          <w:rStyle w:val="Zkladntext"/>
        </w:rPr>
        <w:t>Cena díla obsahuje veškeré náklady a zisk Zhotovitele nezbytné k řádnému a včasnému provedení Díla.</w:t>
      </w:r>
    </w:p>
    <w:p>
      <w:pPr>
        <w:pStyle w:val="Zkladntext1"/>
        <w:keepNext w:val="false"/>
        <w:keepLines w:val="false"/>
        <w:widowControl w:val="false"/>
        <w:numPr>
          <w:ilvl w:val="0"/>
          <w:numId w:val="7"/>
        </w:numPr>
        <w:shd w:val="clear" w:color="auto" w:fill="auto"/>
        <w:tabs>
          <w:tab w:val="clear" w:pos="720"/>
          <w:tab w:val="left" w:pos="363" w:leader="none"/>
        </w:tabs>
        <w:bidi w:val="0"/>
        <w:spacing w:lineRule="auto" w:line="240" w:before="0" w:after="240"/>
        <w:ind w:hanging="0" w:left="0" w:right="0"/>
        <w:jc w:val="left"/>
        <w:rPr/>
      </w:pPr>
      <w:r>
        <w:rPr>
          <w:rStyle w:val="Zkladntext"/>
        </w:rPr>
        <w:t xml:space="preserve">Cena díla pro část dle </w:t>
      </w:r>
      <w:r>
        <w:rPr>
          <w:rStyle w:val="Zkladntext"/>
          <w:b/>
          <w:bCs/>
        </w:rPr>
        <w:t xml:space="preserve">čl. II, odst. a) </w:t>
      </w:r>
      <w:r>
        <w:rPr>
          <w:rStyle w:val="Zkladntext"/>
        </w:rPr>
        <w:t xml:space="preserve">a </w:t>
      </w:r>
      <w:r>
        <w:rPr>
          <w:rStyle w:val="Zkladntext"/>
          <w:b/>
          <w:bCs/>
        </w:rPr>
        <w:t xml:space="preserve">b) </w:t>
      </w:r>
      <w:r>
        <w:rPr>
          <w:rStyle w:val="Zkladntext"/>
        </w:rPr>
        <w:t xml:space="preserve">smí činit maximálně </w:t>
      </w:r>
      <w:r>
        <w:rPr>
          <w:rStyle w:val="Zkladntext"/>
          <w:b/>
          <w:bCs/>
        </w:rPr>
        <w:t xml:space="preserve">40 % </w:t>
      </w:r>
      <w:r>
        <w:rPr>
          <w:rStyle w:val="Zkladntext"/>
        </w:rPr>
        <w:t>celkové ceny díla.</w:t>
      </w:r>
    </w:p>
    <w:p>
      <w:pPr>
        <w:pStyle w:val="Zkladntext1"/>
        <w:keepNext w:val="false"/>
        <w:keepLines w:val="false"/>
        <w:widowControl w:val="false"/>
        <w:numPr>
          <w:ilvl w:val="0"/>
          <w:numId w:val="7"/>
        </w:numPr>
        <w:shd w:val="clear" w:color="auto" w:fill="auto"/>
        <w:tabs>
          <w:tab w:val="clear" w:pos="720"/>
          <w:tab w:val="left" w:pos="354" w:leader="none"/>
        </w:tabs>
        <w:bidi w:val="0"/>
        <w:spacing w:lineRule="auto" w:line="240" w:before="0" w:after="240"/>
        <w:ind w:hanging="0" w:left="0" w:right="0"/>
        <w:jc w:val="left"/>
        <w:rPr/>
      </w:pPr>
      <w:r>
        <w:rPr>
          <w:rStyle w:val="Zkladntext"/>
        </w:rPr>
        <w:t>Změna Ceny díla je možná pouze za podmínek sjednaných v této Smlouvě.</w:t>
      </w:r>
    </w:p>
    <w:p>
      <w:pPr>
        <w:pStyle w:val="Zkladntext1"/>
        <w:keepNext w:val="false"/>
        <w:keepLines w:val="false"/>
        <w:widowControl w:val="false"/>
        <w:numPr>
          <w:ilvl w:val="0"/>
          <w:numId w:val="7"/>
        </w:numPr>
        <w:shd w:val="clear" w:color="auto" w:fill="auto"/>
        <w:tabs>
          <w:tab w:val="clear" w:pos="720"/>
          <w:tab w:val="left" w:pos="358" w:leader="none"/>
        </w:tabs>
        <w:bidi w:val="0"/>
        <w:spacing w:lineRule="auto" w:line="240" w:before="0" w:after="240"/>
        <w:ind w:hanging="0" w:left="0" w:right="0"/>
        <w:jc w:val="left"/>
        <w:rPr/>
      </w:pPr>
      <w:r>
        <w:rPr>
          <w:rStyle w:val="Zkladntext"/>
        </w:rPr>
        <w:t>Změna Ceny díla je možná pouze při změně zákonné sazby DPH.</w:t>
      </w:r>
    </w:p>
    <w:p>
      <w:pPr>
        <w:pStyle w:val="Zkladntext1"/>
        <w:keepNext w:val="false"/>
        <w:keepLines w:val="false"/>
        <w:widowControl w:val="false"/>
        <w:numPr>
          <w:ilvl w:val="0"/>
          <w:numId w:val="7"/>
        </w:numPr>
        <w:shd w:val="clear" w:color="auto" w:fill="auto"/>
        <w:tabs>
          <w:tab w:val="clear" w:pos="720"/>
          <w:tab w:val="left" w:pos="358" w:leader="none"/>
        </w:tabs>
        <w:bidi w:val="0"/>
        <w:spacing w:lineRule="auto" w:line="240" w:before="0" w:after="240"/>
        <w:ind w:hanging="360" w:left="360" w:right="0"/>
        <w:jc w:val="both"/>
        <w:rPr/>
      </w:pPr>
      <w:r>
        <w:rPr>
          <w:rStyle w:val="Zkladntext"/>
        </w:rPr>
        <w:t>Při změně sazby DPH bude ke smluvní ceně bez DPH přičtena DPH dle aktuálních daňových předpisů ke dni uskutečnitelného zdanitelného plnění.</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V</w:t>
      </w:r>
    </w:p>
    <w:p>
      <w:pPr>
        <w:pStyle w:val="Nadpis31"/>
        <w:keepNext w:val="true"/>
        <w:keepLines/>
        <w:widowControl w:val="false"/>
        <w:shd w:val="clear" w:color="auto" w:fill="auto"/>
        <w:bidi w:val="0"/>
        <w:spacing w:lineRule="auto" w:line="240" w:before="0" w:after="240"/>
        <w:ind w:hanging="0" w:left="0" w:right="0"/>
        <w:jc w:val="center"/>
        <w:rPr/>
      </w:pPr>
      <w:bookmarkStart w:id="4" w:name="bookmark9"/>
      <w:r>
        <w:rPr>
          <w:rStyle w:val="Nadpis3"/>
          <w:b/>
          <w:bCs/>
        </w:rPr>
        <w:t>Platební a fakturační podmínky</w:t>
      </w:r>
      <w:bookmarkEnd w:id="4"/>
    </w:p>
    <w:p>
      <w:pPr>
        <w:pStyle w:val="Zkladntext1"/>
        <w:keepNext w:val="false"/>
        <w:keepLines w:val="false"/>
        <w:widowControl w:val="false"/>
        <w:numPr>
          <w:ilvl w:val="0"/>
          <w:numId w:val="8"/>
        </w:numPr>
        <w:shd w:val="clear" w:color="auto" w:fill="auto"/>
        <w:tabs>
          <w:tab w:val="clear" w:pos="720"/>
          <w:tab w:val="left" w:pos="350" w:leader="none"/>
        </w:tabs>
        <w:bidi w:val="0"/>
        <w:spacing w:lineRule="auto" w:line="240" w:before="0" w:after="0"/>
        <w:ind w:hanging="0" w:left="0" w:right="0"/>
        <w:jc w:val="left"/>
        <w:rPr/>
      </w:pPr>
      <w:r>
        <w:rPr>
          <w:rStyle w:val="Zkladntext"/>
        </w:rPr>
        <w:t>Smluvní strany se dohodly na způsobech úhrady plateb za Dílo takto:</w:t>
      </w:r>
    </w:p>
    <w:p>
      <w:pPr>
        <w:pStyle w:val="Zkladntext1"/>
        <w:keepNext w:val="false"/>
        <w:keepLines w:val="false"/>
        <w:widowControl w:val="false"/>
        <w:numPr>
          <w:ilvl w:val="0"/>
          <w:numId w:val="9"/>
        </w:numPr>
        <w:shd w:val="clear" w:color="auto" w:fill="auto"/>
        <w:tabs>
          <w:tab w:val="clear" w:pos="720"/>
          <w:tab w:val="left" w:pos="1082" w:leader="none"/>
        </w:tabs>
        <w:bidi w:val="0"/>
        <w:spacing w:lineRule="auto" w:line="240" w:before="0" w:after="240"/>
        <w:ind w:firstLine="700" w:left="0" w:right="0"/>
        <w:jc w:val="both"/>
        <w:rPr/>
      </w:pPr>
      <w:r>
        <w:rPr>
          <w:rStyle w:val="Zkladntext"/>
        </w:rPr>
        <w:t xml:space="preserve">Z ceny díla dle </w:t>
      </w:r>
      <w:r>
        <w:rPr>
          <w:rStyle w:val="Zkladntext"/>
          <w:b/>
          <w:bCs/>
        </w:rPr>
        <w:t xml:space="preserve">čl. II, odst. a) </w:t>
      </w:r>
      <w:r>
        <w:rPr>
          <w:rStyle w:val="Zkladntext"/>
        </w:rPr>
        <w:t xml:space="preserve">a </w:t>
      </w:r>
      <w:r>
        <w:rPr>
          <w:rStyle w:val="Zkladntext"/>
          <w:b/>
          <w:bCs/>
        </w:rPr>
        <w:t xml:space="preserve">b) </w:t>
      </w:r>
      <w:r>
        <w:rPr>
          <w:rStyle w:val="Zkladntext"/>
        </w:rPr>
        <w:t xml:space="preserve">bude na základě vydaných faktur proplaceno </w:t>
      </w:r>
      <w:r>
        <w:rPr>
          <w:rStyle w:val="Zkladntext"/>
          <w:b/>
          <w:bCs/>
        </w:rPr>
        <w:t xml:space="preserve">90% </w:t>
      </w:r>
      <w:r>
        <w:rPr>
          <w:rStyle w:val="Zkladntext"/>
        </w:rPr>
        <w:t>částky po</w:t>
      </w:r>
    </w:p>
    <w:p>
      <w:pPr>
        <w:pStyle w:val="Zkladntext1"/>
        <w:widowControl w:val="false"/>
        <w:numPr>
          <w:ilvl w:val="0"/>
          <w:numId w:val="0"/>
        </w:numPr>
        <w:shd w:val="clear" w:color="auto" w:fill="auto"/>
        <w:tabs>
          <w:tab w:val="clear" w:pos="720"/>
          <w:tab w:val="left" w:pos="1082" w:leader="none"/>
        </w:tabs>
        <w:bidi w:val="0"/>
        <w:spacing w:lineRule="auto" w:line="240" w:before="0" w:after="240"/>
        <w:ind w:hanging="0" w:left="0" w:right="0"/>
        <w:jc w:val="both"/>
        <w:rPr>
          <w:rStyle w:val="Zkladntext"/>
        </w:rPr>
      </w:pPr>
      <w:r>
        <w:rPr/>
      </w:r>
    </w:p>
    <w:p>
      <w:pPr>
        <w:pStyle w:val="Zkladntext1"/>
        <w:keepNext w:val="false"/>
        <w:keepLines w:val="false"/>
        <w:widowControl w:val="false"/>
        <w:shd w:val="clear" w:color="auto" w:fill="auto"/>
        <w:bidi w:val="0"/>
        <w:spacing w:lineRule="auto" w:line="240" w:before="0" w:after="0"/>
        <w:ind w:hanging="0" w:left="1160" w:right="0"/>
        <w:jc w:val="both"/>
        <w:rPr/>
      </w:pPr>
      <w:r>
        <w:rPr>
          <w:rStyle w:val="Zkladntext"/>
        </w:rPr>
        <w:t xml:space="preserve">dokončení uvedených činností. Zbylých </w:t>
      </w:r>
      <w:r>
        <w:rPr>
          <w:rStyle w:val="Zkladntext"/>
          <w:b/>
          <w:bCs/>
        </w:rPr>
        <w:t xml:space="preserve">10 % </w:t>
      </w:r>
      <w:r>
        <w:rPr>
          <w:rStyle w:val="Zkladntext"/>
        </w:rPr>
        <w:t>bude proplaceno na základě vystavených faktur po nabytí právní moci společného povolení.</w:t>
      </w:r>
    </w:p>
    <w:p>
      <w:pPr>
        <w:pStyle w:val="Zkladntext1"/>
        <w:keepNext w:val="false"/>
        <w:keepLines w:val="false"/>
        <w:widowControl w:val="false"/>
        <w:numPr>
          <w:ilvl w:val="0"/>
          <w:numId w:val="9"/>
        </w:numPr>
        <w:shd w:val="clear" w:color="auto" w:fill="auto"/>
        <w:tabs>
          <w:tab w:val="clear" w:pos="720"/>
          <w:tab w:val="left" w:pos="1160" w:leader="none"/>
        </w:tabs>
        <w:bidi w:val="0"/>
        <w:spacing w:lineRule="auto" w:line="240" w:before="0" w:after="0"/>
        <w:ind w:hanging="360" w:left="1160" w:right="0"/>
        <w:jc w:val="both"/>
        <w:rPr/>
      </w:pPr>
      <w:r>
        <w:rPr>
          <w:rStyle w:val="Zkladntext"/>
        </w:rPr>
        <w:t xml:space="preserve">úhrada fakturace dle dílčí části Díla, dle čl. </w:t>
      </w:r>
      <w:r>
        <w:rPr>
          <w:rStyle w:val="Zkladntext"/>
          <w:b/>
          <w:bCs/>
        </w:rPr>
        <w:t xml:space="preserve">II. odst. c) - </w:t>
      </w:r>
      <w:r>
        <w:rPr>
          <w:rStyle w:val="Zkladntext"/>
        </w:rPr>
        <w:t>po zhotovení a předání jednotlivých částí díla</w:t>
      </w:r>
    </w:p>
    <w:p>
      <w:pPr>
        <w:pStyle w:val="Zkladntext1"/>
        <w:keepNext w:val="false"/>
        <w:keepLines w:val="false"/>
        <w:widowControl w:val="false"/>
        <w:numPr>
          <w:ilvl w:val="0"/>
          <w:numId w:val="9"/>
        </w:numPr>
        <w:shd w:val="clear" w:color="auto" w:fill="auto"/>
        <w:tabs>
          <w:tab w:val="clear" w:pos="720"/>
          <w:tab w:val="left" w:pos="1160" w:leader="none"/>
        </w:tabs>
        <w:bidi w:val="0"/>
        <w:spacing w:lineRule="auto" w:line="240" w:before="0" w:after="240"/>
        <w:ind w:hanging="360" w:left="1160" w:right="0"/>
        <w:jc w:val="both"/>
        <w:rPr/>
      </w:pPr>
      <w:r>
        <w:rPr>
          <w:rStyle w:val="Zkladntext"/>
        </w:rPr>
        <w:t xml:space="preserve">úhrada fakturace dle dílčí části Díla dle </w:t>
      </w:r>
      <w:r>
        <w:rPr>
          <w:rStyle w:val="Zkladntext"/>
          <w:b/>
          <w:bCs/>
        </w:rPr>
        <w:t xml:space="preserve">čl. II. odst. d) - </w:t>
      </w:r>
      <w:r>
        <w:rPr>
          <w:rStyle w:val="Zkladntext"/>
        </w:rPr>
        <w:t>po předání a převzetí realizované stavby.</w:t>
      </w:r>
    </w:p>
    <w:p>
      <w:pPr>
        <w:pStyle w:val="Zkladntext1"/>
        <w:keepNext w:val="false"/>
        <w:keepLines w:val="false"/>
        <w:widowControl w:val="false"/>
        <w:shd w:val="clear" w:color="auto" w:fill="auto"/>
        <w:bidi w:val="0"/>
        <w:spacing w:lineRule="auto" w:line="240" w:before="0" w:after="240"/>
        <w:ind w:firstLine="40" w:left="340" w:right="0"/>
        <w:jc w:val="both"/>
        <w:rPr/>
      </w:pPr>
      <w:r>
        <w:rPr>
          <w:rStyle w:val="Zkladntext"/>
        </w:rPr>
        <w:t>Faktura (daňový doklad) bude vystaven do 7 pracovních dní po předání dílčí části Díla a je splatná ve lhůtě 30 kalendářních dnů ode dne jejího doručení objednateli.</w:t>
      </w:r>
    </w:p>
    <w:p>
      <w:pPr>
        <w:pStyle w:val="Zkladntext1"/>
        <w:keepNext w:val="false"/>
        <w:keepLines w:val="false"/>
        <w:widowControl w:val="false"/>
        <w:shd w:val="clear" w:color="auto" w:fill="auto"/>
        <w:bidi w:val="0"/>
        <w:spacing w:lineRule="auto" w:line="240" w:before="0" w:after="120"/>
        <w:ind w:firstLine="40" w:left="340" w:right="0"/>
        <w:jc w:val="both"/>
        <w:rPr/>
      </w:pPr>
      <w:r>
        <w:rPr>
          <w:rStyle w:val="Zkladntext"/>
        </w:rPr>
        <w:t>Faktura - daňový doklad musí splňovat veškeré náležitosti dle zákona č. 563/1991 sb., o účetnictví, v platném znění a zákona č. 235/2004 Sb., o dani z přidané hodnoty, v platném znění. V případě, že faktura nebude mít odpovídající náležitosti, je objednatel oprávněn vrátit ji zpět Zhotovitelovi k doplnění, aniž se dostane do prodlení se splatností. Lhůta splatnosti začíná běžet znovu od opětovného doručení náležitě doplněné či opravené faktury.</w:t>
      </w:r>
    </w:p>
    <w:p>
      <w:pPr>
        <w:pStyle w:val="Zkladntext1"/>
        <w:keepNext w:val="false"/>
        <w:keepLines w:val="false"/>
        <w:widowControl w:val="false"/>
        <w:shd w:val="clear" w:color="auto" w:fill="auto"/>
        <w:bidi w:val="0"/>
        <w:spacing w:lineRule="auto" w:line="240" w:before="0" w:after="120"/>
        <w:ind w:firstLine="340" w:left="0" w:right="0"/>
        <w:jc w:val="both"/>
        <w:rPr/>
      </w:pPr>
      <w:r>
        <w:rPr>
          <w:rStyle w:val="Zkladntext"/>
        </w:rPr>
        <w:t>Faktura bude vždy obsahovat alespoň:</w:t>
      </w:r>
    </w:p>
    <w:p>
      <w:pPr>
        <w:pStyle w:val="Zkladntext1"/>
        <w:keepNext w:val="false"/>
        <w:keepLines w:val="false"/>
        <w:widowControl w:val="false"/>
        <w:numPr>
          <w:ilvl w:val="0"/>
          <w:numId w:val="10"/>
        </w:numPr>
        <w:shd w:val="clear" w:color="auto" w:fill="auto"/>
        <w:tabs>
          <w:tab w:val="clear" w:pos="720"/>
          <w:tab w:val="left" w:pos="1304" w:leader="none"/>
        </w:tabs>
        <w:bidi w:val="0"/>
        <w:spacing w:lineRule="auto" w:line="240" w:before="0" w:after="120"/>
        <w:ind w:firstLine="940" w:left="0" w:right="0"/>
        <w:jc w:val="both"/>
        <w:rPr/>
      </w:pPr>
      <w:r>
        <w:rPr>
          <w:rStyle w:val="Zkladntext"/>
        </w:rPr>
        <w:t>firmu a sídlo oprávněné a povinné osoby, tj. Zhotovitel i Objednatel,</w:t>
      </w:r>
    </w:p>
    <w:p>
      <w:pPr>
        <w:pStyle w:val="Zkladntext1"/>
        <w:keepNext w:val="false"/>
        <w:keepLines w:val="false"/>
        <w:widowControl w:val="false"/>
        <w:numPr>
          <w:ilvl w:val="0"/>
          <w:numId w:val="10"/>
        </w:numPr>
        <w:shd w:val="clear" w:color="auto" w:fill="auto"/>
        <w:tabs>
          <w:tab w:val="clear" w:pos="720"/>
          <w:tab w:val="left" w:pos="1300" w:leader="none"/>
        </w:tabs>
        <w:bidi w:val="0"/>
        <w:spacing w:lineRule="auto" w:line="240" w:before="0" w:after="120"/>
        <w:ind w:firstLine="940" w:left="0" w:right="0"/>
        <w:jc w:val="both"/>
        <w:rPr/>
      </w:pPr>
      <w:r>
        <w:rPr>
          <w:rStyle w:val="Zkladntext"/>
        </w:rPr>
        <w:t>IČO a DIČ Zhotovitel i Objednatel,</w:t>
      </w:r>
    </w:p>
    <w:p>
      <w:pPr>
        <w:pStyle w:val="Zkladntext1"/>
        <w:keepNext w:val="false"/>
        <w:keepLines w:val="false"/>
        <w:widowControl w:val="false"/>
        <w:numPr>
          <w:ilvl w:val="0"/>
          <w:numId w:val="10"/>
        </w:numPr>
        <w:shd w:val="clear" w:color="auto" w:fill="auto"/>
        <w:tabs>
          <w:tab w:val="clear" w:pos="720"/>
          <w:tab w:val="left" w:pos="1295" w:leader="none"/>
        </w:tabs>
        <w:bidi w:val="0"/>
        <w:spacing w:lineRule="auto" w:line="240" w:before="0" w:after="120"/>
        <w:ind w:firstLine="940" w:left="0" w:right="0"/>
        <w:jc w:val="both"/>
        <w:rPr/>
      </w:pPr>
      <w:r>
        <w:rPr>
          <w:rStyle w:val="Zkladntext"/>
        </w:rPr>
        <w:t>údaj o zápisu Zhotovitel v obchodním rejstříku, včetně spisové značky,</w:t>
      </w:r>
    </w:p>
    <w:p>
      <w:pPr>
        <w:pStyle w:val="Zkladntext1"/>
        <w:keepNext w:val="false"/>
        <w:keepLines w:val="false"/>
        <w:widowControl w:val="false"/>
        <w:numPr>
          <w:ilvl w:val="0"/>
          <w:numId w:val="10"/>
        </w:numPr>
        <w:shd w:val="clear" w:color="auto" w:fill="auto"/>
        <w:tabs>
          <w:tab w:val="clear" w:pos="720"/>
          <w:tab w:val="left" w:pos="1309" w:leader="none"/>
        </w:tabs>
        <w:bidi w:val="0"/>
        <w:spacing w:lineRule="auto" w:line="240" w:before="0" w:after="120"/>
        <w:ind w:firstLine="940" w:left="0" w:right="0"/>
        <w:jc w:val="both"/>
        <w:rPr/>
      </w:pPr>
      <w:r>
        <w:rPr>
          <w:rStyle w:val="Zkladntext"/>
        </w:rPr>
        <w:t>číslo faktury,</w:t>
      </w:r>
    </w:p>
    <w:p>
      <w:pPr>
        <w:pStyle w:val="Zkladntext1"/>
        <w:keepNext w:val="false"/>
        <w:keepLines w:val="false"/>
        <w:widowControl w:val="false"/>
        <w:numPr>
          <w:ilvl w:val="0"/>
          <w:numId w:val="10"/>
        </w:numPr>
        <w:shd w:val="clear" w:color="auto" w:fill="auto"/>
        <w:tabs>
          <w:tab w:val="clear" w:pos="720"/>
          <w:tab w:val="left" w:pos="1309" w:leader="none"/>
        </w:tabs>
        <w:bidi w:val="0"/>
        <w:spacing w:lineRule="auto" w:line="240" w:before="0" w:after="120"/>
        <w:ind w:firstLine="940" w:left="0" w:right="0"/>
        <w:jc w:val="both"/>
        <w:rPr/>
      </w:pPr>
      <w:r>
        <w:rPr>
          <w:rStyle w:val="Zkladntext"/>
        </w:rPr>
        <w:t>číslo smlouvy,</w:t>
      </w:r>
    </w:p>
    <w:p>
      <w:pPr>
        <w:pStyle w:val="Zkladntext1"/>
        <w:keepNext w:val="false"/>
        <w:keepLines w:val="false"/>
        <w:widowControl w:val="false"/>
        <w:numPr>
          <w:ilvl w:val="0"/>
          <w:numId w:val="10"/>
        </w:numPr>
        <w:shd w:val="clear" w:color="auto" w:fill="auto"/>
        <w:tabs>
          <w:tab w:val="clear" w:pos="720"/>
          <w:tab w:val="left" w:pos="1256" w:leader="none"/>
        </w:tabs>
        <w:bidi w:val="0"/>
        <w:spacing w:lineRule="auto" w:line="240" w:before="0" w:after="120"/>
        <w:ind w:firstLine="940" w:left="0" w:right="0"/>
        <w:jc w:val="both"/>
        <w:rPr/>
      </w:pPr>
      <w:r>
        <w:rPr>
          <w:rStyle w:val="Zkladntext"/>
        </w:rPr>
        <w:t>den odeslání, den splatnosti a datum zdanitelného plnění,</w:t>
      </w:r>
    </w:p>
    <w:p>
      <w:pPr>
        <w:pStyle w:val="Zkladntext1"/>
        <w:keepNext w:val="false"/>
        <w:keepLines w:val="false"/>
        <w:widowControl w:val="false"/>
        <w:numPr>
          <w:ilvl w:val="0"/>
          <w:numId w:val="10"/>
        </w:numPr>
        <w:shd w:val="clear" w:color="auto" w:fill="auto"/>
        <w:tabs>
          <w:tab w:val="clear" w:pos="720"/>
          <w:tab w:val="left" w:pos="1309" w:leader="none"/>
        </w:tabs>
        <w:bidi w:val="0"/>
        <w:spacing w:lineRule="auto" w:line="240" w:before="0" w:after="120"/>
        <w:ind w:firstLine="940" w:left="0" w:right="0"/>
        <w:jc w:val="both"/>
        <w:rPr/>
      </w:pPr>
      <w:r>
        <w:rPr>
          <w:rStyle w:val="Zkladntext"/>
        </w:rPr>
        <w:t>označení peněžního ústavu a číslo účtu, na který má kupující provést úhradu.</w:t>
      </w:r>
    </w:p>
    <w:p>
      <w:pPr>
        <w:pStyle w:val="Zkladntext1"/>
        <w:keepNext w:val="false"/>
        <w:keepLines w:val="false"/>
        <w:widowControl w:val="false"/>
        <w:numPr>
          <w:ilvl w:val="0"/>
          <w:numId w:val="10"/>
        </w:numPr>
        <w:shd w:val="clear" w:color="auto" w:fill="auto"/>
        <w:tabs>
          <w:tab w:val="clear" w:pos="720"/>
          <w:tab w:val="left" w:pos="1300" w:leader="none"/>
        </w:tabs>
        <w:bidi w:val="0"/>
        <w:spacing w:lineRule="auto" w:line="240" w:before="0" w:after="120"/>
        <w:ind w:firstLine="940" w:left="0" w:right="0"/>
        <w:jc w:val="both"/>
        <w:rPr/>
      </w:pPr>
      <w:r>
        <w:rPr>
          <w:rStyle w:val="Zkladntext"/>
        </w:rPr>
        <w:t>fakturovanou částku bez daně, sazbu daně, daň a celkovou částku,</w:t>
      </w:r>
    </w:p>
    <w:p>
      <w:pPr>
        <w:pStyle w:val="Zkladntext1"/>
        <w:keepNext w:val="false"/>
        <w:keepLines w:val="false"/>
        <w:widowControl w:val="false"/>
        <w:numPr>
          <w:ilvl w:val="0"/>
          <w:numId w:val="10"/>
        </w:numPr>
        <w:shd w:val="clear" w:color="auto" w:fill="auto"/>
        <w:tabs>
          <w:tab w:val="clear" w:pos="720"/>
          <w:tab w:val="left" w:pos="1228" w:leader="none"/>
        </w:tabs>
        <w:bidi w:val="0"/>
        <w:spacing w:lineRule="auto" w:line="240" w:before="0" w:after="120"/>
        <w:ind w:firstLine="940" w:left="0" w:right="0"/>
        <w:jc w:val="both"/>
        <w:rPr/>
      </w:pPr>
      <w:r>
        <w:rPr>
          <w:rStyle w:val="Zkladntext"/>
        </w:rPr>
        <w:t>název projektu dle této smlouvy,</w:t>
      </w:r>
    </w:p>
    <w:p>
      <w:pPr>
        <w:pStyle w:val="Zkladntext1"/>
        <w:keepNext w:val="false"/>
        <w:keepLines w:val="false"/>
        <w:widowControl w:val="false"/>
        <w:numPr>
          <w:ilvl w:val="0"/>
          <w:numId w:val="10"/>
        </w:numPr>
        <w:shd w:val="clear" w:color="auto" w:fill="auto"/>
        <w:tabs>
          <w:tab w:val="clear" w:pos="720"/>
          <w:tab w:val="left" w:pos="1247" w:leader="none"/>
        </w:tabs>
        <w:bidi w:val="0"/>
        <w:spacing w:lineRule="auto" w:line="240" w:before="0" w:after="120"/>
        <w:ind w:firstLine="940" w:left="0" w:right="0"/>
        <w:jc w:val="both"/>
        <w:rPr/>
      </w:pPr>
      <w:r>
        <w:rPr>
          <w:rStyle w:val="Zkladntext"/>
        </w:rPr>
        <w:t>označení fakturované části díla s odkazem na příslušnou část smlouvy,</w:t>
      </w:r>
    </w:p>
    <w:p>
      <w:pPr>
        <w:pStyle w:val="Zkladntext1"/>
        <w:keepNext w:val="false"/>
        <w:keepLines w:val="false"/>
        <w:widowControl w:val="false"/>
        <w:numPr>
          <w:ilvl w:val="0"/>
          <w:numId w:val="10"/>
        </w:numPr>
        <w:shd w:val="clear" w:color="auto" w:fill="auto"/>
        <w:tabs>
          <w:tab w:val="clear" w:pos="720"/>
          <w:tab w:val="left" w:pos="1295" w:leader="none"/>
        </w:tabs>
        <w:bidi w:val="0"/>
        <w:spacing w:lineRule="auto" w:line="240" w:before="0" w:after="120"/>
        <w:ind w:firstLine="940" w:left="0" w:right="0"/>
        <w:jc w:val="both"/>
        <w:rPr/>
      </w:pPr>
      <w:r>
        <w:rPr>
          <w:rStyle w:val="Zkladntext"/>
        </w:rPr>
        <w:t>razítko a podpis oprávněné osoby,</w:t>
      </w:r>
    </w:p>
    <w:p>
      <w:pPr>
        <w:pStyle w:val="Zkladntext1"/>
        <w:keepNext w:val="false"/>
        <w:keepLines w:val="false"/>
        <w:widowControl w:val="false"/>
        <w:numPr>
          <w:ilvl w:val="0"/>
          <w:numId w:val="10"/>
        </w:numPr>
        <w:shd w:val="clear" w:color="auto" w:fill="auto"/>
        <w:tabs>
          <w:tab w:val="clear" w:pos="720"/>
          <w:tab w:val="left" w:pos="1228" w:leader="none"/>
        </w:tabs>
        <w:bidi w:val="0"/>
        <w:spacing w:lineRule="auto" w:line="240" w:before="0" w:after="120"/>
        <w:ind w:firstLine="940" w:left="0" w:right="0"/>
        <w:jc w:val="both"/>
        <w:rPr/>
      </w:pPr>
      <w:r>
        <w:rPr>
          <w:rStyle w:val="Zkladntext"/>
        </w:rPr>
        <w:t>konstantní a variabilní symbol,</w:t>
      </w:r>
    </w:p>
    <w:p>
      <w:pPr>
        <w:pStyle w:val="Zkladntext1"/>
        <w:keepNext w:val="false"/>
        <w:keepLines w:val="false"/>
        <w:widowControl w:val="false"/>
        <w:shd w:val="clear" w:color="auto" w:fill="auto"/>
        <w:bidi w:val="0"/>
        <w:spacing w:lineRule="auto" w:line="240" w:before="0" w:after="120"/>
        <w:ind w:firstLine="340" w:left="0" w:right="0"/>
        <w:jc w:val="both"/>
        <w:rPr/>
      </w:pPr>
      <w:r>
        <w:rPr>
          <w:rStyle w:val="Zkladntext"/>
        </w:rPr>
        <w:t>Přílohou bude kopie zápisu o provedeném předání části díla.</w:t>
      </w:r>
    </w:p>
    <w:p>
      <w:pPr>
        <w:pStyle w:val="Zkladntext1"/>
        <w:keepNext w:val="false"/>
        <w:keepLines w:val="false"/>
        <w:widowControl w:val="false"/>
        <w:shd w:val="clear" w:color="auto" w:fill="auto"/>
        <w:bidi w:val="0"/>
        <w:spacing w:lineRule="auto" w:line="240" w:before="0" w:after="240"/>
        <w:ind w:firstLine="40" w:left="340" w:right="0"/>
        <w:jc w:val="both"/>
        <w:rPr/>
      </w:pPr>
      <w:r>
        <w:rPr>
          <w:rStyle w:val="Zkladntext"/>
        </w:rPr>
        <w:t>Faktura, která nebude obsahovat náležitosti řádného daňového dokladu nebo bude vystavena v rozporu s touto smlouvou, nebude objednatelem proplacena. Objednatel je povinen v takovém případě zaslat fakturu zpět zhotoviteli, a to nejpozději ve lhůtě splatnosti této faktury. Lhůta splatnosti opravené faktury počíná běžet znovu od opětovného zaslání náležitě opraveného či přepracovaného dokladu a objednatel není v prodlení s úhradou.</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VI</w:t>
      </w:r>
    </w:p>
    <w:p>
      <w:pPr>
        <w:pStyle w:val="Nadpis31"/>
        <w:keepNext w:val="true"/>
        <w:keepLines/>
        <w:widowControl w:val="false"/>
        <w:shd w:val="clear" w:color="auto" w:fill="auto"/>
        <w:bidi w:val="0"/>
        <w:spacing w:lineRule="auto" w:line="240" w:before="0" w:after="240"/>
        <w:ind w:hanging="0" w:left="0" w:right="0"/>
        <w:jc w:val="center"/>
        <w:rPr/>
      </w:pPr>
      <w:bookmarkStart w:id="5" w:name="bookmark11"/>
      <w:r>
        <w:rPr>
          <w:rStyle w:val="Nadpis3"/>
          <w:b/>
          <w:bCs/>
        </w:rPr>
        <w:t>Licenční ujednání</w:t>
      </w:r>
      <w:bookmarkEnd w:id="5"/>
    </w:p>
    <w:p>
      <w:pPr>
        <w:pStyle w:val="Zkladntext1"/>
        <w:keepNext w:val="false"/>
        <w:keepLines w:val="false"/>
        <w:widowControl w:val="false"/>
        <w:numPr>
          <w:ilvl w:val="0"/>
          <w:numId w:val="11"/>
        </w:numPr>
        <w:shd w:val="clear" w:color="auto" w:fill="auto"/>
        <w:tabs>
          <w:tab w:val="clear" w:pos="720"/>
          <w:tab w:val="left" w:pos="350" w:leader="none"/>
        </w:tabs>
        <w:bidi w:val="0"/>
        <w:spacing w:lineRule="auto" w:line="240" w:before="0" w:after="0"/>
        <w:ind w:hanging="340" w:left="340" w:right="0"/>
        <w:jc w:val="both"/>
        <w:rPr/>
      </w:pPr>
      <w:r>
        <w:rPr>
          <w:rStyle w:val="Zkladntext"/>
        </w:rPr>
        <w:t>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trestního zákona.</w:t>
      </w:r>
    </w:p>
    <w:p>
      <w:pPr>
        <w:pStyle w:val="Zkladntext1"/>
        <w:keepNext w:val="false"/>
        <w:keepLines w:val="false"/>
        <w:widowControl w:val="false"/>
        <w:numPr>
          <w:ilvl w:val="0"/>
          <w:numId w:val="11"/>
        </w:numPr>
        <w:shd w:val="clear" w:color="auto" w:fill="auto"/>
        <w:tabs>
          <w:tab w:val="clear" w:pos="720"/>
          <w:tab w:val="left" w:pos="350" w:leader="none"/>
        </w:tabs>
        <w:bidi w:val="0"/>
        <w:spacing w:lineRule="auto" w:line="240" w:before="0" w:after="0"/>
        <w:ind w:hanging="340" w:left="340" w:right="0"/>
        <w:jc w:val="both"/>
        <w:rPr/>
      </w:pPr>
      <w:r>
        <w:rPr>
          <w:rStyle w:val="Zkladntext"/>
        </w:rPr>
        <w:t>Zhotovitel tímto ujednáním poskytuje objednateli licenci ke všem způsobům užití předmětu díla, a to v neomezeném rozsahu, a to i prostřednictvím jiného subjektu dle volby objednatele (možnost udělit licenci). Objednatel (nabyvatel licence) není povinen licenci využít. Odměna za poskytnutí licence je zahrnuta v ceně díla. Zhotovitel poskytuje objednateli licenci na dobu trvání jeho majetkových práv k autorskému dílu, a to dle § 27 autorského zákona. Nabyvatel je oprávněn upravit či měnit předmět díla nebo jeho část takovým způsobem, který nesníží jeho hodnotu.</w:t>
      </w:r>
    </w:p>
    <w:p>
      <w:pPr>
        <w:pStyle w:val="Zkladntext1"/>
        <w:keepNext w:val="false"/>
        <w:keepLines w:val="false"/>
        <w:widowControl w:val="false"/>
        <w:numPr>
          <w:ilvl w:val="0"/>
          <w:numId w:val="11"/>
        </w:numPr>
        <w:shd w:val="clear" w:color="auto" w:fill="auto"/>
        <w:tabs>
          <w:tab w:val="clear" w:pos="720"/>
          <w:tab w:val="left" w:pos="350" w:leader="none"/>
        </w:tabs>
        <w:bidi w:val="0"/>
        <w:spacing w:lineRule="auto" w:line="240" w:before="0" w:after="120"/>
        <w:ind w:hanging="340" w:left="340" w:right="0"/>
        <w:jc w:val="both"/>
        <w:rPr/>
      </w:pPr>
      <w:r>
        <w:rPr>
          <w:rStyle w:val="Zkladntext"/>
        </w:rPr>
        <w:t>Zhotovitel poskytuje licenci jako výhradní, čímž se rozumí, že zhotovitel nesmí poskytnout licenci či rozsahem zahrnující práva poskytnutá objednateli dle smlouvy o dílo třetí osobě a je povinen se zdržet výkonu práva užívat výsledky své tvůrčí činnosti dle smlouvy o dílo včetně hmotného zachycení výsledků činnosti zhotovitele ke splnění předmětu díla ve výše uvedené formě způsobem, ke kterému</w:t>
      </w:r>
    </w:p>
    <w:p>
      <w:pPr>
        <w:pStyle w:val="Zkladntext1"/>
        <w:widowControl w:val="false"/>
        <w:numPr>
          <w:ilvl w:val="0"/>
          <w:numId w:val="0"/>
        </w:numPr>
        <w:shd w:val="clear" w:color="auto" w:fill="auto"/>
        <w:tabs>
          <w:tab w:val="clear" w:pos="720"/>
          <w:tab w:val="left" w:pos="350" w:leader="none"/>
        </w:tabs>
        <w:bidi w:val="0"/>
        <w:spacing w:lineRule="auto" w:line="240" w:before="0" w:after="120"/>
        <w:ind w:hanging="0" w:left="340" w:right="0"/>
        <w:jc w:val="both"/>
        <w:rPr>
          <w:rStyle w:val="Zkladntext"/>
        </w:rPr>
      </w:pPr>
      <w:r>
        <w:rPr/>
      </w:r>
    </w:p>
    <w:p>
      <w:pPr>
        <w:pStyle w:val="Zkladntext1"/>
        <w:keepNext w:val="false"/>
        <w:keepLines w:val="false"/>
        <w:widowControl w:val="false"/>
        <w:shd w:val="clear" w:color="auto" w:fill="auto"/>
        <w:bidi w:val="0"/>
        <w:spacing w:lineRule="auto" w:line="240" w:before="0" w:after="240"/>
        <w:ind w:firstLine="360" w:left="0" w:right="0"/>
        <w:jc w:val="both"/>
        <w:rPr/>
      </w:pPr>
      <w:r>
        <w:rPr>
          <w:rStyle w:val="Zkladntext"/>
        </w:rPr>
        <w:t>poskytl licenci objednateli.</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VII</w:t>
      </w:r>
    </w:p>
    <w:p>
      <w:pPr>
        <w:pStyle w:val="Nadpis31"/>
        <w:keepNext w:val="true"/>
        <w:keepLines/>
        <w:widowControl w:val="false"/>
        <w:shd w:val="clear" w:color="auto" w:fill="auto"/>
        <w:bidi w:val="0"/>
        <w:spacing w:lineRule="auto" w:line="240" w:before="0" w:after="240"/>
        <w:ind w:hanging="0" w:left="0" w:right="0"/>
        <w:jc w:val="center"/>
        <w:rPr/>
      </w:pPr>
      <w:bookmarkStart w:id="6" w:name="bookmark13"/>
      <w:r>
        <w:rPr>
          <w:rStyle w:val="Nadpis3"/>
          <w:b/>
          <w:bCs/>
        </w:rPr>
        <w:t>Povinnosti Zhotovitele</w:t>
      </w:r>
      <w:bookmarkEnd w:id="6"/>
    </w:p>
    <w:p>
      <w:pPr>
        <w:pStyle w:val="Zkladntext1"/>
        <w:keepNext w:val="false"/>
        <w:keepLines w:val="false"/>
        <w:widowControl w:val="false"/>
        <w:numPr>
          <w:ilvl w:val="0"/>
          <w:numId w:val="12"/>
        </w:numPr>
        <w:shd w:val="clear" w:color="auto" w:fill="auto"/>
        <w:tabs>
          <w:tab w:val="clear" w:pos="720"/>
          <w:tab w:val="left" w:pos="344" w:leader="none"/>
        </w:tabs>
        <w:bidi w:val="0"/>
        <w:spacing w:lineRule="auto" w:line="240" w:before="0" w:after="240"/>
        <w:ind w:hanging="360" w:left="360" w:right="0"/>
        <w:jc w:val="both"/>
        <w:rPr/>
      </w:pPr>
      <w:r>
        <w:rPr>
          <w:rStyle w:val="Zkladntext"/>
        </w:rPr>
        <w:t>Zhotovitel je povinen provést Dílo na svůj náklad a své nebezpečí ve smluvené době jako celek nebo ve smluvených částech, v souladu:</w:t>
      </w:r>
    </w:p>
    <w:p>
      <w:pPr>
        <w:pStyle w:val="Zkladntext1"/>
        <w:keepNext w:val="false"/>
        <w:keepLines w:val="false"/>
        <w:widowControl w:val="false"/>
        <w:numPr>
          <w:ilvl w:val="0"/>
          <w:numId w:val="13"/>
        </w:numPr>
        <w:shd w:val="clear" w:color="auto" w:fill="auto"/>
        <w:tabs>
          <w:tab w:val="clear" w:pos="720"/>
          <w:tab w:val="left" w:pos="742" w:leader="none"/>
        </w:tabs>
        <w:bidi w:val="0"/>
        <w:spacing w:lineRule="auto" w:line="240" w:before="0" w:after="0"/>
        <w:ind w:firstLine="360" w:left="0" w:right="0"/>
        <w:jc w:val="both"/>
        <w:rPr/>
      </w:pPr>
      <w:r>
        <w:rPr>
          <w:rStyle w:val="Zkladntext"/>
        </w:rPr>
        <w:t>s podmínkami této Smlouvy,</w:t>
      </w:r>
    </w:p>
    <w:p>
      <w:pPr>
        <w:pStyle w:val="Zkladntext1"/>
        <w:keepNext w:val="false"/>
        <w:keepLines w:val="false"/>
        <w:widowControl w:val="false"/>
        <w:numPr>
          <w:ilvl w:val="0"/>
          <w:numId w:val="13"/>
        </w:numPr>
        <w:shd w:val="clear" w:color="auto" w:fill="auto"/>
        <w:tabs>
          <w:tab w:val="clear" w:pos="720"/>
          <w:tab w:val="left" w:pos="738" w:leader="none"/>
        </w:tabs>
        <w:bidi w:val="0"/>
        <w:spacing w:lineRule="auto" w:line="240" w:before="0" w:after="240"/>
        <w:ind w:firstLine="360" w:left="0" w:right="0"/>
        <w:jc w:val="both"/>
        <w:rPr/>
      </w:pPr>
      <w:r>
        <w:rPr>
          <w:rStyle w:val="Zkladntext"/>
        </w:rPr>
        <w:t>se zadáním a pokyny Objednatele.</w:t>
      </w:r>
    </w:p>
    <w:p>
      <w:pPr>
        <w:pStyle w:val="Zkladntext1"/>
        <w:keepNext w:val="false"/>
        <w:keepLines w:val="false"/>
        <w:widowControl w:val="false"/>
        <w:shd w:val="clear" w:color="auto" w:fill="auto"/>
        <w:bidi w:val="0"/>
        <w:spacing w:lineRule="auto" w:line="240" w:before="0" w:after="500"/>
        <w:ind w:firstLine="20" w:left="360" w:right="0"/>
        <w:jc w:val="both"/>
        <w:rPr/>
      </w:pPr>
      <w:r>
        <w:rPr>
          <w:rStyle w:val="Zkladntext"/>
        </w:rPr>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Vlil</w:t>
      </w:r>
    </w:p>
    <w:p>
      <w:pPr>
        <w:pStyle w:val="Nadpis31"/>
        <w:keepNext w:val="true"/>
        <w:keepLines/>
        <w:widowControl w:val="false"/>
        <w:shd w:val="clear" w:color="auto" w:fill="auto"/>
        <w:bidi w:val="0"/>
        <w:spacing w:lineRule="auto" w:line="240" w:before="0" w:after="240"/>
        <w:ind w:hanging="0" w:left="0" w:right="0"/>
        <w:jc w:val="center"/>
        <w:rPr/>
      </w:pPr>
      <w:bookmarkStart w:id="7" w:name="bookmark15"/>
      <w:r>
        <w:rPr>
          <w:rStyle w:val="Nadpis3"/>
          <w:b/>
          <w:bCs/>
        </w:rPr>
        <w:t>Předání a převzetí Díla</w:t>
      </w:r>
      <w:bookmarkEnd w:id="7"/>
    </w:p>
    <w:p>
      <w:pPr>
        <w:pStyle w:val="Zkladntext1"/>
        <w:keepNext w:val="false"/>
        <w:keepLines w:val="false"/>
        <w:widowControl w:val="false"/>
        <w:numPr>
          <w:ilvl w:val="0"/>
          <w:numId w:val="14"/>
        </w:numPr>
        <w:shd w:val="clear" w:color="auto" w:fill="auto"/>
        <w:tabs>
          <w:tab w:val="clear" w:pos="720"/>
          <w:tab w:val="left" w:pos="344" w:leader="none"/>
        </w:tabs>
        <w:bidi w:val="0"/>
        <w:spacing w:lineRule="auto" w:line="240" w:before="0" w:after="240"/>
        <w:ind w:hanging="0" w:left="0" w:right="0"/>
        <w:jc w:val="left"/>
        <w:rPr/>
      </w:pPr>
      <w:r>
        <w:rPr>
          <w:rStyle w:val="Zkladntext"/>
        </w:rPr>
        <w:t>Zhotovitel je povinen dokončit Dílo v termínu sjednaném v této Smlouvě dle článku III. bodu 1.</w:t>
      </w:r>
    </w:p>
    <w:p>
      <w:pPr>
        <w:pStyle w:val="Zkladntext1"/>
        <w:keepNext w:val="false"/>
        <w:keepLines w:val="false"/>
        <w:widowControl w:val="false"/>
        <w:numPr>
          <w:ilvl w:val="0"/>
          <w:numId w:val="14"/>
        </w:numPr>
        <w:shd w:val="clear" w:color="auto" w:fill="auto"/>
        <w:tabs>
          <w:tab w:val="clear" w:pos="720"/>
          <w:tab w:val="left" w:pos="358" w:leader="none"/>
        </w:tabs>
        <w:bidi w:val="0"/>
        <w:spacing w:lineRule="auto" w:line="240" w:before="0" w:after="240"/>
        <w:ind w:hanging="360" w:left="360" w:right="0"/>
        <w:jc w:val="both"/>
        <w:rPr/>
      </w:pPr>
      <w:r>
        <w:rPr>
          <w:rStyle w:val="Zkladntext"/>
        </w:rPr>
        <w:t>V případě, že Zhotovitel hodlá dokončit Dílo před termínem sjednaným v této Smlouvě, je povinen nové datum dokončení Díla Objednateli písemně oznámit nejméně 3 dny předem a současně jej písemně vyzvat k předání a převzetí Díla.</w:t>
      </w:r>
    </w:p>
    <w:p>
      <w:pPr>
        <w:pStyle w:val="Zkladntext1"/>
        <w:keepNext w:val="false"/>
        <w:keepLines w:val="false"/>
        <w:widowControl w:val="false"/>
        <w:numPr>
          <w:ilvl w:val="0"/>
          <w:numId w:val="14"/>
        </w:numPr>
        <w:shd w:val="clear" w:color="auto" w:fill="auto"/>
        <w:tabs>
          <w:tab w:val="clear" w:pos="720"/>
          <w:tab w:val="left" w:pos="354" w:leader="none"/>
        </w:tabs>
        <w:bidi w:val="0"/>
        <w:spacing w:lineRule="auto" w:line="240" w:before="0" w:after="240"/>
        <w:ind w:hanging="360" w:left="360" w:right="0"/>
        <w:jc w:val="both"/>
        <w:rPr/>
      </w:pPr>
      <w:r>
        <w:rPr>
          <w:rStyle w:val="Zkladntext"/>
        </w:rPr>
        <w:t>Objednatel je povinen zahájit přejímací řízení v den oznámený mu Zhotovitelem v souladu s předchozím odstavcem.</w:t>
      </w:r>
    </w:p>
    <w:p>
      <w:pPr>
        <w:pStyle w:val="Zkladntext1"/>
        <w:keepNext w:val="false"/>
        <w:keepLines w:val="false"/>
        <w:widowControl w:val="false"/>
        <w:numPr>
          <w:ilvl w:val="0"/>
          <w:numId w:val="14"/>
        </w:numPr>
        <w:shd w:val="clear" w:color="auto" w:fill="auto"/>
        <w:tabs>
          <w:tab w:val="clear" w:pos="720"/>
          <w:tab w:val="left" w:pos="358" w:leader="none"/>
        </w:tabs>
        <w:bidi w:val="0"/>
        <w:spacing w:lineRule="auto" w:line="240" w:before="0" w:after="500"/>
        <w:ind w:hanging="0" w:left="0" w:right="0"/>
        <w:jc w:val="both"/>
        <w:rPr/>
      </w:pPr>
      <w:r>
        <w:rPr>
          <w:rStyle w:val="Zkladntext"/>
          <w:u w:val="single"/>
        </w:rPr>
        <w:t>Za objednatele je pověřen úkony spojenými s protokolárním převzetím díla:</w:t>
      </w:r>
    </w:p>
    <w:p>
      <w:pPr>
        <w:pStyle w:val="Zkladntext1"/>
        <w:keepNext w:val="false"/>
        <w:keepLines w:val="false"/>
        <w:widowControl w:val="false"/>
        <w:shd w:val="clear" w:color="auto" w:fill="auto"/>
        <w:bidi w:val="0"/>
        <w:spacing w:lineRule="auto" w:line="240" w:before="0" w:after="0"/>
        <w:ind w:firstLine="360" w:left="0" w:right="0"/>
        <w:jc w:val="left"/>
        <w:rPr/>
      </w:pPr>
      <w:r>
        <w:rPr>
          <w:rStyle w:val="Zkladntext"/>
          <w:u w:val="single"/>
        </w:rPr>
        <w:t>Za Zhotovitele je pověřen úkony spojenými s protokolárním předáním díla:</w:t>
      </w:r>
    </w:p>
    <w:p>
      <w:pPr>
        <w:pStyle w:val="Zkladntext1"/>
        <w:keepNext w:val="false"/>
        <w:keepLines w:val="false"/>
        <w:widowControl w:val="false"/>
        <w:shd w:val="clear" w:color="auto" w:fill="auto"/>
        <w:bidi w:val="0"/>
        <w:spacing w:lineRule="auto" w:line="240" w:before="0" w:after="500"/>
        <w:ind w:firstLine="360" w:left="0" w:right="0"/>
        <w:jc w:val="left"/>
        <w:rPr/>
      </w:pPr>
      <w:r>
        <w:rPr>
          <w:rStyle w:val="Zkladntext"/>
        </w:rPr>
        <w:t>Ing. Viktor Meduna</w:t>
      </w:r>
    </w:p>
    <w:p>
      <w:pPr>
        <w:pStyle w:val="Zkladntext1"/>
        <w:keepNext w:val="false"/>
        <w:keepLines w:val="false"/>
        <w:widowControl w:val="false"/>
        <w:numPr>
          <w:ilvl w:val="0"/>
          <w:numId w:val="14"/>
        </w:numPr>
        <w:shd w:val="clear" w:color="auto" w:fill="auto"/>
        <w:tabs>
          <w:tab w:val="clear" w:pos="720"/>
          <w:tab w:val="left" w:pos="354" w:leader="none"/>
        </w:tabs>
        <w:bidi w:val="0"/>
        <w:spacing w:lineRule="auto" w:line="240" w:before="0" w:after="240"/>
        <w:ind w:hanging="0" w:left="0" w:right="0"/>
        <w:jc w:val="both"/>
        <w:rPr/>
      </w:pPr>
      <w:r>
        <w:rPr>
          <w:rStyle w:val="Zkladntext"/>
        </w:rPr>
        <w:t>Smluvní strany sjednávají předávání a přejímání Díla po částech díla.</w:t>
      </w:r>
    </w:p>
    <w:p>
      <w:pPr>
        <w:pStyle w:val="Zkladntext1"/>
        <w:keepNext w:val="false"/>
        <w:keepLines w:val="false"/>
        <w:widowControl w:val="false"/>
        <w:numPr>
          <w:ilvl w:val="0"/>
          <w:numId w:val="14"/>
        </w:numPr>
        <w:shd w:val="clear" w:color="auto" w:fill="auto"/>
        <w:tabs>
          <w:tab w:val="clear" w:pos="720"/>
          <w:tab w:val="left" w:pos="358" w:leader="none"/>
        </w:tabs>
        <w:bidi w:val="0"/>
        <w:spacing w:lineRule="auto" w:line="240" w:before="0" w:after="240"/>
        <w:ind w:hanging="0" w:left="0" w:right="0"/>
        <w:jc w:val="both"/>
        <w:rPr/>
      </w:pPr>
      <w:r>
        <w:rPr>
          <w:rStyle w:val="Zkladntext"/>
        </w:rPr>
        <w:t>Místem předání je trvalá adresa/sídlo Objednatele.</w:t>
      </w:r>
    </w:p>
    <w:p>
      <w:pPr>
        <w:pStyle w:val="Zkladntext1"/>
        <w:keepNext w:val="false"/>
        <w:keepLines w:val="false"/>
        <w:widowControl w:val="false"/>
        <w:numPr>
          <w:ilvl w:val="0"/>
          <w:numId w:val="14"/>
        </w:numPr>
        <w:shd w:val="clear" w:color="auto" w:fill="auto"/>
        <w:tabs>
          <w:tab w:val="clear" w:pos="720"/>
          <w:tab w:val="left" w:pos="354" w:leader="none"/>
        </w:tabs>
        <w:bidi w:val="0"/>
        <w:spacing w:lineRule="auto" w:line="240" w:before="0" w:after="240"/>
        <w:ind w:hanging="0" w:left="0" w:right="0"/>
        <w:jc w:val="left"/>
        <w:rPr/>
      </w:pPr>
      <w:r>
        <w:rPr>
          <w:rStyle w:val="Zkladntext"/>
        </w:rPr>
        <w:t>O průběhu předávacího a přejímacího řízení pořídí Objednatel zápis (dále jen „Protokol“).</w:t>
      </w:r>
    </w:p>
    <w:p>
      <w:pPr>
        <w:pStyle w:val="Zkladntext1"/>
        <w:keepNext w:val="false"/>
        <w:keepLines w:val="false"/>
        <w:widowControl w:val="false"/>
        <w:numPr>
          <w:ilvl w:val="0"/>
          <w:numId w:val="14"/>
        </w:numPr>
        <w:shd w:val="clear" w:color="auto" w:fill="auto"/>
        <w:tabs>
          <w:tab w:val="clear" w:pos="720"/>
          <w:tab w:val="left" w:pos="354" w:leader="none"/>
        </w:tabs>
        <w:bidi w:val="0"/>
        <w:spacing w:lineRule="auto" w:line="240" w:before="0" w:after="0"/>
        <w:ind w:hanging="0" w:left="0" w:right="0"/>
        <w:jc w:val="both"/>
        <w:rPr/>
      </w:pPr>
      <w:r>
        <w:rPr>
          <w:rStyle w:val="Zkladntext"/>
        </w:rPr>
        <w:t>Povinným obsahem Protokolu jsou:</w:t>
      </w:r>
    </w:p>
    <w:p>
      <w:pPr>
        <w:pStyle w:val="Zkladntext1"/>
        <w:keepNext w:val="false"/>
        <w:keepLines w:val="false"/>
        <w:widowControl w:val="false"/>
        <w:numPr>
          <w:ilvl w:val="0"/>
          <w:numId w:val="15"/>
        </w:numPr>
        <w:shd w:val="clear" w:color="auto" w:fill="auto"/>
        <w:tabs>
          <w:tab w:val="clear" w:pos="720"/>
          <w:tab w:val="left" w:pos="747" w:leader="none"/>
        </w:tabs>
        <w:bidi w:val="0"/>
        <w:spacing w:lineRule="auto" w:line="240" w:before="0" w:after="0"/>
        <w:ind w:firstLine="360" w:left="0" w:right="0"/>
        <w:jc w:val="both"/>
        <w:rPr/>
      </w:pPr>
      <w:r>
        <w:rPr>
          <w:rStyle w:val="Zkladntext"/>
        </w:rPr>
        <w:t>údaje o Zhotoviteli a Objednateli,</w:t>
      </w:r>
    </w:p>
    <w:p>
      <w:pPr>
        <w:pStyle w:val="Zkladntext1"/>
        <w:keepNext w:val="false"/>
        <w:keepLines w:val="false"/>
        <w:widowControl w:val="false"/>
        <w:numPr>
          <w:ilvl w:val="0"/>
          <w:numId w:val="15"/>
        </w:numPr>
        <w:shd w:val="clear" w:color="auto" w:fill="auto"/>
        <w:tabs>
          <w:tab w:val="clear" w:pos="720"/>
          <w:tab w:val="left" w:pos="738" w:leader="none"/>
        </w:tabs>
        <w:bidi w:val="0"/>
        <w:spacing w:lineRule="auto" w:line="240" w:before="0" w:after="0"/>
        <w:ind w:firstLine="360" w:left="0" w:right="0"/>
        <w:jc w:val="left"/>
        <w:rPr/>
      </w:pPr>
      <w:r>
        <w:rPr>
          <w:rStyle w:val="Zkladntext"/>
        </w:rPr>
        <w:t>stručný popis Díla nebo jeho části, které je předmětem předání a převzetí,</w:t>
      </w:r>
    </w:p>
    <w:p>
      <w:pPr>
        <w:pStyle w:val="Zkladntext1"/>
        <w:keepNext w:val="false"/>
        <w:keepLines w:val="false"/>
        <w:widowControl w:val="false"/>
        <w:numPr>
          <w:ilvl w:val="0"/>
          <w:numId w:val="15"/>
        </w:numPr>
        <w:shd w:val="clear" w:color="auto" w:fill="auto"/>
        <w:tabs>
          <w:tab w:val="clear" w:pos="720"/>
          <w:tab w:val="left" w:pos="733" w:leader="none"/>
        </w:tabs>
        <w:bidi w:val="0"/>
        <w:spacing w:lineRule="auto" w:line="240" w:before="0" w:after="0"/>
        <w:ind w:firstLine="360" w:left="0" w:right="0"/>
        <w:jc w:val="left"/>
        <w:rPr/>
      </w:pPr>
      <w:r>
        <w:rPr>
          <w:rStyle w:val="Zkladntext"/>
        </w:rPr>
        <w:t>číslovaný seznam předaných dokladů,</w:t>
      </w:r>
    </w:p>
    <w:p>
      <w:pPr>
        <w:pStyle w:val="Zkladntext1"/>
        <w:keepNext w:val="false"/>
        <w:keepLines w:val="false"/>
        <w:widowControl w:val="false"/>
        <w:numPr>
          <w:ilvl w:val="0"/>
          <w:numId w:val="15"/>
        </w:numPr>
        <w:shd w:val="clear" w:color="auto" w:fill="auto"/>
        <w:tabs>
          <w:tab w:val="clear" w:pos="720"/>
          <w:tab w:val="left" w:pos="747" w:leader="none"/>
        </w:tabs>
        <w:bidi w:val="0"/>
        <w:spacing w:lineRule="auto" w:line="240" w:before="0" w:after="240"/>
        <w:ind w:firstLine="360" w:left="0" w:right="0"/>
        <w:jc w:val="both"/>
        <w:rPr/>
      </w:pPr>
      <w:r>
        <w:rPr>
          <w:rStyle w:val="Zkladntext"/>
        </w:rPr>
        <w:t>prohlášení Objednatele, zda Dílo nebo jeho část přejímá nebo nepřejímá.</w:t>
      </w:r>
    </w:p>
    <w:p>
      <w:pPr>
        <w:pStyle w:val="Zkladntext1"/>
        <w:keepNext w:val="false"/>
        <w:keepLines w:val="false"/>
        <w:widowControl w:val="false"/>
        <w:numPr>
          <w:ilvl w:val="0"/>
          <w:numId w:val="14"/>
        </w:numPr>
        <w:shd w:val="clear" w:color="auto" w:fill="auto"/>
        <w:tabs>
          <w:tab w:val="clear" w:pos="720"/>
          <w:tab w:val="left" w:pos="354" w:leader="none"/>
        </w:tabs>
        <w:bidi w:val="0"/>
        <w:spacing w:lineRule="auto" w:line="240" w:before="0" w:after="240"/>
        <w:ind w:hanging="360" w:left="360" w:right="0"/>
        <w:jc w:val="both"/>
        <w:rPr/>
      </w:pPr>
      <w:r>
        <w:rPr>
          <w:rStyle w:val="Zkladntext"/>
        </w:rPr>
        <w:t>V případě, že Objednatel odmítá Dílo nebo jeho část převzít, uvede v Protokolu i důvody, pro které odmítá Dílo převzít.</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IX</w:t>
      </w:r>
    </w:p>
    <w:p>
      <w:pPr>
        <w:pStyle w:val="Nadpis31"/>
        <w:keepNext w:val="true"/>
        <w:keepLines/>
        <w:widowControl w:val="false"/>
        <w:shd w:val="clear" w:color="auto" w:fill="auto"/>
        <w:bidi w:val="0"/>
        <w:spacing w:lineRule="auto" w:line="240" w:before="0" w:after="240"/>
        <w:ind w:hanging="0" w:left="0" w:right="0"/>
        <w:jc w:val="center"/>
        <w:rPr/>
      </w:pPr>
      <w:bookmarkStart w:id="8" w:name="bookmark17"/>
      <w:r>
        <w:rPr>
          <w:rStyle w:val="Nadpis3"/>
          <w:b/>
          <w:bCs/>
        </w:rPr>
        <w:t>Dokladová část předání a převzetí Díla</w:t>
      </w:r>
      <w:bookmarkEnd w:id="8"/>
    </w:p>
    <w:p>
      <w:pPr>
        <w:pStyle w:val="Zkladntext1"/>
        <w:keepNext w:val="false"/>
        <w:keepLines w:val="false"/>
        <w:widowControl w:val="false"/>
        <w:numPr>
          <w:ilvl w:val="0"/>
          <w:numId w:val="16"/>
        </w:numPr>
        <w:shd w:val="clear" w:color="auto" w:fill="auto"/>
        <w:tabs>
          <w:tab w:val="clear" w:pos="720"/>
          <w:tab w:val="left" w:pos="344" w:leader="none"/>
        </w:tabs>
        <w:bidi w:val="0"/>
        <w:spacing w:lineRule="auto" w:line="240" w:before="0" w:after="240"/>
        <w:ind w:hanging="0" w:left="0" w:right="0"/>
        <w:jc w:val="both"/>
        <w:rPr/>
      </w:pPr>
      <w:r>
        <w:rPr>
          <w:rStyle w:val="Zkladntext"/>
        </w:rPr>
        <w:t>Nedílnou součástí předání a převzetí jednotlivých částí díla Objednatelem je předání projektů těchto</w:t>
      </w:r>
      <w:r>
        <w:br w:type="page"/>
      </w:r>
    </w:p>
    <w:p>
      <w:pPr>
        <w:pStyle w:val="Zkladntext1"/>
        <w:keepNext w:val="false"/>
        <w:keepLines w:val="false"/>
        <w:widowControl w:val="false"/>
        <w:shd w:val="clear" w:color="auto" w:fill="auto"/>
        <w:bidi w:val="0"/>
        <w:spacing w:lineRule="auto" w:line="240" w:before="0" w:after="240"/>
        <w:ind w:firstLine="40" w:left="400" w:right="0"/>
        <w:jc w:val="both"/>
        <w:rPr/>
      </w:pPr>
      <w:r>
        <w:rPr>
          <w:rStyle w:val="Zkladntext"/>
        </w:rPr>
        <w:t>částí Díla Zhotovitelem Objednateli v rozsahu uvedeném v tomto článku a v souladu s platnými legislativními požadavky.</w:t>
      </w:r>
    </w:p>
    <w:p>
      <w:pPr>
        <w:pStyle w:val="Zkladntext1"/>
        <w:keepNext w:val="false"/>
        <w:keepLines w:val="false"/>
        <w:widowControl w:val="false"/>
        <w:numPr>
          <w:ilvl w:val="0"/>
          <w:numId w:val="16"/>
        </w:numPr>
        <w:shd w:val="clear" w:color="auto" w:fill="auto"/>
        <w:tabs>
          <w:tab w:val="clear" w:pos="720"/>
          <w:tab w:val="left" w:pos="380" w:leader="none"/>
        </w:tabs>
        <w:bidi w:val="0"/>
        <w:spacing w:lineRule="auto" w:line="240" w:before="0" w:after="0"/>
        <w:ind w:hanging="0" w:left="0" w:right="0"/>
        <w:jc w:val="both"/>
        <w:rPr/>
      </w:pPr>
      <w:r>
        <w:rPr>
          <w:rStyle w:val="Zkladntext"/>
        </w:rPr>
        <w:t>Projekt jednotlivých částí Díla bude předán:</w:t>
      </w:r>
    </w:p>
    <w:p>
      <w:pPr>
        <w:pStyle w:val="Zkladntext1"/>
        <w:keepNext w:val="false"/>
        <w:keepLines w:val="false"/>
        <w:widowControl w:val="false"/>
        <w:numPr>
          <w:ilvl w:val="0"/>
          <w:numId w:val="17"/>
        </w:numPr>
        <w:shd w:val="clear" w:color="auto" w:fill="auto"/>
        <w:tabs>
          <w:tab w:val="clear" w:pos="720"/>
          <w:tab w:val="left" w:pos="1225" w:leader="none"/>
        </w:tabs>
        <w:bidi w:val="0"/>
        <w:spacing w:lineRule="auto" w:line="240" w:before="0" w:after="0"/>
        <w:ind w:firstLine="860" w:left="0" w:right="0"/>
        <w:jc w:val="both"/>
        <w:rPr/>
      </w:pPr>
      <w:r>
        <w:rPr>
          <w:rStyle w:val="Zkladntext"/>
        </w:rPr>
        <w:t>4 paré v tištěné formě, 2x v elektronické podobě na nosiči CD (DVD),</w:t>
      </w:r>
    </w:p>
    <w:p>
      <w:pPr>
        <w:pStyle w:val="Zkladntext1"/>
        <w:keepNext w:val="false"/>
        <w:keepLines w:val="false"/>
        <w:widowControl w:val="false"/>
        <w:numPr>
          <w:ilvl w:val="0"/>
          <w:numId w:val="17"/>
        </w:numPr>
        <w:shd w:val="clear" w:color="auto" w:fill="auto"/>
        <w:tabs>
          <w:tab w:val="clear" w:pos="720"/>
          <w:tab w:val="left" w:pos="1225" w:leader="none"/>
        </w:tabs>
        <w:bidi w:val="0"/>
        <w:spacing w:lineRule="auto" w:line="240" w:before="0" w:after="0"/>
        <w:ind w:hanging="340" w:left="1200" w:right="0"/>
        <w:jc w:val="both"/>
        <w:rPr/>
      </w:pPr>
      <w:r>
        <w:rPr>
          <w:rStyle w:val="Zkladntext"/>
        </w:rPr>
        <w:t>ve formě dokumentace - výkresová část ve formátu PDF, DWG a nebo text ve formátu WORD nebo PDF,</w:t>
      </w:r>
    </w:p>
    <w:p>
      <w:pPr>
        <w:pStyle w:val="Zkladntext1"/>
        <w:keepNext w:val="false"/>
        <w:keepLines w:val="false"/>
        <w:widowControl w:val="false"/>
        <w:shd w:val="clear" w:color="auto" w:fill="auto"/>
        <w:bidi w:val="0"/>
        <w:spacing w:lineRule="auto" w:line="240" w:before="0" w:after="240"/>
        <w:ind w:hanging="0" w:left="1200" w:right="0"/>
        <w:jc w:val="both"/>
        <w:rPr/>
      </w:pPr>
      <w:r>
        <w:rPr>
          <w:rStyle w:val="Zkladntext"/>
        </w:rPr>
        <w:t>součástí předání části díla uvedené v článku II dle odst. e) bude také oceněný a neoceněný soupis stavebních prací, dodávek a služeb s výkazem výměr v rozsahu stanoveném prováděcím právním předpisem, vyhlášky č. 169/2016 Sb., rozsah dokumentace veřejné zakázky na stavební práce, v platném znění, který bude předán ve formátu *.XLS nebo *.XLSX a tištěné podobě autorizované Zhotovitelem.</w:t>
      </w:r>
    </w:p>
    <w:p>
      <w:pPr>
        <w:pStyle w:val="Zkladntext1"/>
        <w:keepNext w:val="false"/>
        <w:keepLines w:val="false"/>
        <w:widowControl w:val="false"/>
        <w:numPr>
          <w:ilvl w:val="0"/>
          <w:numId w:val="16"/>
        </w:numPr>
        <w:shd w:val="clear" w:color="auto" w:fill="auto"/>
        <w:tabs>
          <w:tab w:val="clear" w:pos="720"/>
          <w:tab w:val="left" w:pos="486" w:leader="none"/>
        </w:tabs>
        <w:bidi w:val="0"/>
        <w:spacing w:lineRule="auto" w:line="240" w:before="0" w:after="500"/>
        <w:ind w:hanging="240" w:left="400" w:right="0"/>
        <w:jc w:val="both"/>
        <w:rPr/>
      </w:pPr>
      <w:r>
        <w:rPr>
          <w:rStyle w:val="Zkladntext"/>
        </w:rPr>
        <w:t>Výkaz výměr, který bude součástí projektu pro provedení stavby (DPS) bude předán samostatně tak, aby mohl být podkladem pro výběr dodavatele stavby.</w:t>
      </w:r>
    </w:p>
    <w:p>
      <w:pPr>
        <w:pStyle w:val="Zkladntext1"/>
        <w:keepNext w:val="false"/>
        <w:keepLines w:val="false"/>
        <w:widowControl w:val="false"/>
        <w:shd w:val="clear" w:color="auto" w:fill="auto"/>
        <w:bidi w:val="0"/>
        <w:spacing w:lineRule="auto" w:line="240" w:before="0" w:after="240"/>
        <w:ind w:hanging="0" w:left="0" w:right="0"/>
        <w:jc w:val="center"/>
        <w:rPr/>
      </w:pPr>
      <w:r>
        <w:rPr>
          <w:rStyle w:val="Zkladntext"/>
        </w:rPr>
        <w:t>Článek X</w:t>
      </w:r>
    </w:p>
    <w:p>
      <w:pPr>
        <w:pStyle w:val="Nadpis31"/>
        <w:keepNext w:val="true"/>
        <w:keepLines/>
        <w:widowControl w:val="false"/>
        <w:shd w:val="clear" w:color="auto" w:fill="auto"/>
        <w:bidi w:val="0"/>
        <w:spacing w:lineRule="auto" w:line="240" w:before="0" w:after="240"/>
        <w:ind w:hanging="0" w:left="0" w:right="0"/>
        <w:jc w:val="center"/>
        <w:rPr/>
      </w:pPr>
      <w:bookmarkStart w:id="9" w:name="bookmark19"/>
      <w:r>
        <w:rPr>
          <w:rStyle w:val="Nadpis3"/>
          <w:b/>
          <w:bCs/>
        </w:rPr>
        <w:t>Odpovědnost za vady, záruka za Dílo, odpovědnost za škody</w:t>
      </w:r>
      <w:bookmarkEnd w:id="9"/>
    </w:p>
    <w:p>
      <w:pPr>
        <w:pStyle w:val="Zkladntext1"/>
        <w:keepNext w:val="false"/>
        <w:keepLines w:val="false"/>
        <w:widowControl w:val="false"/>
        <w:numPr>
          <w:ilvl w:val="0"/>
          <w:numId w:val="18"/>
        </w:numPr>
        <w:shd w:val="clear" w:color="auto" w:fill="auto"/>
        <w:tabs>
          <w:tab w:val="clear" w:pos="720"/>
          <w:tab w:val="left" w:pos="516" w:leader="none"/>
        </w:tabs>
        <w:bidi w:val="0"/>
        <w:spacing w:lineRule="auto" w:line="240" w:before="0" w:after="0"/>
        <w:ind w:firstLine="200" w:left="0" w:right="0"/>
        <w:jc w:val="both"/>
        <w:rPr/>
      </w:pPr>
      <w:r>
        <w:rPr>
          <w:rStyle w:val="Zkladntext"/>
        </w:rPr>
        <w:t>Zhotovitel odpovídá za vady, jež má Dílo v době jeho předání a převzetí Díla.</w:t>
      </w:r>
    </w:p>
    <w:p>
      <w:pPr>
        <w:pStyle w:val="Zkladntext1"/>
        <w:keepNext w:val="false"/>
        <w:keepLines w:val="false"/>
        <w:widowControl w:val="false"/>
        <w:numPr>
          <w:ilvl w:val="0"/>
          <w:numId w:val="18"/>
        </w:numPr>
        <w:shd w:val="clear" w:color="auto" w:fill="auto"/>
        <w:tabs>
          <w:tab w:val="clear" w:pos="720"/>
          <w:tab w:val="left" w:pos="530" w:leader="none"/>
        </w:tabs>
        <w:bidi w:val="0"/>
        <w:spacing w:lineRule="auto" w:line="240" w:before="0" w:after="0"/>
        <w:ind w:hanging="200" w:left="400" w:right="0"/>
        <w:jc w:val="both"/>
        <w:rPr/>
      </w:pPr>
      <w:r>
        <w:rPr>
          <w:rStyle w:val="Zkladntext"/>
        </w:rPr>
        <w:t>Objednatel je oprávněn vady Díla písemně reklamovat (doporučeným dopisem, elektronicky se zaručeným podpisem, doručením do datové schránky zhotovitele) u Zhotovitele kdykoliv v průběhu výstavby poté, co budou vady Díla odhaleny.</w:t>
      </w:r>
    </w:p>
    <w:p>
      <w:pPr>
        <w:pStyle w:val="Zkladntext1"/>
        <w:keepNext w:val="false"/>
        <w:keepLines w:val="false"/>
        <w:widowControl w:val="false"/>
        <w:numPr>
          <w:ilvl w:val="0"/>
          <w:numId w:val="18"/>
        </w:numPr>
        <w:shd w:val="clear" w:color="auto" w:fill="auto"/>
        <w:tabs>
          <w:tab w:val="clear" w:pos="720"/>
          <w:tab w:val="left" w:pos="526" w:leader="none"/>
        </w:tabs>
        <w:bidi w:val="0"/>
        <w:spacing w:lineRule="auto" w:line="240" w:before="0" w:after="0"/>
        <w:ind w:firstLine="200" w:left="0" w:right="0"/>
        <w:jc w:val="both"/>
        <w:rPr/>
      </w:pPr>
      <w:r>
        <w:rPr>
          <w:rStyle w:val="Zkladntext"/>
        </w:rPr>
        <w:t>Zhotovitel je povinen bezprostředně po přijetí reklamace zahájit práce na jejím odstranění.</w:t>
      </w:r>
    </w:p>
    <w:p>
      <w:pPr>
        <w:pStyle w:val="Zkladntext1"/>
        <w:keepNext w:val="false"/>
        <w:keepLines w:val="false"/>
        <w:widowControl w:val="false"/>
        <w:numPr>
          <w:ilvl w:val="0"/>
          <w:numId w:val="18"/>
        </w:numPr>
        <w:shd w:val="clear" w:color="auto" w:fill="auto"/>
        <w:tabs>
          <w:tab w:val="clear" w:pos="720"/>
          <w:tab w:val="left" w:pos="490" w:leader="none"/>
        </w:tabs>
        <w:bidi w:val="0"/>
        <w:spacing w:lineRule="auto" w:line="240" w:before="0" w:after="0"/>
        <w:ind w:hanging="240" w:left="400" w:right="0"/>
        <w:jc w:val="both"/>
        <w:rPr/>
      </w:pPr>
      <w:r>
        <w:rPr>
          <w:rStyle w:val="Zkladntext"/>
        </w:rPr>
        <w:t>Za vadu Díla se považuje nemožnost zajištění kladných rozhodnutí DOSS, neúplnost výkazu výměr, který bude pokladem pro ocenění realizace stavby apod.</w:t>
      </w:r>
    </w:p>
    <w:p>
      <w:pPr>
        <w:pStyle w:val="Zkladntext1"/>
        <w:keepNext w:val="false"/>
        <w:keepLines w:val="false"/>
        <w:widowControl w:val="false"/>
        <w:numPr>
          <w:ilvl w:val="0"/>
          <w:numId w:val="18"/>
        </w:numPr>
        <w:shd w:val="clear" w:color="auto" w:fill="auto"/>
        <w:tabs>
          <w:tab w:val="clear" w:pos="720"/>
          <w:tab w:val="left" w:pos="486" w:leader="none"/>
        </w:tabs>
        <w:bidi w:val="0"/>
        <w:spacing w:lineRule="auto" w:line="240" w:before="0" w:after="0"/>
        <w:ind w:hanging="240" w:left="400" w:right="0"/>
        <w:jc w:val="both"/>
        <w:rPr/>
      </w:pPr>
      <w:r>
        <w:rPr>
          <w:rStyle w:val="Zkladntext"/>
        </w:rPr>
        <w:t>V případě vzniku jakékoliv škody zaviněné prokazatelně špatným postupem Zhotovitele nese odpovědnost za takto vzniklou škodu od počátku Zhotovitel.</w:t>
      </w:r>
    </w:p>
    <w:p>
      <w:pPr>
        <w:pStyle w:val="Zkladntext1"/>
        <w:keepNext w:val="false"/>
        <w:keepLines w:val="false"/>
        <w:widowControl w:val="false"/>
        <w:numPr>
          <w:ilvl w:val="0"/>
          <w:numId w:val="18"/>
        </w:numPr>
        <w:shd w:val="clear" w:color="auto" w:fill="auto"/>
        <w:tabs>
          <w:tab w:val="clear" w:pos="720"/>
          <w:tab w:val="left" w:pos="495" w:leader="none"/>
        </w:tabs>
        <w:bidi w:val="0"/>
        <w:spacing w:lineRule="auto" w:line="240" w:before="0" w:after="0"/>
        <w:ind w:hanging="240" w:left="400" w:right="0"/>
        <w:jc w:val="both"/>
        <w:rPr/>
      </w:pPr>
      <w:r>
        <w:rPr>
          <w:rStyle w:val="Zkladntext"/>
        </w:rPr>
        <w:t>Smlouva se uzavírá na dobu provádění stavby a do odstranění vad a nedodělků díla. Smluvní strany mohou tuto smlouvu vypovědět písemně. Výpovědní lhůta je 1 měsíc a začíná běžet prvním dnem kalendářního měsíce následujícího po doručení výpovědi. Při ukončení smluvního vztahu výpovědí má Zhotovitel právo na poměrnou část úhrady odpovídající činnosti, kterou řádně vykonal do posledního dne výpovědní lhůty. Poměrná část odměny bude zaplacena, jak je uvedeno v čl. III., nedohodnou-li se účastníci jinak.</w:t>
      </w:r>
    </w:p>
    <w:p>
      <w:pPr>
        <w:pStyle w:val="Zkladntext1"/>
        <w:keepNext w:val="false"/>
        <w:keepLines w:val="false"/>
        <w:widowControl w:val="false"/>
        <w:numPr>
          <w:ilvl w:val="0"/>
          <w:numId w:val="18"/>
        </w:numPr>
        <w:shd w:val="clear" w:color="auto" w:fill="auto"/>
        <w:tabs>
          <w:tab w:val="clear" w:pos="720"/>
          <w:tab w:val="left" w:pos="490" w:leader="none"/>
        </w:tabs>
        <w:bidi w:val="0"/>
        <w:spacing w:lineRule="auto" w:line="240" w:before="0" w:after="0"/>
        <w:ind w:hanging="240" w:left="400" w:right="0"/>
        <w:jc w:val="both"/>
        <w:rPr/>
      </w:pPr>
      <w:r>
        <mc:AlternateContent>
          <mc:Choice Requires="wps">
            <w:drawing>
              <wp:anchor behindDoc="0" distT="50165" distB="50800" distL="50165" distR="50800" simplePos="0" locked="0" layoutInCell="0" allowOverlap="1" relativeHeight="4">
                <wp:simplePos x="0" y="0"/>
                <wp:positionH relativeFrom="page">
                  <wp:posOffset>4274820</wp:posOffset>
                </wp:positionH>
                <wp:positionV relativeFrom="paragraph">
                  <wp:posOffset>12700</wp:posOffset>
                </wp:positionV>
                <wp:extent cx="1505585" cy="826135"/>
                <wp:effectExtent l="635" t="635" r="0" b="0"/>
                <wp:wrapSquare wrapText="left"/>
                <wp:docPr id="2" name="Shape 3"/>
                <a:graphic xmlns:a="http://schemas.openxmlformats.org/drawingml/2006/main">
                  <a:graphicData uri="http://schemas.microsoft.com/office/word/2010/wordprocessingShape">
                    <wps:wsp>
                      <wps:cNvSpPr/>
                      <wps:spPr>
                        <a:xfrm>
                          <a:off x="0" y="0"/>
                          <a:ext cx="1505520" cy="826200"/>
                        </a:xfrm>
                        <a:prstGeom prst="rect">
                          <a:avLst/>
                        </a:prstGeom>
                        <a:noFill/>
                        <a:ln w="0">
                          <a:noFill/>
                        </a:ln>
                      </wps:spPr>
                      <wps:style>
                        <a:lnRef idx="0"/>
                        <a:fillRef idx="0"/>
                        <a:effectRef idx="0"/>
                        <a:fontRef idx="minor"/>
                      </wps:style>
                      <wps:txbx>
                        <w:txbxContent>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a) je Objednatel</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b) je Objednatel</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c) je Objednatel</w:t>
                            </w:r>
                          </w:p>
                        </w:txbxContent>
                      </wps:txbx>
                      <wps:bodyPr lIns="0" rIns="0" tIns="0" bIns="0" anchor="t">
                        <a:noAutofit/>
                      </wps:bodyPr>
                    </wps:wsp>
                  </a:graphicData>
                </a:graphic>
              </wp:anchor>
            </w:drawing>
          </mc:Choice>
          <mc:Fallback>
            <w:pict>
              <v:rect id="shape_0" ID="Shape 3" path="m0,0l-2147483645,0l-2147483645,-2147483646l0,-2147483646xe" stroked="f" o:allowincell="f" style="position:absolute;margin-left:336.6pt;margin-top:1pt;width:118.5pt;height:65pt;mso-wrap-style:square;v-text-anchor:top;mso-position-horizontal-relative:page">
                <v:fill o:detectmouseclick="t" on="false"/>
                <v:stroke color="#3465a4" joinstyle="round" endcap="flat"/>
                <v:textbox>
                  <w:txbxContent>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a) je Objednatel</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b) je Objednatel</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písm. c) je Objednatel</w:t>
                      </w:r>
                    </w:p>
                  </w:txbxContent>
                </v:textbox>
                <w10:wrap type="square" side="left"/>
              </v:rect>
            </w:pict>
          </mc:Fallback>
        </mc:AlternateContent>
        <mc:AlternateContent>
          <mc:Choice Requires="wps">
            <w:drawing>
              <wp:anchor behindDoc="0" distT="0" distB="0" distL="114300" distR="114300" simplePos="0" locked="0" layoutInCell="0" allowOverlap="1" relativeHeight="6">
                <wp:simplePos x="0" y="0"/>
                <wp:positionH relativeFrom="page">
                  <wp:posOffset>5823585</wp:posOffset>
                </wp:positionH>
                <wp:positionV relativeFrom="paragraph">
                  <wp:posOffset>12700</wp:posOffset>
                </wp:positionV>
                <wp:extent cx="1289050" cy="822960"/>
                <wp:effectExtent l="0" t="0" r="0" b="0"/>
                <wp:wrapSquare wrapText="left"/>
                <wp:docPr id="3" name="Shape 5"/>
                <a:graphic xmlns:a="http://schemas.openxmlformats.org/drawingml/2006/main">
                  <a:graphicData uri="http://schemas.microsoft.com/office/word/2010/wordprocessingShape">
                    <wps:wsp>
                      <wps:cNvSpPr/>
                      <wps:spPr>
                        <a:xfrm>
                          <a:off x="0" y="0"/>
                          <a:ext cx="1289160" cy="822960"/>
                        </a:xfrm>
                        <a:prstGeom prst="rect">
                          <a:avLst/>
                        </a:prstGeom>
                        <a:noFill/>
                        <a:ln w="0">
                          <a:noFill/>
                        </a:ln>
                      </wps:spPr>
                      <wps:style>
                        <a:lnRef idx="0"/>
                        <a:fillRef idx="0"/>
                        <a:effectRef idx="0"/>
                        <a:fontRef idx="minor"/>
                      </wps:style>
                      <wps:txbx>
                        <w:txbxContent>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txbxContent>
                      </wps:txbx>
                      <wps:bodyPr lIns="0" rIns="0" tIns="0" bIns="0" anchor="t">
                        <a:noAutofit/>
                      </wps:bodyPr>
                    </wps:wsp>
                  </a:graphicData>
                </a:graphic>
              </wp:anchor>
            </w:drawing>
          </mc:Choice>
          <mc:Fallback>
            <w:pict>
              <v:rect id="shape_0" ID="Shape 5" path="m0,0l-2147483645,0l-2147483645,-2147483646l0,-2147483646xe" stroked="f" o:allowincell="f" style="position:absolute;margin-left:458.55pt;margin-top:1pt;width:101.45pt;height:64.75pt;mso-wrap-style:square;v-text-anchor:top;mso-position-horizontal-relative:page">
                <v:fill o:detectmouseclick="t" on="false"/>
                <v:stroke color="#3465a4" joinstyle="round" endcap="flat"/>
                <v:textbox>
                  <w:txbxContent>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p>
                      <w:pPr>
                        <w:pStyle w:val="Zkladntext1"/>
                        <w:keepNext w:val="false"/>
                        <w:keepLines w:val="false"/>
                        <w:widowControl w:val="false"/>
                        <w:shd w:val="clear" w:color="auto" w:fill="auto"/>
                        <w:bidi w:val="0"/>
                        <w:spacing w:lineRule="auto" w:line="240" w:before="0" w:after="240"/>
                        <w:ind w:hanging="0" w:left="0" w:right="0"/>
                        <w:jc w:val="left"/>
                        <w:rPr/>
                      </w:pPr>
                      <w:r>
                        <w:rPr>
                          <w:rStyle w:val="Zkladntext"/>
                        </w:rPr>
                        <w:t>oprávněn vyúčtovat</w:t>
                      </w:r>
                    </w:p>
                  </w:txbxContent>
                </v:textbox>
                <w10:wrap type="square" side="left"/>
              </v:rect>
            </w:pict>
          </mc:Fallback>
        </mc:AlternateContent>
      </w:r>
      <w:r>
        <w:rPr>
          <w:rStyle w:val="Zkladntext"/>
        </w:rPr>
        <w:t>Při nedodržení termínu plnění dle článku III., odst. 1. smluvní pokutu ve výši 20 000 Kč za každý den prodlení.</w:t>
      </w:r>
    </w:p>
    <w:p>
      <w:pPr>
        <w:pStyle w:val="Zkladntext1"/>
        <w:keepNext w:val="false"/>
        <w:keepLines w:val="false"/>
        <w:widowControl w:val="false"/>
        <w:numPr>
          <w:ilvl w:val="0"/>
          <w:numId w:val="18"/>
        </w:numPr>
        <w:shd w:val="clear" w:color="auto" w:fill="auto"/>
        <w:tabs>
          <w:tab w:val="clear" w:pos="720"/>
          <w:tab w:val="left" w:pos="490" w:leader="none"/>
        </w:tabs>
        <w:bidi w:val="0"/>
        <w:spacing w:lineRule="auto" w:line="240" w:before="0" w:after="0"/>
        <w:ind w:hanging="240" w:left="400" w:right="0"/>
        <w:jc w:val="both"/>
        <w:rPr/>
      </w:pPr>
      <w:r>
        <w:rPr>
          <w:rStyle w:val="Zkladntext"/>
        </w:rPr>
        <w:t>Při nedodržení termínu plnění dle článku III., odst. 1. smluvní pokutu ve výši 5 000 Kč za každý den prodlení.</w:t>
      </w:r>
    </w:p>
    <w:p>
      <w:pPr>
        <w:pStyle w:val="Zkladntext1"/>
        <w:keepNext w:val="false"/>
        <w:keepLines w:val="false"/>
        <w:widowControl w:val="false"/>
        <w:numPr>
          <w:ilvl w:val="0"/>
          <w:numId w:val="18"/>
        </w:numPr>
        <w:shd w:val="clear" w:color="auto" w:fill="auto"/>
        <w:tabs>
          <w:tab w:val="clear" w:pos="720"/>
          <w:tab w:val="left" w:pos="380" w:leader="none"/>
        </w:tabs>
        <w:bidi w:val="0"/>
        <w:spacing w:lineRule="auto" w:line="240" w:before="0" w:after="0"/>
        <w:ind w:hanging="400" w:left="400" w:right="0"/>
        <w:jc w:val="both"/>
        <w:rPr/>
      </w:pPr>
      <w:r>
        <w:rPr>
          <w:rStyle w:val="Zkladntext"/>
        </w:rPr>
        <w:t>Při nedodržení termínu plnění dle článku III., odst. 1. smluvní pokutu ve výši 5 000 Kč za každý den prodlení.</w:t>
      </w:r>
    </w:p>
    <w:p>
      <w:pPr>
        <w:pStyle w:val="Zkladntext1"/>
        <w:keepNext w:val="false"/>
        <w:keepLines w:val="false"/>
        <w:widowControl w:val="false"/>
        <w:numPr>
          <w:ilvl w:val="0"/>
          <w:numId w:val="18"/>
        </w:numPr>
        <w:shd w:val="clear" w:color="auto" w:fill="auto"/>
        <w:tabs>
          <w:tab w:val="clear" w:pos="720"/>
          <w:tab w:val="left" w:pos="436" w:leader="none"/>
        </w:tabs>
        <w:bidi w:val="0"/>
        <w:spacing w:lineRule="auto" w:line="240" w:before="0" w:after="0"/>
        <w:ind w:hanging="400" w:left="400" w:right="0"/>
        <w:jc w:val="both"/>
        <w:rPr/>
      </w:pPr>
      <w:r>
        <w:rPr>
          <w:rStyle w:val="Zkladntext"/>
        </w:rPr>
        <w:t>Při neomluvené neúčasti Zhotovitele na kontrolních dnech je Objednatel oprávněn vyúčtovat smluvní pokutu ve výši 5 000 Kč za každý jednotlivý případ.</w:t>
      </w:r>
    </w:p>
    <w:p>
      <w:pPr>
        <w:pStyle w:val="Zkladntext1"/>
        <w:keepNext w:val="false"/>
        <w:keepLines w:val="false"/>
        <w:widowControl w:val="false"/>
        <w:numPr>
          <w:ilvl w:val="0"/>
          <w:numId w:val="18"/>
        </w:numPr>
        <w:shd w:val="clear" w:color="auto" w:fill="auto"/>
        <w:tabs>
          <w:tab w:val="clear" w:pos="720"/>
          <w:tab w:val="left" w:pos="441" w:leader="none"/>
        </w:tabs>
        <w:bidi w:val="0"/>
        <w:spacing w:lineRule="auto" w:line="240" w:before="0" w:after="0"/>
        <w:ind w:hanging="400" w:left="400" w:right="0"/>
        <w:jc w:val="both"/>
        <w:rPr/>
      </w:pPr>
      <w:r>
        <w:rPr>
          <w:rStyle w:val="Zkladntext"/>
        </w:rPr>
        <w:t>V případě porušení povinností Zhotovitele vyplývající ze stavebního zákona a dalších předpisů, norem a závazných pokynů je Objednatel oprávněn vyúčtovat smluvní pokutu ve výši 5 000 Kč za každý jednotlivý případ. Zároveň Zhotovitel odpovídá za případnou škodu tímto způsobenou příkazci.</w:t>
      </w:r>
    </w:p>
    <w:p>
      <w:pPr>
        <w:pStyle w:val="Zkladntext1"/>
        <w:keepNext w:val="false"/>
        <w:keepLines w:val="false"/>
        <w:widowControl w:val="false"/>
        <w:numPr>
          <w:ilvl w:val="0"/>
          <w:numId w:val="18"/>
        </w:numPr>
        <w:shd w:val="clear" w:color="auto" w:fill="auto"/>
        <w:tabs>
          <w:tab w:val="clear" w:pos="720"/>
          <w:tab w:val="left" w:pos="441" w:leader="none"/>
        </w:tabs>
        <w:bidi w:val="0"/>
        <w:spacing w:lineRule="auto" w:line="240" w:before="0" w:after="0"/>
        <w:ind w:hanging="400" w:left="400" w:right="0"/>
        <w:jc w:val="both"/>
        <w:rPr/>
      </w:pPr>
      <w:r>
        <w:rPr>
          <w:rStyle w:val="Zkladntext"/>
        </w:rPr>
        <w:t>V případě podstatného porušení povinností označených v odst. 3. tohoto článku Zhotovitelem, je Objednatel oprávněn od smlouvy odstoupit. Odstoupení je účinné okamžikem doručení.</w:t>
      </w:r>
    </w:p>
    <w:p>
      <w:pPr>
        <w:pStyle w:val="Zkladntext1"/>
        <w:keepNext w:val="false"/>
        <w:keepLines w:val="false"/>
        <w:widowControl w:val="false"/>
        <w:numPr>
          <w:ilvl w:val="0"/>
          <w:numId w:val="18"/>
        </w:numPr>
        <w:shd w:val="clear" w:color="auto" w:fill="auto"/>
        <w:tabs>
          <w:tab w:val="clear" w:pos="720"/>
          <w:tab w:val="left" w:pos="436" w:leader="none"/>
        </w:tabs>
        <w:bidi w:val="0"/>
        <w:spacing w:lineRule="auto" w:line="240" w:before="0" w:after="0"/>
        <w:ind w:hanging="400" w:left="400" w:right="0"/>
        <w:jc w:val="both"/>
        <w:rPr/>
      </w:pPr>
      <w:r>
        <w:rPr>
          <w:rStyle w:val="Zkladntext"/>
        </w:rPr>
        <w:t>Zhotovitel je povinen reagovat na jakýkoliv pokyn Objednatele do 48 hodin od odeslání datové zprávy nebo pokusu o telefonický kontakt ze strany Objednatele. Ten je oprávněn vyúčtovat smluvní pokutu ve výši 5 000 Kč za každý jednotlivý takový případ.</w:t>
      </w:r>
    </w:p>
    <w:p>
      <w:pPr>
        <w:pStyle w:val="Zkladntext1"/>
        <w:keepNext w:val="false"/>
        <w:keepLines w:val="false"/>
        <w:widowControl w:val="false"/>
        <w:numPr>
          <w:ilvl w:val="0"/>
          <w:numId w:val="18"/>
        </w:numPr>
        <w:shd w:val="clear" w:color="auto" w:fill="auto"/>
        <w:tabs>
          <w:tab w:val="clear" w:pos="720"/>
          <w:tab w:val="left" w:pos="436" w:leader="none"/>
        </w:tabs>
        <w:bidi w:val="0"/>
        <w:spacing w:lineRule="auto" w:line="240" w:before="0" w:after="240"/>
        <w:ind w:hanging="400" w:left="400" w:right="0"/>
        <w:jc w:val="both"/>
        <w:rPr/>
      </w:pPr>
      <w:r>
        <w:rPr>
          <w:rStyle w:val="Zkladntext"/>
        </w:rPr>
        <w:t>Objednatel je oprávněn jakoukoli smluvní pokutu započíst proti úhradě faktury vystavené zhotovitelem dle článku V. této smlouvy.</w:t>
      </w:r>
    </w:p>
    <w:p>
      <w:pPr>
        <w:pStyle w:val="Zkladntext1"/>
        <w:keepNext w:val="false"/>
        <w:keepLines w:val="false"/>
        <w:widowControl w:val="false"/>
        <w:shd w:val="clear" w:color="auto" w:fill="auto"/>
        <w:bidi w:val="0"/>
        <w:spacing w:lineRule="auto" w:line="240" w:before="0" w:after="100"/>
        <w:ind w:hanging="0" w:left="0" w:right="0"/>
        <w:jc w:val="center"/>
        <w:rPr/>
      </w:pPr>
      <w:r>
        <w:rPr>
          <w:rStyle w:val="Zkladntext"/>
        </w:rPr>
        <w:t>Článek XI</w:t>
      </w:r>
    </w:p>
    <w:p>
      <w:pPr>
        <w:pStyle w:val="Nadpis31"/>
        <w:keepNext w:val="true"/>
        <w:keepLines/>
        <w:widowControl w:val="false"/>
        <w:shd w:val="clear" w:color="auto" w:fill="auto"/>
        <w:bidi w:val="0"/>
        <w:spacing w:lineRule="auto" w:line="240" w:before="0" w:after="100"/>
        <w:ind w:hanging="0" w:left="0" w:right="0"/>
        <w:jc w:val="center"/>
        <w:rPr/>
      </w:pPr>
      <w:bookmarkStart w:id="10" w:name="bookmark21"/>
      <w:r>
        <w:rPr>
          <w:rStyle w:val="Nadpis3"/>
          <w:b/>
          <w:bCs/>
        </w:rPr>
        <w:t>Záruka</w:t>
      </w:r>
      <w:bookmarkEnd w:id="10"/>
    </w:p>
    <w:p>
      <w:pPr>
        <w:pStyle w:val="Zkladntext1"/>
        <w:keepNext w:val="false"/>
        <w:keepLines w:val="false"/>
        <w:widowControl w:val="false"/>
        <w:numPr>
          <w:ilvl w:val="0"/>
          <w:numId w:val="19"/>
        </w:numPr>
        <w:shd w:val="clear" w:color="auto" w:fill="auto"/>
        <w:tabs>
          <w:tab w:val="clear" w:pos="720"/>
          <w:tab w:val="left" w:pos="380" w:leader="none"/>
        </w:tabs>
        <w:bidi w:val="0"/>
        <w:spacing w:lineRule="auto" w:line="240" w:before="0" w:after="240"/>
        <w:ind w:hanging="0" w:left="0" w:right="0"/>
        <w:jc w:val="both"/>
        <w:rPr/>
      </w:pPr>
      <w:r>
        <w:rPr>
          <w:rStyle w:val="Zkladntext"/>
        </w:rPr>
        <w:t>Zhotovitel odpovídá za to, že předmět díla bude vyhotoven podle podmínek smlouvy a v souladu s</w:t>
      </w:r>
    </w:p>
    <w:p>
      <w:pPr>
        <w:pStyle w:val="Zkladntext1"/>
        <w:keepNext w:val="false"/>
        <w:keepLines w:val="false"/>
        <w:widowControl w:val="false"/>
        <w:shd w:val="clear" w:color="auto" w:fill="auto"/>
        <w:bidi w:val="0"/>
        <w:spacing w:lineRule="auto" w:line="240" w:before="0" w:after="100"/>
        <w:ind w:firstLine="40" w:left="280" w:right="0"/>
        <w:jc w:val="both"/>
        <w:rPr/>
      </w:pPr>
      <w:r>
        <w:rPr>
          <w:rStyle w:val="Zkladntext"/>
        </w:rPr>
        <w:t>obecně závaznými právními předpisy a normami platnými pro tento předmět díla s požadavky veřejnoprávních orgánů, a že po dobu záruční doby bude mít vlastnosti dohodnuté v této smlouvě.</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100"/>
        <w:ind w:hanging="280" w:left="280" w:right="0"/>
        <w:jc w:val="both"/>
        <w:rPr/>
      </w:pPr>
      <w:r>
        <w:rPr>
          <w:rStyle w:val="Zkladntext"/>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100"/>
        <w:ind w:hanging="0" w:left="0" w:right="0"/>
        <w:jc w:val="both"/>
        <w:rPr/>
      </w:pPr>
      <w:r>
        <w:rPr>
          <w:rStyle w:val="Zkladntext"/>
        </w:rPr>
        <w:t>Záruční doba je 48 měsíců a začíná plynout dnem předání díla objednateli.</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100"/>
        <w:ind w:hanging="280" w:left="280" w:right="0"/>
        <w:jc w:val="both"/>
        <w:rPr/>
      </w:pPr>
      <w:r>
        <w:rPr>
          <w:rStyle w:val="Zkladntext"/>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100"/>
        <w:ind w:hanging="280" w:left="280" w:right="0"/>
        <w:jc w:val="both"/>
        <w:rPr/>
      </w:pPr>
      <w:r>
        <w:rPr>
          <w:rStyle w:val="Zkladntext"/>
        </w:rPr>
        <w:t>Smluvní strany se dohodly, že za vady v projektové dokumentaci zhotovitel odpovídá dle ustanovení občanského zákoníku.</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100"/>
        <w:ind w:hanging="280" w:left="280" w:right="0"/>
        <w:jc w:val="both"/>
        <w:rPr/>
      </w:pPr>
      <w:r>
        <w:rPr>
          <w:rStyle w:val="Zkladntext"/>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pPr>
        <w:pStyle w:val="Zkladntext1"/>
        <w:keepNext w:val="false"/>
        <w:keepLines w:val="false"/>
        <w:widowControl w:val="false"/>
        <w:numPr>
          <w:ilvl w:val="0"/>
          <w:numId w:val="19"/>
        </w:numPr>
        <w:shd w:val="clear" w:color="auto" w:fill="auto"/>
        <w:tabs>
          <w:tab w:val="clear" w:pos="720"/>
          <w:tab w:val="left" w:pos="324" w:leader="none"/>
        </w:tabs>
        <w:bidi w:val="0"/>
        <w:spacing w:lineRule="auto" w:line="240" w:before="0" w:after="360"/>
        <w:ind w:hanging="280" w:left="280" w:right="0"/>
        <w:jc w:val="both"/>
        <w:rPr/>
      </w:pPr>
      <w:r>
        <w:rPr>
          <w:rStyle w:val="Zkladntext"/>
        </w:rPr>
        <w:t>Zhotovitel je plně odpovědný za případy, kdy dojde vlivem opomenutí důležitých skutečností nebo vlivem nesouladu mezi výkresovou částí projektové dokumentace a výkazem výměr k vadě PD ke zvýšení nákladů stavby, ledaže prokáže, že zvýšené náklady nezpůsobila chyba v jím prováděném díle.</w:t>
      </w:r>
    </w:p>
    <w:p>
      <w:pPr>
        <w:pStyle w:val="Zkladntext1"/>
        <w:keepNext w:val="false"/>
        <w:keepLines w:val="false"/>
        <w:widowControl w:val="false"/>
        <w:shd w:val="clear" w:color="auto" w:fill="auto"/>
        <w:bidi w:val="0"/>
        <w:spacing w:lineRule="auto" w:line="240" w:before="0" w:after="100"/>
        <w:ind w:hanging="0" w:left="0" w:right="0"/>
        <w:jc w:val="center"/>
        <w:rPr/>
      </w:pPr>
      <w:r>
        <w:rPr>
          <w:rStyle w:val="Zkladntext"/>
        </w:rPr>
        <w:t>Článek XII.</w:t>
      </w:r>
    </w:p>
    <w:p>
      <w:pPr>
        <w:pStyle w:val="Nadpis31"/>
        <w:keepNext w:val="true"/>
        <w:keepLines/>
        <w:widowControl w:val="false"/>
        <w:shd w:val="clear" w:color="auto" w:fill="auto"/>
        <w:bidi w:val="0"/>
        <w:spacing w:lineRule="auto" w:line="240" w:before="0" w:after="100"/>
        <w:ind w:hanging="0" w:left="0" w:right="0"/>
        <w:jc w:val="center"/>
        <w:rPr/>
      </w:pPr>
      <w:bookmarkStart w:id="11" w:name="bookmark23"/>
      <w:r>
        <w:rPr>
          <w:rStyle w:val="Nadpis3"/>
          <w:b/>
          <w:bCs/>
        </w:rPr>
        <w:t>Pojištění a užití díla</w:t>
      </w:r>
      <w:bookmarkEnd w:id="11"/>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100"/>
        <w:ind w:hanging="280" w:left="280" w:right="0"/>
        <w:jc w:val="both"/>
        <w:rPr/>
      </w:pPr>
      <w:r>
        <w:rPr>
          <w:rStyle w:val="Zkladntext"/>
        </w:rPr>
        <w:t>Zhotovitel se zavazuje uzavřít pojistnou smlouvu pro případ vzniku pojistné události související s prováděním díla, a to zejména a minimálně v rozsahu:</w:t>
      </w:r>
    </w:p>
    <w:p>
      <w:pPr>
        <w:pStyle w:val="Zkladntext1"/>
        <w:keepNext w:val="false"/>
        <w:keepLines w:val="false"/>
        <w:widowControl w:val="false"/>
        <w:shd w:val="clear" w:color="auto" w:fill="auto"/>
        <w:bidi w:val="0"/>
        <w:spacing w:lineRule="auto" w:line="240" w:before="0" w:after="100"/>
        <w:ind w:firstLine="40" w:left="280" w:right="0"/>
        <w:jc w:val="both"/>
        <w:rPr/>
      </w:pPr>
      <w:r>
        <w:rPr>
          <w:rStyle w:val="Zkladntext"/>
        </w:rPr>
        <w:t xml:space="preserve">pojištění odpovědnosti za škody způsobené činností zhotovitele při provádění díla (tzv. profesní odpovědnost autorizovaných osob ve smyslu zák. č. 360/1992 Sb., v platném znění), a to na limit pojistného plnění minimálně </w:t>
      </w:r>
      <w:r>
        <w:rPr>
          <w:rStyle w:val="Zkladntext"/>
          <w:b/>
          <w:bCs/>
        </w:rPr>
        <w:t xml:space="preserve">15.000.000. Kč </w:t>
      </w:r>
      <w:r>
        <w:rPr>
          <w:rStyle w:val="Zkladntext"/>
        </w:rPr>
        <w:t xml:space="preserve">(slovy patnáct milionů korun českých) za jednu pojistnou událost. Pojištění se současně musí vztahovat na případy vyplývající z chyby nebo opomenutí v projektové dokumentaci, která z tohoto důvodu nebude odpovídat požadavkům smlouvy, a to na limit pojistného plnění minimálně </w:t>
      </w:r>
      <w:r>
        <w:rPr>
          <w:rStyle w:val="Zkladntext"/>
          <w:b/>
          <w:bCs/>
        </w:rPr>
        <w:t xml:space="preserve">15.000.000 Kč </w:t>
      </w:r>
      <w:r>
        <w:rPr>
          <w:rStyle w:val="Zkladntext"/>
        </w:rPr>
        <w:t>(slovy patnáct milionů korun českých).</w:t>
      </w:r>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0"/>
        <w:ind w:hanging="280" w:left="280" w:right="0"/>
        <w:jc w:val="both"/>
        <w:rPr/>
      </w:pPr>
      <w:r>
        <w:rPr>
          <w:rStyle w:val="Zkladntext"/>
        </w:rPr>
        <w:t>Zhotovitel předloží a předá objednateli kopie platných a účinných pojistných smluv dle tohoto článku této smlouvy nejpozději do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w:t>
      </w:r>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100"/>
        <w:ind w:hanging="280" w:left="280" w:right="0"/>
        <w:jc w:val="both"/>
        <w:rPr/>
      </w:pPr>
      <w:r>
        <w:rPr>
          <w:rStyle w:val="Zkladntext"/>
        </w:rPr>
        <w:t>Objednatel se zavazuje užít vytvořené dílo pouze k účelu uvedenému v této smlouvě, tedy pouze pro přípravu a realizaci předmětné stavby.</w:t>
      </w:r>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100"/>
        <w:ind w:hanging="280" w:left="280" w:right="0"/>
        <w:jc w:val="both"/>
        <w:rPr/>
      </w:pPr>
      <w:r>
        <w:rPr>
          <w:rStyle w:val="Zkladntext"/>
        </w:rPr>
        <w:t>Zhotovitel bezúplatně touto smlouvou uděluje objednateli výhradní časově a územně neomezenou licenci k užití díla a všech jeho částí. Objednatel je oprávněn užít dílo či jeho část ve smyslu tohoto ustanovení v plném rozsahu veškerých majetkových práv k dílu náležejících. Objednatel je především oprávněn užít dílo či jeho část jako podklad zadávacích řízení veřejných zakázek ve smyslu zákona č. 134/2016 Sb. v platném znění. Užití dle předcházející věty se vztahuje i na veřejné zakázky zadávané mimo režim zákona o veřejných zakázkách.</w:t>
      </w:r>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100"/>
        <w:ind w:hanging="280" w:left="280" w:right="0"/>
        <w:jc w:val="both"/>
        <w:rPr/>
      </w:pPr>
      <w:r>
        <w:rPr>
          <w:rStyle w:val="Zkladntext"/>
        </w:rPr>
        <w:t>Objednatel je oprávněn upravit dílo, popř. stavbu zhotovenou na základě díla v souladu se svými potřebami. Úpravy je oprávněn provést sám, popř. zadat jejich provedení třetí osobě.</w:t>
      </w:r>
    </w:p>
    <w:p>
      <w:pPr>
        <w:pStyle w:val="Zkladntext1"/>
        <w:keepNext w:val="false"/>
        <w:keepLines w:val="false"/>
        <w:widowControl w:val="false"/>
        <w:numPr>
          <w:ilvl w:val="0"/>
          <w:numId w:val="20"/>
        </w:numPr>
        <w:shd w:val="clear" w:color="auto" w:fill="auto"/>
        <w:tabs>
          <w:tab w:val="clear" w:pos="720"/>
          <w:tab w:val="left" w:pos="324" w:leader="none"/>
        </w:tabs>
        <w:bidi w:val="0"/>
        <w:spacing w:lineRule="auto" w:line="240" w:before="0" w:after="500"/>
        <w:ind w:hanging="280" w:left="280" w:right="0"/>
        <w:jc w:val="both"/>
        <w:rPr/>
      </w:pPr>
      <w:r>
        <w:rPr>
          <w:rStyle w:val="Zkladntext"/>
        </w:rPr>
        <w:t>Zhotovitel není oprávněn dílo dle této smlouvy poskytnout třetí osobě či využít jinak, než ve prospěch objednatele v souladu s touto smlouvou.</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rPr>
        <w:t>Článek XIII</w:t>
      </w:r>
    </w:p>
    <w:p>
      <w:pPr>
        <w:sectPr>
          <w:type w:val="nextPage"/>
          <w:pgSz w:w="11906" w:h="16838"/>
          <w:pgMar w:left="598" w:right="675" w:gutter="0" w:header="0" w:top="910" w:footer="0" w:bottom="715"/>
          <w:pgNumType w:fmt="decimal"/>
          <w:formProt w:val="false"/>
          <w:textDirection w:val="lrTb"/>
          <w:docGrid w:type="default" w:linePitch="360" w:charSpace="0"/>
        </w:sectPr>
        <w:pStyle w:val="Zkladntext1"/>
        <w:keepNext w:val="false"/>
        <w:keepLines w:val="false"/>
        <w:widowControl w:val="false"/>
        <w:shd w:val="clear" w:color="auto" w:fill="auto"/>
        <w:bidi w:val="0"/>
        <w:spacing w:lineRule="auto" w:line="240" w:before="0" w:after="100"/>
        <w:ind w:hanging="0" w:left="0" w:right="0"/>
        <w:jc w:val="center"/>
        <w:rPr/>
      </w:pPr>
      <w:r>
        <w:rPr>
          <w:rStyle w:val="Zkladntext"/>
          <w:b/>
          <w:bCs/>
        </w:rPr>
        <w:t>Odstoupení od Smlouvy</w:t>
      </w:r>
    </w:p>
    <w:p>
      <w:pPr>
        <w:pStyle w:val="Zkladntext1"/>
        <w:keepNext w:val="false"/>
        <w:keepLines w:val="false"/>
        <w:widowControl w:val="false"/>
        <w:numPr>
          <w:ilvl w:val="0"/>
          <w:numId w:val="21"/>
        </w:numPr>
        <w:shd w:val="clear" w:color="auto" w:fill="auto"/>
        <w:tabs>
          <w:tab w:val="clear" w:pos="720"/>
          <w:tab w:val="left" w:pos="339" w:leader="none"/>
        </w:tabs>
        <w:bidi w:val="0"/>
        <w:spacing w:lineRule="auto" w:line="240" w:before="0" w:after="240"/>
        <w:ind w:hanging="360" w:left="360" w:right="0"/>
        <w:jc w:val="both"/>
        <w:rPr/>
      </w:pPr>
      <w:r>
        <w:rPr>
          <w:rStyle w:val="Zkladntext"/>
          <w:color w:val="000000"/>
        </w:rPr>
        <w:t xml:space="preserve">Nastanou-li u některé ze smluvních stran skutečnosti bránící </w:t>
      </w:r>
      <w:r>
        <w:rPr>
          <w:rStyle w:val="Zkladntext"/>
          <w:color w:val="000000"/>
        </w:rPr>
        <w:t>ř</w:t>
      </w:r>
      <w:r>
        <w:rPr>
          <w:rStyle w:val="Zkladntext"/>
          <w:color w:val="000000"/>
        </w:rPr>
        <w:t>ádnému plnění této Smlouvy, je povinna to ihned bez zbytečného odkladu oznámit druhé Smluvní straně a vyvolat jednání.</w:t>
      </w:r>
    </w:p>
    <w:p>
      <w:pPr>
        <w:pStyle w:val="Zkladntext1"/>
        <w:keepNext w:val="false"/>
        <w:keepLines w:val="false"/>
        <w:widowControl w:val="false"/>
        <w:numPr>
          <w:ilvl w:val="0"/>
          <w:numId w:val="21"/>
        </w:numPr>
        <w:shd w:val="clear" w:color="auto" w:fill="auto"/>
        <w:tabs>
          <w:tab w:val="clear" w:pos="720"/>
          <w:tab w:val="left" w:pos="354" w:leader="none"/>
        </w:tabs>
        <w:bidi w:val="0"/>
        <w:spacing w:lineRule="auto" w:line="240" w:before="0" w:after="0"/>
        <w:ind w:hanging="0" w:left="0" w:right="0"/>
        <w:jc w:val="both"/>
        <w:rPr/>
      </w:pPr>
      <w:r>
        <w:rPr>
          <w:rStyle w:val="Zkladntext"/>
          <w:color w:val="000000"/>
        </w:rPr>
        <w:t>Každá ze smluvních stran má právo odstoupit od této Smlouvy:</w:t>
      </w:r>
    </w:p>
    <w:p>
      <w:pPr>
        <w:pStyle w:val="Zkladntext1"/>
        <w:keepNext w:val="false"/>
        <w:keepLines w:val="false"/>
        <w:widowControl w:val="false"/>
        <w:numPr>
          <w:ilvl w:val="0"/>
          <w:numId w:val="22"/>
        </w:numPr>
        <w:shd w:val="clear" w:color="auto" w:fill="auto"/>
        <w:tabs>
          <w:tab w:val="clear" w:pos="720"/>
          <w:tab w:val="left" w:pos="742" w:leader="none"/>
        </w:tabs>
        <w:bidi w:val="0"/>
        <w:spacing w:lineRule="auto" w:line="240" w:before="0" w:after="0"/>
        <w:ind w:firstLine="360" w:left="0" w:right="0"/>
        <w:jc w:val="both"/>
        <w:rPr/>
      </w:pPr>
      <w:r>
        <w:rPr>
          <w:rStyle w:val="Zkladntext"/>
          <w:color w:val="000000"/>
        </w:rPr>
        <w:t>v případě podstatného porušení povinností z této Smlouvy druhou Smluvní stranou,</w:t>
      </w:r>
    </w:p>
    <w:p>
      <w:pPr>
        <w:pStyle w:val="Zkladntext1"/>
        <w:keepNext w:val="false"/>
        <w:keepLines w:val="false"/>
        <w:widowControl w:val="false"/>
        <w:numPr>
          <w:ilvl w:val="0"/>
          <w:numId w:val="22"/>
        </w:numPr>
        <w:shd w:val="clear" w:color="auto" w:fill="auto"/>
        <w:tabs>
          <w:tab w:val="clear" w:pos="720"/>
          <w:tab w:val="left" w:pos="793" w:leader="none"/>
        </w:tabs>
        <w:bidi w:val="0"/>
        <w:spacing w:lineRule="auto" w:line="240" w:before="0" w:after="240"/>
        <w:ind w:hanging="300" w:left="720" w:right="0"/>
        <w:jc w:val="both"/>
        <w:rPr/>
      </w:pPr>
      <w:r>
        <w:rPr>
          <w:rStyle w:val="Zkladntext"/>
          <w:color w:val="000000"/>
        </w:rPr>
        <w:t>pokud je proti druhé Smluvní straně zahájeno insolvenční řízení nebo druhá Smluvní strana vstoupí do likvidace nebo učiní jakýkoliv krok směřující k likvidaci.</w:t>
      </w:r>
    </w:p>
    <w:p>
      <w:pPr>
        <w:pStyle w:val="Zkladntext1"/>
        <w:keepNext w:val="false"/>
        <w:keepLines w:val="false"/>
        <w:widowControl w:val="false"/>
        <w:numPr>
          <w:ilvl w:val="0"/>
          <w:numId w:val="21"/>
        </w:numPr>
        <w:shd w:val="clear" w:color="auto" w:fill="auto"/>
        <w:tabs>
          <w:tab w:val="clear" w:pos="720"/>
          <w:tab w:val="left" w:pos="358" w:leader="none"/>
        </w:tabs>
        <w:bidi w:val="0"/>
        <w:spacing w:lineRule="auto" w:line="240" w:before="0" w:after="0"/>
        <w:ind w:hanging="0" w:left="0" w:right="0"/>
        <w:jc w:val="both"/>
        <w:rPr/>
      </w:pPr>
      <w:r>
        <w:rPr>
          <w:rStyle w:val="Zkladntext"/>
          <w:color w:val="000000"/>
        </w:rPr>
        <w:t>Za podstatné porušení této Smlouvy Zhotovitelem se považuje:</w:t>
      </w:r>
    </w:p>
    <w:p>
      <w:pPr>
        <w:pStyle w:val="Zkladntext1"/>
        <w:keepNext w:val="false"/>
        <w:keepLines w:val="false"/>
        <w:widowControl w:val="false"/>
        <w:numPr>
          <w:ilvl w:val="0"/>
          <w:numId w:val="23"/>
        </w:numPr>
        <w:shd w:val="clear" w:color="auto" w:fill="auto"/>
        <w:tabs>
          <w:tab w:val="clear" w:pos="720"/>
          <w:tab w:val="left" w:pos="742" w:leader="none"/>
        </w:tabs>
        <w:bidi w:val="0"/>
        <w:spacing w:lineRule="auto" w:line="240" w:before="0" w:after="0"/>
        <w:ind w:firstLine="360" w:left="0" w:right="0"/>
        <w:jc w:val="both"/>
        <w:rPr/>
      </w:pPr>
      <w:r>
        <w:rPr>
          <w:rStyle w:val="Zkladntext"/>
          <w:color w:val="000000"/>
        </w:rPr>
        <w:t>pokud Zhotovitel nezahájí práce na Díle do 15 dnů po písemné výzvě k plnění této smlouvy</w:t>
      </w:r>
    </w:p>
    <w:p>
      <w:pPr>
        <w:pStyle w:val="Zkladntext1"/>
        <w:keepNext w:val="false"/>
        <w:keepLines w:val="false"/>
        <w:widowControl w:val="false"/>
        <w:numPr>
          <w:ilvl w:val="0"/>
          <w:numId w:val="23"/>
        </w:numPr>
        <w:shd w:val="clear" w:color="auto" w:fill="auto"/>
        <w:tabs>
          <w:tab w:val="clear" w:pos="720"/>
          <w:tab w:val="left" w:pos="738" w:leader="none"/>
        </w:tabs>
        <w:bidi w:val="0"/>
        <w:spacing w:lineRule="auto" w:line="240" w:before="0" w:after="240"/>
        <w:ind w:firstLine="360" w:left="0" w:right="0"/>
        <w:jc w:val="both"/>
        <w:rPr/>
      </w:pPr>
      <w:r>
        <w:rPr>
          <w:rStyle w:val="Zkladntext"/>
          <w:color w:val="000000"/>
        </w:rPr>
        <w:t>prodlení Zhotovitele s dokončením Díla nebo jeho části delší než 30 dnů.</w:t>
      </w:r>
    </w:p>
    <w:p>
      <w:pPr>
        <w:pStyle w:val="Zkladntext1"/>
        <w:keepNext w:val="false"/>
        <w:keepLines w:val="false"/>
        <w:widowControl w:val="false"/>
        <w:numPr>
          <w:ilvl w:val="0"/>
          <w:numId w:val="21"/>
        </w:numPr>
        <w:shd w:val="clear" w:color="auto" w:fill="auto"/>
        <w:tabs>
          <w:tab w:val="clear" w:pos="720"/>
          <w:tab w:val="left" w:pos="363" w:leader="none"/>
        </w:tabs>
        <w:bidi w:val="0"/>
        <w:spacing w:lineRule="auto" w:line="240" w:before="0" w:after="0"/>
        <w:ind w:hanging="0" w:left="0" w:right="0"/>
        <w:jc w:val="both"/>
        <w:rPr/>
      </w:pPr>
      <w:r>
        <w:rPr>
          <w:rStyle w:val="Zkladntext"/>
          <w:color w:val="000000"/>
        </w:rPr>
        <w:t>Za podstatné porušení této Smlouvy Objednatelem se považuje zejména:</w:t>
      </w:r>
    </w:p>
    <w:p>
      <w:pPr>
        <w:pStyle w:val="Zkladntext1"/>
        <w:keepNext w:val="false"/>
        <w:keepLines w:val="false"/>
        <w:widowControl w:val="false"/>
        <w:numPr>
          <w:ilvl w:val="0"/>
          <w:numId w:val="24"/>
        </w:numPr>
        <w:shd w:val="clear" w:color="auto" w:fill="auto"/>
        <w:tabs>
          <w:tab w:val="clear" w:pos="720"/>
          <w:tab w:val="left" w:pos="802" w:leader="none"/>
        </w:tabs>
        <w:bidi w:val="0"/>
        <w:spacing w:lineRule="auto" w:line="240" w:before="0" w:after="0"/>
        <w:ind w:hanging="300" w:left="720" w:right="0"/>
        <w:jc w:val="both"/>
        <w:rPr/>
      </w:pPr>
      <w:r>
        <w:rPr>
          <w:rStyle w:val="Zkladntext"/>
          <w:color w:val="000000"/>
        </w:rPr>
        <w:t>opakované neposkytnutí součinnosti v adekvátní lhůtě stanovené Zhotovitelem potřebné k plnění povinnosti Zhotovitele z této Smlouvy,</w:t>
      </w:r>
    </w:p>
    <w:p>
      <w:pPr>
        <w:pStyle w:val="Zkladntext1"/>
        <w:keepNext w:val="false"/>
        <w:keepLines w:val="false"/>
        <w:widowControl w:val="false"/>
        <w:numPr>
          <w:ilvl w:val="0"/>
          <w:numId w:val="24"/>
        </w:numPr>
        <w:shd w:val="clear" w:color="auto" w:fill="auto"/>
        <w:tabs>
          <w:tab w:val="clear" w:pos="720"/>
          <w:tab w:val="left" w:pos="733" w:leader="none"/>
        </w:tabs>
        <w:bidi w:val="0"/>
        <w:spacing w:lineRule="auto" w:line="240" w:before="0" w:after="240"/>
        <w:ind w:firstLine="360" w:left="0" w:right="0"/>
        <w:jc w:val="both"/>
        <w:rPr/>
      </w:pPr>
      <w:r>
        <w:rPr>
          <w:rStyle w:val="Zkladntext"/>
          <w:color w:val="000000"/>
        </w:rPr>
        <w:t>prodlení Objednatele s úhradou dlužné částky delší než 60 dnů.</w:t>
      </w:r>
    </w:p>
    <w:p>
      <w:pPr>
        <w:pStyle w:val="Zkladntext1"/>
        <w:keepNext w:val="false"/>
        <w:keepLines w:val="false"/>
        <w:widowControl w:val="false"/>
        <w:numPr>
          <w:ilvl w:val="0"/>
          <w:numId w:val="21"/>
        </w:numPr>
        <w:shd w:val="clear" w:color="auto" w:fill="auto"/>
        <w:tabs>
          <w:tab w:val="clear" w:pos="720"/>
          <w:tab w:val="left" w:pos="354" w:leader="none"/>
        </w:tabs>
        <w:bidi w:val="0"/>
        <w:spacing w:lineRule="auto" w:line="240" w:before="0" w:after="240"/>
        <w:ind w:hanging="360" w:left="360" w:right="0"/>
        <w:jc w:val="both"/>
        <w:rPr/>
      </w:pPr>
      <w:r>
        <w:rPr>
          <w:rStyle w:val="Zkladntext"/>
          <w:color w:val="000000"/>
        </w:rPr>
        <w:t>Za opakované porušení povinností ve smyslu předchozího odstavce tohoto článku se považuje minimálně dvojí nesplnění uvedených povinností, a to i přes písemnou výzvu Zhotovitele.</w:t>
      </w:r>
    </w:p>
    <w:p>
      <w:pPr>
        <w:pStyle w:val="Zkladntext1"/>
        <w:keepNext w:val="false"/>
        <w:keepLines w:val="false"/>
        <w:widowControl w:val="false"/>
        <w:numPr>
          <w:ilvl w:val="0"/>
          <w:numId w:val="21"/>
        </w:numPr>
        <w:shd w:val="clear" w:color="auto" w:fill="auto"/>
        <w:tabs>
          <w:tab w:val="clear" w:pos="720"/>
          <w:tab w:val="left" w:pos="363" w:leader="none"/>
        </w:tabs>
        <w:bidi w:val="0"/>
        <w:spacing w:lineRule="auto" w:line="240" w:before="0" w:after="120"/>
        <w:ind w:hanging="360" w:left="360" w:right="0"/>
        <w:jc w:val="both"/>
        <w:rPr/>
      </w:pPr>
      <w:r>
        <w:rPr>
          <w:rStyle w:val="Zkladntext"/>
          <w:color w:val="000000"/>
        </w:rPr>
        <w:t>Objednatel je oprávněn odstoupit od této smlouvy, kromě výše uvedeného, a kromě případů uvedených v ustanovení § 2001 a násl. občanského zákoníku též v případě kdy bude zahájeno insolvenční řízení dle zákona č. 182/2006 Sb., o úpadku a způsobech jeho řešení v platném znění, jehož předmětem bude úpadek nebo hrozící úpadek zhotovitele; zhotovitel je povinen oznámit tuto skutečnost neprodleně objednateli.</w:t>
      </w:r>
    </w:p>
    <w:p>
      <w:pPr>
        <w:pStyle w:val="Zkladntext1"/>
        <w:keepNext w:val="false"/>
        <w:keepLines w:val="false"/>
        <w:widowControl w:val="false"/>
        <w:numPr>
          <w:ilvl w:val="0"/>
          <w:numId w:val="21"/>
        </w:numPr>
        <w:shd w:val="clear" w:color="auto" w:fill="auto"/>
        <w:tabs>
          <w:tab w:val="clear" w:pos="720"/>
          <w:tab w:val="left" w:pos="354" w:leader="none"/>
        </w:tabs>
        <w:bidi w:val="0"/>
        <w:spacing w:lineRule="auto" w:line="240" w:before="0" w:after="380"/>
        <w:ind w:hanging="360" w:left="360" w:right="0"/>
        <w:jc w:val="both"/>
        <w:rPr/>
      </w:pPr>
      <w:r>
        <w:rPr>
          <w:rStyle w:val="Zkladntext"/>
          <w:color w:val="000000"/>
        </w:rPr>
        <w:t>V případě odstoupení o této smlouvy z důvodu na straně zhotovitele, uplatní objednatel tímto způsobené dodatečné náklady (nové výběrové řízení apod.) formou zápočtu dle článku X, odst. 15 nebo jako škodu způsobenou objednateli.</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color w:val="000000"/>
        </w:rPr>
        <w:t>Článek XIV</w:t>
      </w:r>
    </w:p>
    <w:p>
      <w:pPr>
        <w:pStyle w:val="Nadpis31"/>
        <w:keepNext w:val="true"/>
        <w:keepLines/>
        <w:widowControl w:val="false"/>
        <w:shd w:val="clear" w:color="auto" w:fill="auto"/>
        <w:bidi w:val="0"/>
        <w:spacing w:lineRule="auto" w:line="240" w:before="0" w:after="0"/>
        <w:ind w:hanging="0" w:left="0" w:right="0"/>
        <w:jc w:val="center"/>
        <w:rPr/>
      </w:pPr>
      <w:bookmarkStart w:id="12" w:name="bookmark25"/>
      <w:r>
        <w:rPr>
          <w:rStyle w:val="Nadpis3"/>
          <w:b/>
          <w:bCs/>
          <w:color w:val="000000"/>
        </w:rPr>
        <w:t>Poddodavatelé</w:t>
      </w:r>
      <w:bookmarkEnd w:id="12"/>
    </w:p>
    <w:p>
      <w:pPr>
        <w:pStyle w:val="Zkladntext1"/>
        <w:keepNext w:val="false"/>
        <w:keepLines w:val="false"/>
        <w:widowControl w:val="false"/>
        <w:numPr>
          <w:ilvl w:val="0"/>
          <w:numId w:val="25"/>
        </w:numPr>
        <w:shd w:val="clear" w:color="auto" w:fill="auto"/>
        <w:tabs>
          <w:tab w:val="clear" w:pos="720"/>
          <w:tab w:val="left" w:pos="339" w:leader="none"/>
        </w:tabs>
        <w:bidi w:val="0"/>
        <w:spacing w:lineRule="auto" w:line="240" w:before="0" w:after="120"/>
        <w:ind w:hanging="360" w:left="360" w:right="0"/>
        <w:jc w:val="both"/>
        <w:rPr/>
      </w:pPr>
      <w:r>
        <w:rPr>
          <w:rStyle w:val="Zkladntext"/>
          <w:color w:val="000000"/>
        </w:rPr>
        <w:t>Zhotovitel je oprávněn zadat provedení jednotlivých dílčích prací třetím subjektům (poddodavatelům) za podmínek uvedených ve Smlouvě, ale pouze se souhlasem Objednatele.</w:t>
      </w:r>
    </w:p>
    <w:p>
      <w:pPr>
        <w:pStyle w:val="Zkladntext1"/>
        <w:keepNext w:val="false"/>
        <w:keepLines w:val="false"/>
        <w:widowControl w:val="false"/>
        <w:numPr>
          <w:ilvl w:val="0"/>
          <w:numId w:val="25"/>
        </w:numPr>
        <w:shd w:val="clear" w:color="auto" w:fill="auto"/>
        <w:tabs>
          <w:tab w:val="clear" w:pos="720"/>
          <w:tab w:val="left" w:pos="354" w:leader="none"/>
        </w:tabs>
        <w:bidi w:val="0"/>
        <w:spacing w:lineRule="auto" w:line="240" w:before="0" w:after="120"/>
        <w:ind w:hanging="360" w:left="360" w:right="0"/>
        <w:jc w:val="both"/>
        <w:rPr/>
      </w:pPr>
      <w:r>
        <w:rPr>
          <w:rStyle w:val="Zkladntext"/>
          <w:color w:val="000000"/>
        </w:rPr>
        <w:t>Souhlas Objednatele s výběrem poddodavatelů žádným způsobem nezbavuje Zhotovitele závazků, povinností a odpovědností vyplývajících ze Smlouvy.</w:t>
      </w:r>
    </w:p>
    <w:p>
      <w:pPr>
        <w:pStyle w:val="Zkladntext1"/>
        <w:keepNext w:val="false"/>
        <w:keepLines w:val="false"/>
        <w:widowControl w:val="false"/>
        <w:numPr>
          <w:ilvl w:val="0"/>
          <w:numId w:val="25"/>
        </w:numPr>
        <w:shd w:val="clear" w:color="auto" w:fill="auto"/>
        <w:tabs>
          <w:tab w:val="clear" w:pos="720"/>
          <w:tab w:val="left" w:pos="358" w:leader="none"/>
        </w:tabs>
        <w:bidi w:val="0"/>
        <w:spacing w:lineRule="auto" w:line="240" w:before="0" w:after="120"/>
        <w:ind w:hanging="360" w:left="360" w:right="0"/>
        <w:jc w:val="both"/>
        <w:rPr/>
      </w:pPr>
      <w:r>
        <w:rPr>
          <w:rStyle w:val="Zkladntext"/>
          <w:color w:val="000000"/>
        </w:rPr>
        <w:t>Zhotovitel je povinen zajistit dodržení všech podmínek provádění dodávky dle Smlouvy s poddodavateli obdobně, zejména způsobilost poddodavatelů dle zadávacích podmínek.</w:t>
      </w:r>
    </w:p>
    <w:p>
      <w:pPr>
        <w:pStyle w:val="Zkladntext1"/>
        <w:keepNext w:val="false"/>
        <w:keepLines w:val="false"/>
        <w:widowControl w:val="false"/>
        <w:numPr>
          <w:ilvl w:val="0"/>
          <w:numId w:val="25"/>
        </w:numPr>
        <w:shd w:val="clear" w:color="auto" w:fill="auto"/>
        <w:tabs>
          <w:tab w:val="clear" w:pos="720"/>
          <w:tab w:val="left" w:pos="363" w:leader="none"/>
        </w:tabs>
        <w:bidi w:val="0"/>
        <w:spacing w:lineRule="auto" w:line="240" w:before="0" w:after="380"/>
        <w:ind w:hanging="360" w:left="360" w:right="0"/>
        <w:jc w:val="both"/>
        <w:rPr/>
      </w:pPr>
      <w:r>
        <w:rPr>
          <w:rStyle w:val="Zkladntext"/>
          <w:color w:val="000000"/>
        </w:rPr>
        <w:t>Změna poddodavatele, kterým dodavatel prokazoval kvalifikaci je možná pouze v případě, že i nový poddodavatel prokáže splnění požadované kvalifikace</w:t>
      </w:r>
    </w:p>
    <w:p>
      <w:pPr>
        <w:pStyle w:val="Zkladntext1"/>
        <w:keepNext w:val="false"/>
        <w:keepLines w:val="false"/>
        <w:widowControl w:val="false"/>
        <w:shd w:val="clear" w:color="auto" w:fill="auto"/>
        <w:bidi w:val="0"/>
        <w:spacing w:lineRule="auto" w:line="240" w:before="0" w:after="0"/>
        <w:ind w:hanging="0" w:left="0" w:right="0"/>
        <w:jc w:val="center"/>
        <w:rPr/>
      </w:pPr>
      <w:r>
        <w:rPr>
          <w:rStyle w:val="Zkladntext"/>
          <w:color w:val="000000"/>
        </w:rPr>
        <w:t>Článek XV</w:t>
      </w:r>
    </w:p>
    <w:p>
      <w:pPr>
        <w:pStyle w:val="Nadpis31"/>
        <w:keepNext w:val="true"/>
        <w:keepLines/>
        <w:widowControl w:val="false"/>
        <w:shd w:val="clear" w:color="auto" w:fill="auto"/>
        <w:bidi w:val="0"/>
        <w:spacing w:lineRule="auto" w:line="240" w:before="0" w:after="240"/>
        <w:ind w:hanging="0" w:left="0" w:right="0"/>
        <w:jc w:val="center"/>
        <w:rPr/>
      </w:pPr>
      <w:bookmarkStart w:id="13" w:name="bookmark27"/>
      <w:r>
        <w:rPr>
          <w:rStyle w:val="Nadpis3"/>
          <w:b/>
          <w:bCs/>
          <w:color w:val="000000"/>
        </w:rPr>
        <w:t>Závěrečná ustanovení</w:t>
      </w:r>
      <w:bookmarkEnd w:id="13"/>
    </w:p>
    <w:p>
      <w:pPr>
        <w:pStyle w:val="Zkladntext1"/>
        <w:keepNext w:val="false"/>
        <w:keepLines w:val="false"/>
        <w:widowControl w:val="false"/>
        <w:numPr>
          <w:ilvl w:val="0"/>
          <w:numId w:val="26"/>
        </w:numPr>
        <w:shd w:val="clear" w:color="auto" w:fill="auto"/>
        <w:tabs>
          <w:tab w:val="clear" w:pos="720"/>
          <w:tab w:val="left" w:pos="339" w:leader="none"/>
        </w:tabs>
        <w:bidi w:val="0"/>
        <w:spacing w:lineRule="auto" w:line="240" w:before="0" w:after="240"/>
        <w:ind w:hanging="0" w:left="0" w:right="0"/>
        <w:jc w:val="both"/>
        <w:rPr/>
      </w:pPr>
      <w:r>
        <w:rPr>
          <w:rStyle w:val="Zkladntext"/>
          <w:color w:val="000000"/>
        </w:rPr>
        <w:t>Tato Smlouva obsahuje úplnou dohodu a vyjadřuje souhlas mezi Smluvními stranami.</w:t>
      </w:r>
    </w:p>
    <w:p>
      <w:pPr>
        <w:pStyle w:val="Zkladntext1"/>
        <w:keepNext w:val="false"/>
        <w:keepLines w:val="false"/>
        <w:widowControl w:val="false"/>
        <w:numPr>
          <w:ilvl w:val="0"/>
          <w:numId w:val="26"/>
        </w:numPr>
        <w:shd w:val="clear" w:color="auto" w:fill="auto"/>
        <w:tabs>
          <w:tab w:val="clear" w:pos="720"/>
          <w:tab w:val="left" w:pos="358" w:leader="none"/>
        </w:tabs>
        <w:bidi w:val="0"/>
        <w:spacing w:lineRule="auto" w:line="240" w:before="0" w:after="240"/>
        <w:ind w:hanging="360" w:left="360" w:right="0"/>
        <w:jc w:val="both"/>
        <w:rPr/>
      </w:pPr>
      <w:r>
        <w:rPr>
          <w:rStyle w:val="Zkladntext"/>
          <w:color w:val="000000"/>
        </w:rPr>
        <w:t>Tato Smlouva může být měněna nebo doplňována pouze číslovanými dodatky v písemné formě podepsanými oprávněnými zástupci obou smluvních stran.</w:t>
      </w:r>
    </w:p>
    <w:p>
      <w:pPr>
        <w:pStyle w:val="Zkladntext1"/>
        <w:keepNext w:val="false"/>
        <w:keepLines w:val="false"/>
        <w:widowControl w:val="false"/>
        <w:numPr>
          <w:ilvl w:val="0"/>
          <w:numId w:val="26"/>
        </w:numPr>
        <w:shd w:val="clear" w:color="auto" w:fill="auto"/>
        <w:tabs>
          <w:tab w:val="clear" w:pos="720"/>
          <w:tab w:val="left" w:pos="358" w:leader="none"/>
        </w:tabs>
        <w:bidi w:val="0"/>
        <w:spacing w:lineRule="auto" w:line="240" w:before="0" w:after="240"/>
        <w:ind w:hanging="360" w:left="360" w:right="0"/>
        <w:jc w:val="both"/>
        <w:rPr/>
      </w:pPr>
      <w:r>
        <w:rPr>
          <w:rStyle w:val="Zkladntext"/>
          <w:color w:val="000000"/>
        </w:rPr>
        <w:t>Smlouva je vyhotovena ve čtyřech stejnopisech, přičemž každá Smluvní strana obdrží po dvou výtiscích.</w:t>
      </w:r>
    </w:p>
    <w:p>
      <w:pPr>
        <w:pStyle w:val="Zkladntext1"/>
        <w:keepNext w:val="false"/>
        <w:keepLines w:val="false"/>
        <w:widowControl w:val="false"/>
        <w:numPr>
          <w:ilvl w:val="0"/>
          <w:numId w:val="26"/>
        </w:numPr>
        <w:shd w:val="clear" w:color="auto" w:fill="auto"/>
        <w:tabs>
          <w:tab w:val="clear" w:pos="720"/>
          <w:tab w:val="left" w:pos="358" w:leader="none"/>
        </w:tabs>
        <w:bidi w:val="0"/>
        <w:spacing w:lineRule="auto" w:line="240" w:before="0" w:after="240"/>
        <w:ind w:hanging="0" w:left="0" w:right="0"/>
        <w:jc w:val="both"/>
        <w:rPr/>
      </w:pPr>
      <w:r>
        <w:rPr>
          <w:rStyle w:val="Zkladntext"/>
          <w:color w:val="000000"/>
        </w:rPr>
        <w:t>V případě rozporu mezi vlastním textem Smlouvy a textem příloh má přednost vlastní text Smlouvy.</w:t>
      </w:r>
    </w:p>
    <w:p>
      <w:pPr>
        <w:sectPr>
          <w:type w:val="nextPage"/>
          <w:pgSz w:w="11906" w:h="16838"/>
          <w:pgMar w:left="607" w:right="718" w:gutter="0" w:header="0" w:top="1294" w:footer="0" w:bottom="758"/>
          <w:pgNumType w:fmt="decimal"/>
          <w:formProt w:val="false"/>
          <w:textDirection w:val="lrTb"/>
          <w:docGrid w:type="default" w:linePitch="360" w:charSpace="0"/>
        </w:sectPr>
        <w:pStyle w:val="Zkladntext1"/>
        <w:keepNext w:val="false"/>
        <w:keepLines w:val="false"/>
        <w:widowControl w:val="false"/>
        <w:numPr>
          <w:ilvl w:val="0"/>
          <w:numId w:val="26"/>
        </w:numPr>
        <w:shd w:val="clear" w:color="auto" w:fill="auto"/>
        <w:tabs>
          <w:tab w:val="clear" w:pos="720"/>
          <w:tab w:val="left" w:pos="354" w:leader="none"/>
        </w:tabs>
        <w:bidi w:val="0"/>
        <w:spacing w:lineRule="auto" w:line="240" w:before="0" w:after="240"/>
        <w:ind w:hanging="0" w:left="0" w:right="0"/>
        <w:jc w:val="both"/>
        <w:rPr/>
      </w:pPr>
      <w:r>
        <w:rPr>
          <w:rStyle w:val="Zkladntext"/>
          <w:color w:val="000000"/>
        </w:rPr>
        <w:t>Tam, kde nejsou právní vztahy smluvních stran výslovně upraveny, se Smluvní strany řídí právním</w:t>
      </w:r>
    </w:p>
    <w:p>
      <w:pPr>
        <w:pStyle w:val="Zkladntext1"/>
        <w:keepNext w:val="false"/>
        <w:keepLines w:val="false"/>
        <w:widowControl w:val="false"/>
        <w:shd w:val="clear" w:color="auto" w:fill="auto"/>
        <w:bidi w:val="0"/>
        <w:spacing w:lineRule="auto" w:line="240" w:before="0" w:after="240"/>
        <w:ind w:firstLine="340" w:left="0" w:right="0"/>
        <w:jc w:val="left"/>
        <w:rPr/>
      </w:pPr>
      <w:r>
        <w:rPr>
          <w:rStyle w:val="Zkladntext"/>
        </w:rPr>
        <w:t>řádem České republiky.</w:t>
      </w:r>
    </w:p>
    <w:p>
      <w:pPr>
        <w:pStyle w:val="Zkladntext1"/>
        <w:keepNext w:val="false"/>
        <w:keepLines w:val="false"/>
        <w:widowControl w:val="false"/>
        <w:numPr>
          <w:ilvl w:val="0"/>
          <w:numId w:val="26"/>
        </w:numPr>
        <w:shd w:val="clear" w:color="auto" w:fill="auto"/>
        <w:tabs>
          <w:tab w:val="clear" w:pos="720"/>
          <w:tab w:val="left" w:pos="341" w:leader="none"/>
        </w:tabs>
        <w:bidi w:val="0"/>
        <w:spacing w:lineRule="auto" w:line="240" w:before="0" w:after="240"/>
        <w:ind w:hanging="0" w:left="0" w:right="0"/>
        <w:jc w:val="left"/>
        <w:rPr/>
      </w:pPr>
      <w:r>
        <w:rPr>
          <w:rStyle w:val="Zkladntext"/>
        </w:rPr>
        <w:t>Tato smlouva nahrazuje veškeré předchozí ujednání a dohody Smluvních stran týkajících se Díla.</w:t>
      </w:r>
    </w:p>
    <w:p>
      <w:pPr>
        <w:pStyle w:val="Zkladntext1"/>
        <w:keepNext w:val="false"/>
        <w:keepLines w:val="false"/>
        <w:widowControl w:val="false"/>
        <w:numPr>
          <w:ilvl w:val="0"/>
          <w:numId w:val="26"/>
        </w:numPr>
        <w:shd w:val="clear" w:color="auto" w:fill="auto"/>
        <w:tabs>
          <w:tab w:val="clear" w:pos="720"/>
          <w:tab w:val="left" w:pos="341" w:leader="none"/>
        </w:tabs>
        <w:bidi w:val="0"/>
        <w:spacing w:lineRule="auto" w:line="240" w:before="0" w:after="240"/>
        <w:ind w:hanging="340" w:left="340" w:right="0"/>
        <w:jc w:val="left"/>
        <w:rPr/>
      </w:pPr>
      <w:r>
        <w:rPr>
          <w:rStyle w:val="Zkladntext"/>
        </w:rPr>
        <w:t>Smluvní strany prohlašují, že je jim znám celý obsah této Smlouvy včetně příloh, a že ji uzavřely na základě svobodné a vážné vůle. Na důkaz této skutečnosti připojují oprávnění zástupci obou smluvních stran své vlastnoruční podpisy.</w:t>
      </w:r>
    </w:p>
    <w:p>
      <w:pPr>
        <w:pStyle w:val="Zkladntext1"/>
        <w:keepNext w:val="false"/>
        <w:keepLines w:val="false"/>
        <w:widowControl w:val="false"/>
        <w:numPr>
          <w:ilvl w:val="0"/>
          <w:numId w:val="26"/>
        </w:numPr>
        <w:shd w:val="clear" w:color="auto" w:fill="auto"/>
        <w:tabs>
          <w:tab w:val="clear" w:pos="720"/>
          <w:tab w:val="left" w:pos="341" w:leader="none"/>
        </w:tabs>
        <w:bidi w:val="0"/>
        <w:spacing w:lineRule="auto" w:line="240" w:before="0" w:after="240"/>
        <w:ind w:hanging="340" w:left="340" w:right="0"/>
        <w:jc w:val="left"/>
        <w:rPr/>
      </w:pPr>
      <w:r>
        <w:rPr>
          <w:rStyle w:val="Zkladntext"/>
        </w:rPr>
        <w:t>Zhotovitel souhlasí s uveřejněním této smlouvy, včetně jejích příloh a případných dodatků, v souladu s § 219 zákona č. 134/2016 Sb., zákon o zadávání veřejných zakázek, dále dle zákona č. 340/2015 Sb., zákon o registru smluv, případně dalších právních předpisů, které ukládají příkazci či oběma smluvním stranám povinnost uveřejnění.</w:t>
      </w:r>
    </w:p>
    <w:p>
      <w:pPr>
        <w:pStyle w:val="Zkladntext1"/>
        <w:keepNext w:val="false"/>
        <w:keepLines w:val="false"/>
        <w:widowControl w:val="false"/>
        <w:numPr>
          <w:ilvl w:val="0"/>
          <w:numId w:val="26"/>
        </w:numPr>
        <w:shd w:val="clear" w:color="auto" w:fill="auto"/>
        <w:tabs>
          <w:tab w:val="clear" w:pos="720"/>
          <w:tab w:val="left" w:pos="341" w:leader="none"/>
        </w:tabs>
        <w:bidi w:val="0"/>
        <w:spacing w:lineRule="auto" w:line="240" w:before="0" w:after="240"/>
        <w:ind w:hanging="340" w:left="340" w:right="0"/>
        <w:jc w:val="left"/>
        <w:rPr/>
      </w:pPr>
      <w:r>
        <w:rPr>
          <w:rStyle w:val="Zkladntext"/>
        </w:rPr>
        <w:t>V případě pochyb o dni doručení jakékoliv písemnosti podle této Smlouvy platí, že písemnost byla doručena tři pracovní dny po jejím prokazatelném odeslání jakoukoli formou..</w:t>
      </w:r>
    </w:p>
    <w:p>
      <w:pPr>
        <w:pStyle w:val="Zkladntext1"/>
        <w:keepNext w:val="false"/>
        <w:keepLines w:val="false"/>
        <w:widowControl w:val="false"/>
        <w:numPr>
          <w:ilvl w:val="0"/>
          <w:numId w:val="26"/>
        </w:numPr>
        <w:shd w:val="clear" w:color="auto" w:fill="auto"/>
        <w:tabs>
          <w:tab w:val="clear" w:pos="720"/>
          <w:tab w:val="left" w:pos="404" w:leader="none"/>
        </w:tabs>
        <w:bidi w:val="0"/>
        <w:spacing w:lineRule="auto" w:line="240" w:before="0" w:after="240"/>
        <w:ind w:hanging="340" w:left="340" w:right="0"/>
        <w:jc w:val="left"/>
        <w:rPr/>
      </w:pPr>
      <w:r>
        <w:rPr>
          <w:rStyle w:val="Zkladntext"/>
        </w:rPr>
        <w:t>Salvátorská klauzule. Pokud bude jakékoliv ujednání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pPr>
        <w:pStyle w:val="Zkladntext1"/>
        <w:keepNext w:val="false"/>
        <w:keepLines w:val="false"/>
        <w:widowControl w:val="false"/>
        <w:numPr>
          <w:ilvl w:val="0"/>
          <w:numId w:val="26"/>
        </w:numPr>
        <w:shd w:val="clear" w:color="auto" w:fill="auto"/>
        <w:tabs>
          <w:tab w:val="clear" w:pos="720"/>
          <w:tab w:val="left" w:pos="404" w:leader="none"/>
        </w:tabs>
        <w:bidi w:val="0"/>
        <w:spacing w:lineRule="auto" w:line="240" w:before="0" w:after="1000"/>
        <w:ind w:hanging="340" w:left="340" w:right="0"/>
        <w:jc w:val="left"/>
        <w:rPr/>
      </w:pPr>
      <w:r>
        <w:rPr>
          <w:rStyle w:val="Zkladntext"/>
        </w:rPr>
        <w:t>Platnost a účinnost Smlouvy. Smlouva nabývá platnosti dnem jejího podpisu Smluvními stranami a účinnosti jejím uveřejněním v registru smluv podle zákona č. 340/2015 Sb, pokud tuto povinnost jedné ze smluvních stran ukládá. V opačném případě nabývá smlouva účinnosti dnem jejího podpisu Smluvními stranami.</w:t>
      </w:r>
    </w:p>
    <w:p>
      <w:pPr>
        <w:pStyle w:val="Zkladntext1"/>
        <w:keepNext w:val="false"/>
        <w:keepLines w:val="false"/>
        <w:widowControl w:val="false"/>
        <w:shd w:val="clear" w:color="auto" w:fill="auto"/>
        <w:tabs>
          <w:tab w:val="clear" w:pos="720"/>
          <w:tab w:val="left" w:pos="2970" w:leader="dot"/>
        </w:tabs>
        <w:bidi w:val="0"/>
        <w:spacing w:lineRule="auto" w:line="240" w:before="0" w:after="0"/>
        <w:ind w:firstLine="340" w:left="0" w:right="0"/>
        <w:jc w:val="left"/>
        <w:rPr/>
      </w:pPr>
      <w:r>
        <w:rPr>
          <w:rStyle w:val="Zkladntext"/>
        </w:rPr>
        <w:t>V Rybitví dn</w:t>
      </w:r>
      <w:r>
        <w:rPr>
          <w:rStyle w:val="Zkladntext"/>
        </w:rPr>
        <w:t>e   12.03.2025</w:t>
        <w:tab/>
        <w:tab/>
        <w:tab/>
        <w:tab/>
        <w:tab/>
        <w:tab/>
      </w:r>
      <w:r>
        <w:rPr>
          <w:rStyle w:val="Zkladntext"/>
        </w:rPr>
        <w:t xml:space="preserve">V Rybitví dne  </w:t>
      </w:r>
      <w:r>
        <w:rPr>
          <w:rStyle w:val="Zkladntext"/>
        </w:rPr>
        <w:t>17.03.2025</w:t>
      </w:r>
    </w:p>
    <w:p>
      <w:pPr>
        <w:pStyle w:val="Normal"/>
        <w:widowControl w:val="false"/>
        <w:spacing w:lineRule="exact" w:line="1"/>
        <w:rPr/>
      </w:pPr>
      <w:r>
        <w:rPr/>
        <mc:AlternateContent>
          <mc:Choice Requires="wps">
            <w:drawing>
              <wp:anchor behindDoc="0" distT="473075" distB="0" distL="0" distR="0" simplePos="0" locked="0" layoutInCell="0" allowOverlap="1" relativeHeight="8">
                <wp:simplePos x="0" y="0"/>
                <wp:positionH relativeFrom="page">
                  <wp:posOffset>894715</wp:posOffset>
                </wp:positionH>
                <wp:positionV relativeFrom="paragraph">
                  <wp:posOffset>473075</wp:posOffset>
                </wp:positionV>
                <wp:extent cx="841375" cy="426720"/>
                <wp:effectExtent l="0" t="0" r="0" b="0"/>
                <wp:wrapTopAndBottom/>
                <wp:docPr id="4" name="Shape 7"/>
                <a:graphic xmlns:a="http://schemas.openxmlformats.org/drawingml/2006/main">
                  <a:graphicData uri="http://schemas.microsoft.com/office/word/2010/wordprocessingShape">
                    <wps:wsp>
                      <wps:cNvSpPr/>
                      <wps:spPr>
                        <a:xfrm>
                          <a:off x="0" y="0"/>
                          <a:ext cx="841320" cy="426600"/>
                        </a:xfrm>
                        <a:prstGeom prst="rect">
                          <a:avLst/>
                        </a:prstGeom>
                        <a:noFill/>
                        <a:ln w="0">
                          <a:noFill/>
                        </a:ln>
                      </wps:spPr>
                      <wps:style>
                        <a:lnRef idx="0"/>
                        <a:fillRef idx="0"/>
                        <a:effectRef idx="0"/>
                        <a:fontRef idx="minor"/>
                      </wps:style>
                      <wps:txbx>
                        <w:txbxContent>
                          <w:p>
                            <w:pPr>
                              <w:pStyle w:val="Nadpis11"/>
                              <w:keepNext w:val="true"/>
                              <w:keepLines/>
                              <w:widowControl w:val="false"/>
                              <w:shd w:val="clear" w:color="auto" w:fill="auto"/>
                              <w:bidi w:val="0"/>
                              <w:spacing w:lineRule="auto" w:line="240" w:before="0" w:after="0"/>
                              <w:ind w:hanging="0" w:left="0" w:right="0"/>
                              <w:jc w:val="center"/>
                              <w:rPr/>
                            </w:pPr>
                            <w:bookmarkStart w:id="14" w:name="bookmark29"/>
                            <w:r>
                              <w:rPr>
                                <w:rStyle w:val="Nadpis1"/>
                              </w:rPr>
                              <w:t>I</w:t>
                            </w:r>
                            <w:bookmarkEnd w:id="14"/>
                          </w:p>
                        </w:txbxContent>
                      </wps:txbx>
                      <wps:bodyPr lIns="0" rIns="0" tIns="0" bIns="0" anchor="t">
                        <a:noAutofit/>
                      </wps:bodyPr>
                    </wps:wsp>
                  </a:graphicData>
                </a:graphic>
              </wp:anchor>
            </w:drawing>
          </mc:Choice>
          <mc:Fallback>
            <w:pict>
              <v:rect id="shape_0" ID="Shape 7" path="m0,0l-2147483645,0l-2147483645,-2147483646l0,-2147483646xe" stroked="f" o:allowincell="f" style="position:absolute;margin-left:70.45pt;margin-top:37.25pt;width:66.2pt;height:33.55pt;mso-wrap-style:square;v-text-anchor:top;mso-position-horizontal-relative:page">
                <v:fill o:detectmouseclick="t" on="false"/>
                <v:stroke color="#3465a4" joinstyle="round" endcap="flat"/>
                <v:textbox>
                  <w:txbxContent>
                    <w:p>
                      <w:pPr>
                        <w:pStyle w:val="Nadpis11"/>
                        <w:keepNext w:val="true"/>
                        <w:keepLines/>
                        <w:widowControl w:val="false"/>
                        <w:shd w:val="clear" w:color="auto" w:fill="auto"/>
                        <w:bidi w:val="0"/>
                        <w:spacing w:lineRule="auto" w:line="240" w:before="0" w:after="0"/>
                        <w:ind w:hanging="0" w:left="0" w:right="0"/>
                        <w:jc w:val="center"/>
                        <w:rPr/>
                      </w:pPr>
                      <w:bookmarkStart w:id="15" w:name="bookmark29"/>
                      <w:r>
                        <w:rPr>
                          <w:rStyle w:val="Nadpis1"/>
                        </w:rPr>
                        <w:t>I</w:t>
                      </w:r>
                      <w:bookmarkEnd w:id="15"/>
                    </w:p>
                  </w:txbxContent>
                </v:textbox>
                <w10:wrap type="topAndBottom"/>
              </v:rect>
            </w:pict>
          </mc:Fallback>
        </mc:AlternateContent>
        <mc:AlternateContent>
          <mc:Choice Requires="wps">
            <w:drawing>
              <wp:anchor behindDoc="0" distT="405765" distB="82550" distL="0" distR="0" simplePos="0" locked="0" layoutInCell="0" allowOverlap="1" relativeHeight="10">
                <wp:simplePos x="0" y="0"/>
                <wp:positionH relativeFrom="page">
                  <wp:posOffset>4598035</wp:posOffset>
                </wp:positionH>
                <wp:positionV relativeFrom="paragraph">
                  <wp:posOffset>405765</wp:posOffset>
                </wp:positionV>
                <wp:extent cx="829310" cy="411480"/>
                <wp:effectExtent l="0" t="0" r="0" b="0"/>
                <wp:wrapTopAndBottom/>
                <wp:docPr id="5" name="Shape 11"/>
                <a:graphic xmlns:a="http://schemas.openxmlformats.org/drawingml/2006/main">
                  <a:graphicData uri="http://schemas.microsoft.com/office/word/2010/wordprocessingShape">
                    <wps:wsp>
                      <wps:cNvSpPr/>
                      <wps:spPr>
                        <a:xfrm>
                          <a:off x="0" y="0"/>
                          <a:ext cx="829440" cy="411480"/>
                        </a:xfrm>
                        <a:prstGeom prst="rect">
                          <a:avLst/>
                        </a:prstGeom>
                        <a:noFill/>
                        <a:ln w="0">
                          <a:noFill/>
                        </a:ln>
                      </wps:spPr>
                      <wps:style>
                        <a:lnRef idx="0"/>
                        <a:fillRef idx="0"/>
                        <a:effectRef idx="0"/>
                        <a:fontRef idx="minor"/>
                      </wps:style>
                      <wps:txbx>
                        <w:txbxContent>
                          <w:p>
                            <w:pPr>
                              <w:pStyle w:val="Nadpis21"/>
                              <w:keepNext w:val="true"/>
                              <w:keepLines/>
                              <w:widowControl w:val="false"/>
                              <w:shd w:val="clear" w:color="auto" w:fill="auto"/>
                              <w:bidi w:val="0"/>
                              <w:spacing w:lineRule="auto" w:line="240" w:before="0" w:after="0"/>
                              <w:ind w:hanging="0" w:left="0" w:right="0"/>
                              <w:jc w:val="left"/>
                              <w:rPr/>
                            </w:pPr>
                            <w:bookmarkStart w:id="16" w:name="bookmark31"/>
                            <w:r>
                              <w:rPr>
                                <w:rStyle w:val="Nadpis2"/>
                              </w:rPr>
                              <w:t>Mgr. Bc.</w:t>
                            </w:r>
                            <w:bookmarkEnd w:id="16"/>
                          </w:p>
                          <w:p>
                            <w:pPr>
                              <w:pStyle w:val="Nadpis21"/>
                              <w:keepNext w:val="true"/>
                              <w:keepLines/>
                              <w:widowControl w:val="false"/>
                              <w:shd w:val="clear" w:color="auto" w:fill="auto"/>
                              <w:bidi w:val="0"/>
                              <w:spacing w:lineRule="auto" w:line="228" w:before="0" w:after="0"/>
                              <w:ind w:hanging="0" w:left="0" w:right="0"/>
                              <w:jc w:val="left"/>
                              <w:rPr/>
                            </w:pPr>
                            <w:bookmarkStart w:id="17" w:name="bookmark33"/>
                            <w:r>
                              <w:rPr>
                                <w:rStyle w:val="Nadpis2"/>
                              </w:rPr>
                              <w:t>Jana Tomšů</w:t>
                            </w:r>
                            <w:bookmarkEnd w:id="17"/>
                          </w:p>
                        </w:txbxContent>
                      </wps:txbx>
                      <wps:bodyPr lIns="0" rIns="0" tIns="0" bIns="0" anchor="t">
                        <a:noAutofit/>
                      </wps:bodyPr>
                    </wps:wsp>
                  </a:graphicData>
                </a:graphic>
              </wp:anchor>
            </w:drawing>
          </mc:Choice>
          <mc:Fallback>
            <w:pict>
              <v:rect id="shape_0" ID="Shape 11" path="m0,0l-2147483645,0l-2147483645,-2147483646l0,-2147483646xe" stroked="f" o:allowincell="f" style="position:absolute;margin-left:362.05pt;margin-top:31.95pt;width:65.25pt;height:32.35pt;mso-wrap-style:square;v-text-anchor:top;mso-position-horizontal-relative:page">
                <v:fill o:detectmouseclick="t" on="false"/>
                <v:stroke color="#3465a4" joinstyle="round" endcap="flat"/>
                <v:textbox>
                  <w:txbxContent>
                    <w:p>
                      <w:pPr>
                        <w:pStyle w:val="Nadpis21"/>
                        <w:keepNext w:val="true"/>
                        <w:keepLines/>
                        <w:widowControl w:val="false"/>
                        <w:shd w:val="clear" w:color="auto" w:fill="auto"/>
                        <w:bidi w:val="0"/>
                        <w:spacing w:lineRule="auto" w:line="240" w:before="0" w:after="0"/>
                        <w:ind w:hanging="0" w:left="0" w:right="0"/>
                        <w:jc w:val="left"/>
                        <w:rPr/>
                      </w:pPr>
                      <w:bookmarkStart w:id="18" w:name="bookmark31"/>
                      <w:r>
                        <w:rPr>
                          <w:rStyle w:val="Nadpis2"/>
                        </w:rPr>
                        <w:t>Mgr. Bc.</w:t>
                      </w:r>
                      <w:bookmarkEnd w:id="18"/>
                    </w:p>
                    <w:p>
                      <w:pPr>
                        <w:pStyle w:val="Nadpis21"/>
                        <w:keepNext w:val="true"/>
                        <w:keepLines/>
                        <w:widowControl w:val="false"/>
                        <w:shd w:val="clear" w:color="auto" w:fill="auto"/>
                        <w:bidi w:val="0"/>
                        <w:spacing w:lineRule="auto" w:line="228" w:before="0" w:after="0"/>
                        <w:ind w:hanging="0" w:left="0" w:right="0"/>
                        <w:jc w:val="left"/>
                        <w:rPr/>
                      </w:pPr>
                      <w:bookmarkStart w:id="19" w:name="bookmark33"/>
                      <w:r>
                        <w:rPr>
                          <w:rStyle w:val="Nadpis2"/>
                        </w:rPr>
                        <w:t>Jana Tomšů</w:t>
                      </w:r>
                      <w:bookmarkEnd w:id="19"/>
                    </w:p>
                  </w:txbxContent>
                </v:textbox>
                <w10:wrap type="topAndBottom"/>
              </v:rect>
            </w:pict>
          </mc:Fallback>
        </mc:AlternateContent>
      </w:r>
    </w:p>
    <w:p>
      <w:pPr>
        <w:sectPr>
          <w:type w:val="nextPage"/>
          <w:pgSz w:w="11906" w:h="16838"/>
          <w:pgMar w:left="713" w:right="708" w:gutter="0" w:header="0" w:top="1074" w:footer="0" w:bottom="3495"/>
          <w:pgNumType w:fmt="decimal"/>
          <w:formProt w:val="false"/>
          <w:textDirection w:val="lrTb"/>
          <w:docGrid w:type="default" w:linePitch="360" w:charSpace="0"/>
        </w:sectPr>
      </w:pPr>
    </w:p>
    <w:p>
      <w:pPr>
        <w:pStyle w:val="Zkladntext1"/>
        <w:keepNext w:val="false"/>
        <w:keepLines w:val="false"/>
        <w:widowControl w:val="false"/>
        <w:shd w:val="clear" w:color="auto" w:fill="auto"/>
        <w:bidi w:val="0"/>
        <w:spacing w:lineRule="auto" w:line="240" w:before="0" w:after="1080"/>
        <w:ind w:hanging="0" w:left="0" w:right="0"/>
        <w:jc w:val="left"/>
        <w:rPr/>
      </w:pPr>
      <w:r>
        <mc:AlternateContent>
          <mc:Choice Requires="wps">
            <w:drawing>
              <wp:anchor behindDoc="0" distT="635" distB="0" distL="114300" distR="114300" simplePos="0" locked="0" layoutInCell="0" allowOverlap="1" relativeHeight="12">
                <wp:simplePos x="0" y="0"/>
                <wp:positionH relativeFrom="page">
                  <wp:posOffset>5271770</wp:posOffset>
                </wp:positionH>
                <wp:positionV relativeFrom="paragraph">
                  <wp:posOffset>12700</wp:posOffset>
                </wp:positionV>
                <wp:extent cx="709930" cy="179705"/>
                <wp:effectExtent l="0" t="635" r="0" b="0"/>
                <wp:wrapSquare wrapText="left"/>
                <wp:docPr id="6" name="Shape 15"/>
                <a:graphic xmlns:a="http://schemas.openxmlformats.org/drawingml/2006/main">
                  <a:graphicData uri="http://schemas.microsoft.com/office/word/2010/wordprocessingShape">
                    <wps:wsp>
                      <wps:cNvSpPr/>
                      <wps:spPr>
                        <a:xfrm>
                          <a:off x="0" y="0"/>
                          <a:ext cx="709920" cy="179640"/>
                        </a:xfrm>
                        <a:prstGeom prst="rect">
                          <a:avLst/>
                        </a:prstGeom>
                        <a:noFill/>
                        <a:ln w="0">
                          <a:noFill/>
                        </a:ln>
                      </wps:spPr>
                      <wps:style>
                        <a:lnRef idx="0"/>
                        <a:fillRef idx="0"/>
                        <a:effectRef idx="0"/>
                        <a:fontRef idx="minor"/>
                      </wps:style>
                      <wps:txbx>
                        <w:txbxContent>
                          <w:p>
                            <w:pPr>
                              <w:pStyle w:val="Zkladntext1"/>
                              <w:keepNext w:val="false"/>
                              <w:keepLines w:val="false"/>
                              <w:widowControl w:val="false"/>
                              <w:shd w:val="clear" w:color="auto" w:fill="auto"/>
                              <w:bidi w:val="0"/>
                              <w:spacing w:lineRule="auto" w:line="240" w:before="0" w:after="0"/>
                              <w:ind w:hanging="0" w:left="0" w:right="0"/>
                              <w:jc w:val="left"/>
                              <w:rPr/>
                            </w:pPr>
                            <w:r>
                              <w:rPr>
                                <w:rStyle w:val="Zkladntext"/>
                              </w:rPr>
                              <w:t>Objednatel</w:t>
                            </w:r>
                          </w:p>
                        </w:txbxContent>
                      </wps:txbx>
                      <wps:bodyPr lIns="0" rIns="0" tIns="0" bIns="0" anchor="t">
                        <a:noAutofit/>
                      </wps:bodyPr>
                    </wps:wsp>
                  </a:graphicData>
                </a:graphic>
              </wp:anchor>
            </w:drawing>
          </mc:Choice>
          <mc:Fallback>
            <w:pict>
              <v:rect id="shape_0" ID="Shape 15" path="m0,0l-2147483645,0l-2147483645,-2147483646l0,-2147483646xe" stroked="f" o:allowincell="f" style="position:absolute;margin-left:415.1pt;margin-top:1pt;width:55.85pt;height:14.1pt;mso-wrap-style:square;v-text-anchor:top;mso-position-horizontal-relative:page">
                <v:fill o:detectmouseclick="t" on="false"/>
                <v:stroke color="#3465a4" joinstyle="round" endcap="flat"/>
                <v:textbox>
                  <w:txbxContent>
                    <w:p>
                      <w:pPr>
                        <w:pStyle w:val="Zkladntext1"/>
                        <w:keepNext w:val="false"/>
                        <w:keepLines w:val="false"/>
                        <w:widowControl w:val="false"/>
                        <w:shd w:val="clear" w:color="auto" w:fill="auto"/>
                        <w:bidi w:val="0"/>
                        <w:spacing w:lineRule="auto" w:line="240" w:before="0" w:after="0"/>
                        <w:ind w:hanging="0" w:left="0" w:right="0"/>
                        <w:jc w:val="left"/>
                        <w:rPr/>
                      </w:pPr>
                      <w:r>
                        <w:rPr>
                          <w:rStyle w:val="Zkladntext"/>
                        </w:rPr>
                        <w:t>Objednatel</w:t>
                      </w:r>
                    </w:p>
                  </w:txbxContent>
                </v:textbox>
                <w10:wrap type="square" side="left"/>
              </v:rect>
            </w:pict>
          </mc:Fallback>
        </mc:AlternateContent>
      </w:r>
      <w:r>
        <w:rPr>
          <w:rStyle w:val="Zkladntext"/>
        </w:rPr>
        <w:tab/>
        <w:t>CODE spol. s r.o.</w:t>
        <w:br/>
        <w:tab/>
        <w:t>Ing. Viktor Meduna</w:t>
      </w:r>
    </w:p>
    <w:p>
      <w:pPr>
        <w:pStyle w:val="Nadpis21"/>
        <w:keepNext w:val="true"/>
        <w:keepLines/>
        <w:widowControl w:val="false"/>
        <w:shd w:val="clear" w:color="auto" w:fill="auto"/>
        <w:bidi w:val="0"/>
        <w:spacing w:lineRule="auto" w:line="240" w:before="0" w:after="0"/>
        <w:ind w:firstLine="620" w:left="0" w:right="0"/>
        <w:jc w:val="left"/>
        <w:rPr/>
      </w:pPr>
      <w:bookmarkStart w:id="20" w:name="bookmark35"/>
      <w:r>
        <w:rPr>
          <w:rStyle w:val="Nadpis2"/>
          <w:rFonts w:eastAsia="Arial" w:cs="Arial" w:ascii="Arial" w:hAnsi="Arial"/>
          <w:color w:val="212121"/>
          <w:sz w:val="24"/>
          <w:szCs w:val="24"/>
        </w:rPr>
        <w:t>Přílohy:</w:t>
      </w:r>
      <w:bookmarkEnd w:id="20"/>
    </w:p>
    <w:p>
      <w:pPr>
        <w:pStyle w:val="Zkladntext1"/>
        <w:keepNext w:val="false"/>
        <w:keepLines w:val="false"/>
        <w:widowControl w:val="false"/>
        <w:shd w:val="clear" w:color="auto" w:fill="auto"/>
        <w:bidi w:val="0"/>
        <w:spacing w:lineRule="auto" w:line="240" w:before="0" w:after="0"/>
        <w:ind w:firstLine="620" w:left="0" w:right="0"/>
        <w:jc w:val="left"/>
        <w:rPr/>
      </w:pPr>
      <w:r>
        <w:rPr>
          <w:rStyle w:val="Zkladntext"/>
        </w:rPr>
        <w:t>Kopie pojistné smlouvy pojištění odpovědnosti za škody ve smyslu čl. XII</w:t>
      </w:r>
    </w:p>
    <w:sectPr>
      <w:type w:val="continuous"/>
      <w:pgSz w:w="11906" w:h="16838"/>
      <w:pgMar w:left="713" w:right="708" w:gutter="0" w:header="0" w:top="1074" w:footer="0" w:bottom="3495"/>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ourier New">
    <w:charset w:val="ee"/>
    <w:family w:val="roman"/>
    <w:pitch w:val="variable"/>
  </w:font>
  <w:font w:name="Arial">
    <w:charset w:val="ee"/>
    <w:family w:val="swiss"/>
    <w:pitch w:val="variable"/>
  </w:font>
  <w:font w:name="Segoe UI">
    <w:charset w:val="ee"/>
    <w:family w:val="roman"/>
    <w:pitch w:val="variable"/>
  </w:font>
  <w:font w:name="Liberation Sans">
    <w:altName w:val="Arial"/>
    <w:charset w:val="ee"/>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1)"/>
      <w:lvlJc w:val="left"/>
      <w:pPr>
        <w:tabs>
          <w:tab w:val="num" w:pos="0"/>
        </w:tabs>
        <w:ind w:left="0" w:hanging="0"/>
      </w:pPr>
      <w:rPr>
        <w:smallCaps w:val="false"/>
        <w:caps w:val="false"/>
        <w:dstrike w:val="false"/>
        <w:strike w:val="false"/>
        <w:sz w:val="22"/>
        <w:spacing w:val="0"/>
        <w:i w:val="false"/>
        <w:u w:val="none"/>
        <w:b/>
        <w:shd w:fill="auto" w:val="clear"/>
        <w:szCs w:val="22"/>
        <w:iCs w:val="false"/>
        <w:bCs/>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2"/>
        <w:spacing w:val="0"/>
        <w:i w:val="false"/>
        <w:u w:val="none"/>
        <w:b w:val="false"/>
        <w:shd w:fill="auto" w:val="clear"/>
        <w:szCs w:val="22"/>
        <w:iCs w:val="false"/>
        <w:bCs w:val="false"/>
        <w:w w:val="100"/>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lowerLetter"/>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000000"/>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Arial" w:hAnsi="Arial" w:eastAsia="Arial" w:cs="Arial"/>
        <w:color w:val="212121"/>
        <w:lang w:val="cs-CZ" w:eastAsia="cs-CZ"/>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20"/>
  <w:autoHyphenation w:val="true"/>
  <w:hyphenationZone w:val="0"/>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cs-CZ" w:eastAsia="cs-CZ" w:bidi="hi-IN"/>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hanging="0" w:left="0" w:right="0"/>
      <w:jc w:val="left"/>
    </w:pPr>
    <w:rPr>
      <w:rFonts w:ascii="Courier New" w:hAnsi="Courier New" w:eastAsia="Courier New" w:cs="Courier New"/>
      <w:color w:val="000000"/>
      <w:spacing w:val="0"/>
      <w:w w:val="100"/>
      <w:kern w:val="0"/>
      <w:sz w:val="24"/>
      <w:szCs w:val="24"/>
      <w:shd w:fill="auto" w:val="clear"/>
      <w:lang w:val="cs-CZ" w:eastAsia="cs-CZ" w:bidi="hi-IN"/>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cs-CZ" w:eastAsia="cs-CZ"/>
    </w:rPr>
  </w:style>
  <w:style w:type="character" w:styleId="Zkladntext" w:customStyle="1">
    <w:name w:val="Základní text_"/>
    <w:basedOn w:val="DefaultParagraphFont"/>
    <w:link w:val="Zkladntext1"/>
    <w:qFormat/>
    <w:rPr>
      <w:rFonts w:ascii="Arial" w:hAnsi="Arial" w:eastAsia="Arial" w:cs="Arial"/>
      <w:b w:val="false"/>
      <w:bCs w:val="false"/>
      <w:i w:val="false"/>
      <w:iCs w:val="false"/>
      <w:caps w:val="false"/>
      <w:smallCaps w:val="false"/>
      <w:strike w:val="false"/>
      <w:dstrike w:val="false"/>
      <w:color w:val="212121"/>
      <w:sz w:val="22"/>
      <w:szCs w:val="22"/>
      <w:u w:val="none"/>
    </w:rPr>
  </w:style>
  <w:style w:type="character" w:styleId="Nadpis3" w:customStyle="1">
    <w:name w:val="Nadpis #3_"/>
    <w:basedOn w:val="DefaultParagraphFont"/>
    <w:link w:val="Nadpis31"/>
    <w:qFormat/>
    <w:rPr>
      <w:rFonts w:ascii="Arial" w:hAnsi="Arial" w:eastAsia="Arial" w:cs="Arial"/>
      <w:b/>
      <w:bCs/>
      <w:i w:val="false"/>
      <w:iCs w:val="false"/>
      <w:caps w:val="false"/>
      <w:smallCaps w:val="false"/>
      <w:strike w:val="false"/>
      <w:dstrike w:val="false"/>
      <w:color w:val="212121"/>
      <w:sz w:val="22"/>
      <w:szCs w:val="22"/>
      <w:u w:val="none"/>
    </w:rPr>
  </w:style>
  <w:style w:type="character" w:styleId="Titulektabulky" w:customStyle="1">
    <w:name w:val="Titulek tabulky_"/>
    <w:basedOn w:val="DefaultParagraphFont"/>
    <w:link w:val="Titulektabulky1"/>
    <w:qFormat/>
    <w:rPr>
      <w:rFonts w:ascii="Arial" w:hAnsi="Arial" w:eastAsia="Arial" w:cs="Arial"/>
      <w:b w:val="false"/>
      <w:bCs w:val="false"/>
      <w:i w:val="false"/>
      <w:iCs w:val="false"/>
      <w:caps w:val="false"/>
      <w:smallCaps w:val="false"/>
      <w:strike w:val="false"/>
      <w:dstrike w:val="false"/>
      <w:sz w:val="22"/>
      <w:szCs w:val="22"/>
      <w:u w:val="none"/>
    </w:rPr>
  </w:style>
  <w:style w:type="character" w:styleId="Jin" w:customStyle="1">
    <w:name w:val="Jiné_"/>
    <w:basedOn w:val="DefaultParagraphFont"/>
    <w:link w:val="Jin1"/>
    <w:qFormat/>
    <w:rPr>
      <w:rFonts w:ascii="Arial" w:hAnsi="Arial" w:eastAsia="Arial" w:cs="Arial"/>
      <w:b w:val="false"/>
      <w:bCs w:val="false"/>
      <w:i w:val="false"/>
      <w:iCs w:val="false"/>
      <w:caps w:val="false"/>
      <w:smallCaps w:val="false"/>
      <w:strike w:val="false"/>
      <w:dstrike w:val="false"/>
      <w:color w:val="212121"/>
      <w:sz w:val="22"/>
      <w:szCs w:val="22"/>
      <w:u w:val="none"/>
    </w:rPr>
  </w:style>
  <w:style w:type="character" w:styleId="Nadpis1" w:customStyle="1">
    <w:name w:val="Nadpis #1_"/>
    <w:basedOn w:val="DefaultParagraphFont"/>
    <w:link w:val="Nadpis11"/>
    <w:qFormat/>
    <w:rPr>
      <w:rFonts w:ascii="Arial" w:hAnsi="Arial" w:eastAsia="Arial" w:cs="Arial"/>
      <w:b w:val="false"/>
      <w:bCs w:val="false"/>
      <w:i w:val="false"/>
      <w:iCs w:val="false"/>
      <w:caps w:val="false"/>
      <w:smallCaps w:val="false"/>
      <w:strike w:val="false"/>
      <w:dstrike w:val="false"/>
      <w:sz w:val="28"/>
      <w:szCs w:val="28"/>
      <w:u w:val="none"/>
    </w:rPr>
  </w:style>
  <w:style w:type="character" w:styleId="Zkladntext2" w:customStyle="1">
    <w:name w:val="Základní text (2)_"/>
    <w:basedOn w:val="DefaultParagraphFont"/>
    <w:link w:val="Zkladntext21"/>
    <w:qFormat/>
    <w:rPr>
      <w:rFonts w:ascii="Arial" w:hAnsi="Arial" w:eastAsia="Arial" w:cs="Arial"/>
      <w:b w:val="false"/>
      <w:bCs w:val="false"/>
      <w:i w:val="false"/>
      <w:iCs w:val="false"/>
      <w:caps w:val="false"/>
      <w:smallCaps w:val="false"/>
      <w:strike w:val="false"/>
      <w:dstrike w:val="false"/>
      <w:sz w:val="9"/>
      <w:szCs w:val="9"/>
      <w:u w:val="none"/>
    </w:rPr>
  </w:style>
  <w:style w:type="character" w:styleId="Nadpis2" w:customStyle="1">
    <w:name w:val="Nadpis #2_"/>
    <w:basedOn w:val="DefaultParagraphFont"/>
    <w:link w:val="Nadpis21"/>
    <w:qFormat/>
    <w:rPr>
      <w:rFonts w:ascii="Segoe UI" w:hAnsi="Segoe UI" w:eastAsia="Segoe UI" w:cs="Segoe UI"/>
      <w:b w:val="false"/>
      <w:bCs w:val="false"/>
      <w:i w:val="false"/>
      <w:iCs w:val="false"/>
      <w:caps w:val="false"/>
      <w:smallCaps w:val="false"/>
      <w:strike w:val="false"/>
      <w:dstrike w:val="false"/>
      <w:sz w:val="24"/>
      <w:szCs w:val="24"/>
      <w:u w:val="none"/>
    </w:rPr>
  </w:style>
  <w:style w:type="character" w:styleId="Zkladntext3" w:customStyle="1">
    <w:name w:val="Základní text (3)_"/>
    <w:basedOn w:val="DefaultParagraphFont"/>
    <w:link w:val="Zkladntext31"/>
    <w:qFormat/>
    <w:rPr>
      <w:rFonts w:ascii="Arial" w:hAnsi="Arial" w:eastAsia="Arial" w:cs="Arial"/>
      <w:b w:val="false"/>
      <w:bCs w:val="false"/>
      <w:i w:val="false"/>
      <w:iCs w:val="false"/>
      <w:caps w:val="false"/>
      <w:smallCaps w:val="false"/>
      <w:strike w:val="false"/>
      <w:dstrike w:val="false"/>
      <w:sz w:val="13"/>
      <w:szCs w:val="13"/>
      <w:u w:val="none"/>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jstkuser">
    <w:name w:val="Rejstřík (user)"/>
    <w:basedOn w:val="Normal"/>
    <w:qFormat/>
    <w:pPr>
      <w:suppressLineNumbers/>
    </w:pPr>
    <w:rPr>
      <w:rFonts w:cs="Arial"/>
    </w:rPr>
  </w:style>
  <w:style w:type="paragraph" w:styleId="Zkladntext1" w:customStyle="1">
    <w:name w:val="Základní text"/>
    <w:basedOn w:val="Normal"/>
    <w:link w:val="Zkladntext"/>
    <w:qFormat/>
    <w:pPr>
      <w:widowControl w:val="false"/>
      <w:shd w:val="clear" w:color="auto" w:fill="auto"/>
      <w:spacing w:before="0" w:after="120"/>
    </w:pPr>
    <w:rPr>
      <w:rFonts w:ascii="Arial" w:hAnsi="Arial" w:eastAsia="Arial" w:cs="Arial"/>
      <w:b w:val="false"/>
      <w:bCs w:val="false"/>
      <w:i w:val="false"/>
      <w:iCs w:val="false"/>
      <w:caps w:val="false"/>
      <w:smallCaps w:val="false"/>
      <w:strike w:val="false"/>
      <w:dstrike w:val="false"/>
      <w:color w:val="212121"/>
      <w:sz w:val="22"/>
      <w:szCs w:val="22"/>
      <w:u w:val="none"/>
    </w:rPr>
  </w:style>
  <w:style w:type="paragraph" w:styleId="Nadpis31" w:customStyle="1">
    <w:name w:val="Nadpis #3"/>
    <w:basedOn w:val="Normal"/>
    <w:link w:val="Nadpis3"/>
    <w:qFormat/>
    <w:pPr>
      <w:widowControl w:val="false"/>
      <w:shd w:val="clear" w:color="auto" w:fill="auto"/>
      <w:spacing w:before="0" w:after="240"/>
      <w:jc w:val="center"/>
      <w:outlineLvl w:val="2"/>
    </w:pPr>
    <w:rPr>
      <w:rFonts w:ascii="Arial" w:hAnsi="Arial" w:eastAsia="Arial" w:cs="Arial"/>
      <w:b/>
      <w:bCs/>
      <w:i w:val="false"/>
      <w:iCs w:val="false"/>
      <w:caps w:val="false"/>
      <w:smallCaps w:val="false"/>
      <w:strike w:val="false"/>
      <w:dstrike w:val="false"/>
      <w:color w:val="212121"/>
      <w:sz w:val="22"/>
      <w:szCs w:val="22"/>
      <w:u w:val="none"/>
    </w:rPr>
  </w:style>
  <w:style w:type="paragraph" w:styleId="Titulektabulky1" w:customStyle="1">
    <w:name w:val="Titulek tabulky"/>
    <w:basedOn w:val="Normal"/>
    <w:link w:val="Titulektabulky"/>
    <w:qFormat/>
    <w:pPr>
      <w:widowControl w:val="false"/>
      <w:shd w:val="clear" w:color="auto" w:fill="auto"/>
    </w:pPr>
    <w:rPr>
      <w:rFonts w:ascii="Arial" w:hAnsi="Arial" w:eastAsia="Arial" w:cs="Arial"/>
      <w:b w:val="false"/>
      <w:bCs w:val="false"/>
      <w:i w:val="false"/>
      <w:iCs w:val="false"/>
      <w:caps w:val="false"/>
      <w:smallCaps w:val="false"/>
      <w:strike w:val="false"/>
      <w:dstrike w:val="false"/>
      <w:sz w:val="22"/>
      <w:szCs w:val="22"/>
      <w:u w:val="none"/>
    </w:rPr>
  </w:style>
  <w:style w:type="paragraph" w:styleId="Jin1" w:customStyle="1">
    <w:name w:val="Jiné"/>
    <w:basedOn w:val="Normal"/>
    <w:link w:val="Jin"/>
    <w:qFormat/>
    <w:pPr>
      <w:widowControl w:val="false"/>
      <w:shd w:val="clear" w:color="auto" w:fill="auto"/>
      <w:spacing w:before="0" w:after="120"/>
    </w:pPr>
    <w:rPr>
      <w:rFonts w:ascii="Arial" w:hAnsi="Arial" w:eastAsia="Arial" w:cs="Arial"/>
      <w:b w:val="false"/>
      <w:bCs w:val="false"/>
      <w:i w:val="false"/>
      <w:iCs w:val="false"/>
      <w:caps w:val="false"/>
      <w:smallCaps w:val="false"/>
      <w:strike w:val="false"/>
      <w:dstrike w:val="false"/>
      <w:color w:val="212121"/>
      <w:sz w:val="22"/>
      <w:szCs w:val="22"/>
      <w:u w:val="none"/>
    </w:rPr>
  </w:style>
  <w:style w:type="paragraph" w:styleId="Nadpis11" w:customStyle="1">
    <w:name w:val="Nadpis #1"/>
    <w:basedOn w:val="Normal"/>
    <w:link w:val="Nadpis1"/>
    <w:qFormat/>
    <w:pPr>
      <w:widowControl w:val="false"/>
      <w:shd w:val="clear" w:color="auto" w:fill="auto"/>
      <w:jc w:val="center"/>
      <w:outlineLvl w:val="0"/>
    </w:pPr>
    <w:rPr>
      <w:rFonts w:ascii="Arial" w:hAnsi="Arial" w:eastAsia="Arial" w:cs="Arial"/>
      <w:b w:val="false"/>
      <w:bCs w:val="false"/>
      <w:i w:val="false"/>
      <w:iCs w:val="false"/>
      <w:caps w:val="false"/>
      <w:smallCaps w:val="false"/>
      <w:strike w:val="false"/>
      <w:dstrike w:val="false"/>
      <w:sz w:val="28"/>
      <w:szCs w:val="28"/>
      <w:u w:val="none"/>
    </w:rPr>
  </w:style>
  <w:style w:type="paragraph" w:styleId="Zkladntext21" w:customStyle="1">
    <w:name w:val="Základní text (2)"/>
    <w:basedOn w:val="Normal"/>
    <w:link w:val="Zkladntext2"/>
    <w:qFormat/>
    <w:pPr>
      <w:widowControl w:val="false"/>
      <w:shd w:val="clear" w:color="auto" w:fill="auto"/>
    </w:pPr>
    <w:rPr>
      <w:rFonts w:ascii="Arial" w:hAnsi="Arial" w:eastAsia="Arial" w:cs="Arial"/>
      <w:b w:val="false"/>
      <w:bCs w:val="false"/>
      <w:i w:val="false"/>
      <w:iCs w:val="false"/>
      <w:caps w:val="false"/>
      <w:smallCaps w:val="false"/>
      <w:strike w:val="false"/>
      <w:dstrike w:val="false"/>
      <w:sz w:val="9"/>
      <w:szCs w:val="9"/>
      <w:u w:val="none"/>
    </w:rPr>
  </w:style>
  <w:style w:type="paragraph" w:styleId="Nadpis21" w:customStyle="1">
    <w:name w:val="Nadpis #2"/>
    <w:basedOn w:val="Normal"/>
    <w:link w:val="Nadpis2"/>
    <w:qFormat/>
    <w:pPr>
      <w:widowControl w:val="false"/>
      <w:shd w:val="clear" w:color="auto" w:fill="auto"/>
      <w:ind w:firstLine="310"/>
      <w:outlineLvl w:val="1"/>
    </w:pPr>
    <w:rPr>
      <w:rFonts w:ascii="Segoe UI" w:hAnsi="Segoe UI" w:eastAsia="Segoe UI" w:cs="Segoe UI"/>
      <w:b w:val="false"/>
      <w:bCs w:val="false"/>
      <w:i w:val="false"/>
      <w:iCs w:val="false"/>
      <w:caps w:val="false"/>
      <w:smallCaps w:val="false"/>
      <w:strike w:val="false"/>
      <w:dstrike w:val="false"/>
      <w:sz w:val="24"/>
      <w:szCs w:val="24"/>
      <w:u w:val="none"/>
    </w:rPr>
  </w:style>
  <w:style w:type="paragraph" w:styleId="Zkladntext31" w:customStyle="1">
    <w:name w:val="Základní text (3)"/>
    <w:basedOn w:val="Normal"/>
    <w:link w:val="Zkladntext3"/>
    <w:qFormat/>
    <w:pPr>
      <w:widowControl w:val="false"/>
      <w:shd w:val="clear" w:color="auto" w:fill="auto"/>
      <w:spacing w:lineRule="auto" w:line="278"/>
    </w:pPr>
    <w:rPr>
      <w:rFonts w:ascii="Arial" w:hAnsi="Arial" w:eastAsia="Arial" w:cs="Arial"/>
      <w:b w:val="false"/>
      <w:bCs w:val="false"/>
      <w:i w:val="false"/>
      <w:iCs w:val="false"/>
      <w:caps w:val="false"/>
      <w:smallCaps w:val="false"/>
      <w:strike w:val="false"/>
      <w:dstrike w:val="false"/>
      <w:sz w:val="13"/>
      <w:szCs w:val="13"/>
      <w:u w:val="none"/>
    </w:rPr>
  </w:style>
  <w:style w:type="paragraph" w:styleId="Obsahrmceuser">
    <w:name w:val="Obsah rámce (user)"/>
    <w:basedOn w:val="Normal"/>
    <w:qFormat/>
    <w:pPr/>
    <w:rPr/>
  </w:style>
  <w:style w:type="paragraph" w:styleId="Obsahrmce">
    <w:name w:val="Obsah rám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79</TotalTime>
  <Application>LibreOffice/24.8.5.2$Windows_X86_64 LibreOffice_project/fddf2685c70b461e7832239a0162a77216259f22</Application>
  <AppVersion>15.0000</AppVersion>
  <Pages>10</Pages>
  <Words>4316</Words>
  <Characters>24862</Characters>
  <CharactersWithSpaces>28798</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2025-03-19T07:43:16Z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