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ab/>
        <w:tab/>
        <w:tab/>
        <w:tab/>
        <w:tab/>
        <w:tab/>
        <w:tab/>
        <w:t xml:space="preserve">                  </w:t>
      </w:r>
      <w:r>
        <w:rPr>
          <w:rFonts w:cs="Arial" w:ascii="Arial" w:hAnsi="Arial"/>
          <w:b/>
          <w:bCs/>
          <w:sz w:val="20"/>
        </w:rPr>
        <w:tab/>
        <w:tab/>
        <w:t xml:space="preserve">                   </w:t>
      </w:r>
    </w:p>
    <w:p>
      <w:pPr>
        <w:pStyle w:val="Normal"/>
        <w:jc w:val="center"/>
        <w:rPr>
          <w:b/>
          <w:b/>
          <w:color w:val="000000"/>
          <w:sz w:val="44"/>
        </w:rPr>
      </w:pPr>
      <w:r>
        <w:rPr>
          <w:b/>
          <w:color w:val="000000"/>
          <w:sz w:val="44"/>
        </w:rPr>
        <w:t>Kupní smlouva číslo 46/2025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(</w:t>
      </w:r>
      <w:r>
        <w:rPr>
          <w:b/>
          <w:bCs/>
        </w:rPr>
        <w:t>T004/25V/00005638</w:t>
      </w:r>
      <w:r>
        <w:rPr>
          <w:color w:val="000000"/>
        </w:rPr>
        <w:t>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  <w:t>uzavřená podle Zákona č. 89/2012 Sb. Občanský zákoník v platném znění, mezi níže uvedenými stranami a za podmínek dále uvedených</w:t>
      </w:r>
    </w:p>
    <w:p>
      <w:pPr>
        <w:pStyle w:val="Normal"/>
        <w:jc w:val="both"/>
        <w:rPr>
          <w:b/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I. </w:t>
      </w:r>
    </w:p>
    <w:p>
      <w:pPr>
        <w:pStyle w:val="Normal"/>
        <w:jc w:val="center"/>
        <w:rPr>
          <w:b/>
          <w:b/>
        </w:rPr>
      </w:pPr>
      <w:r>
        <w:rPr>
          <w:b/>
        </w:rPr>
        <w:t>Smluvní strany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>
          <w:b/>
        </w:rPr>
        <w:t>Kupující:</w:t>
      </w:r>
      <w:r>
        <w:rPr/>
        <w:tab/>
      </w:r>
      <w:r>
        <w:rPr>
          <w:b/>
        </w:rPr>
        <w:t>Psychiatrická nemocnice Havlíčkův Brod</w:t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/>
        <w:tab/>
        <w:t>580 23, Havlíčkův Brod, Rozkošská 2322</w:t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/>
        <w:tab/>
        <w:t>Zastoupená: Mgr. Markéta Holubová, ředitelka</w:t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/>
        <w:tab/>
        <w:t>IČO: 00179230</w:t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/>
        <w:t xml:space="preserve">                            </w:t>
      </w:r>
      <w:r>
        <w:rPr/>
        <w:t>DIČ: CZ00179230</w:t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/>
        <w:tab/>
        <w:t xml:space="preserve">Bankovní spojení: ČNB pobočka Hradec Králové </w:t>
      </w:r>
    </w:p>
    <w:p>
      <w:pPr>
        <w:pStyle w:val="Normal"/>
        <w:tabs>
          <w:tab w:val="clear" w:pos="708"/>
          <w:tab w:val="left" w:pos="1701" w:leader="none"/>
        </w:tabs>
        <w:rPr/>
      </w:pPr>
      <w:r>
        <w:rPr/>
        <w:t xml:space="preserve">                            </w:t>
      </w:r>
      <w:r>
        <w:rPr/>
        <w:t>Číslo účtu: 14235521/0710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</w:t>
      </w:r>
      <w:r>
        <w:rPr/>
        <w:t>Pověřen jednáním ve věcech smluvních a technických: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 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                       </w:t>
      </w:r>
      <w:r>
        <w:rPr/>
        <w:t xml:space="preserve">tel:  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                       </w:t>
      </w:r>
      <w:r>
        <w:rPr/>
        <w:t xml:space="preserve">e-mail:                     </w:t>
        <w:tab/>
        <w:tab/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  <w:t>a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/>
      </w:pPr>
      <w:r>
        <w:rPr>
          <w:b/>
        </w:rPr>
        <w:t>Prodávající:</w:t>
      </w:r>
      <w:r>
        <w:rPr/>
        <w:tab/>
      </w:r>
      <w:r>
        <w:rPr>
          <w:b/>
          <w:bCs/>
        </w:rPr>
        <w:t>Továrna na dokonalé programy, s.r.o.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/>
      </w:pPr>
      <w:r>
        <w:rPr/>
        <w:tab/>
        <w:t>Sídlo firmy: Bohúňova 1336/13, Chodov, 149 00 Praha 4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/>
      </w:pPr>
      <w:r>
        <w:rPr/>
        <w:tab/>
        <w:t>Zastoupená: Ing. Václav Šamša, jednatel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/>
      </w:pPr>
      <w:r>
        <w:rPr/>
        <w:t xml:space="preserve">                            </w:t>
      </w:r>
      <w:r>
        <w:rPr/>
        <w:tab/>
        <w:t>IČO: 45272638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/>
      </w:pPr>
      <w:r>
        <w:rPr/>
        <w:tab/>
        <w:t>DIČ: CZ45272638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/>
      </w:pPr>
      <w:r>
        <w:rPr/>
        <w:tab/>
        <w:t>Bankovní spojení: Komerční banka Praha 4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/>
      </w:pPr>
      <w:r>
        <w:rPr/>
        <w:t xml:space="preserve">                            </w:t>
      </w:r>
      <w:r>
        <w:rPr/>
        <w:t>Číslo účtu: 844 345 041/0100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</w:t>
      </w:r>
      <w:r>
        <w:rPr/>
        <w:t>Pověřen jednáním ve věcech technických: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                       </w:t>
      </w:r>
      <w:r>
        <w:rPr/>
        <w:t xml:space="preserve">tel:                        , mob.  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                       </w:t>
      </w:r>
      <w:r>
        <w:rPr/>
        <w:t xml:space="preserve">e-mail: 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</w:t>
      </w:r>
      <w:r>
        <w:rPr/>
        <w:t>Pověřen jednáním ve věcech smluvních: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/>
      </w:pPr>
      <w:r>
        <w:rPr/>
        <w:t xml:space="preserve">                                                   </w:t>
      </w:r>
      <w:r>
        <w:rPr/>
        <w:t xml:space="preserve">tel:                        , mob.  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rPr/>
      </w:pPr>
      <w:r>
        <w:rPr>
          <w:b/>
        </w:rPr>
        <w:t xml:space="preserve">                                           </w:t>
      </w:r>
      <w:r>
        <w:rPr/>
        <w:t xml:space="preserve">        </w:t>
      </w:r>
      <w:r>
        <w:rPr/>
        <w:t>e</w:t>
      </w:r>
      <w:r>
        <w:rPr/>
        <w:t>-mail:</w:t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tabs>
          <w:tab w:val="clear" w:pos="708"/>
          <w:tab w:val="left" w:pos="1418" w:leader="none"/>
          <w:tab w:val="left" w:pos="1701" w:leader="none"/>
        </w:tabs>
        <w:jc w:val="both"/>
        <w:rPr>
          <w:rFonts w:ascii="Bookman Old Style" w:hAnsi="Bookman Old Style" w:cs="Bookman Old Style"/>
          <w:sz w:val="22"/>
        </w:rPr>
      </w:pPr>
      <w:r>
        <w:rPr>
          <w:rFonts w:cs="Bookman Old Style" w:ascii="Bookman Old Style" w:hAnsi="Bookman Old Style"/>
          <w:sz w:val="2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II.</w:t>
      </w:r>
    </w:p>
    <w:p>
      <w:pPr>
        <w:pStyle w:val="Normal"/>
        <w:jc w:val="center"/>
        <w:rPr>
          <w:b/>
          <w:b/>
        </w:rPr>
      </w:pPr>
      <w:r>
        <w:rPr>
          <w:b/>
        </w:rPr>
        <w:t>Předmět smlouvy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15" w:hanging="0"/>
        <w:rPr/>
      </w:pPr>
      <w:r>
        <w:rPr/>
        <w:t xml:space="preserve">1. Předmětem plnění je </w:t>
      </w:r>
      <w:r>
        <w:rPr>
          <w:rFonts w:eastAsia="MS Mincho;MS Gothic"/>
        </w:rPr>
        <w:t xml:space="preserve">dodávka 250 ks licencí Open Workgroup Suite včetně roční maintenance: </w:t>
      </w:r>
      <w:r>
        <w:rPr>
          <w:b/>
        </w:rPr>
        <w:t xml:space="preserve">licence Secure Messaging Gateway for Groupwise </w:t>
      </w:r>
      <w:r>
        <w:rPr>
          <w:rFonts w:eastAsia="MS Mincho;MS Gothic"/>
        </w:rPr>
        <w:t>pro Psychiatrickou nemocnici Havlíčkův Brod</w:t>
      </w:r>
      <w:r>
        <w:rPr/>
        <w:t xml:space="preserve"> (dále jen „dodávka/služba“) v provedení a kvalitě vymezené zadávací dokumentací k veřejné zakázce, nabídkou zhotovitele v rámci zadávacího řízení a souvisejícími normami a předpisy.</w:t>
      </w:r>
    </w:p>
    <w:p>
      <w:pPr>
        <w:pStyle w:val="Normal"/>
        <w:jc w:val="both"/>
        <w:rPr/>
      </w:pPr>
      <w:r>
        <w:rPr/>
        <w:t xml:space="preserve">2. Kupující se touto smlouvou zavazuje řádnou dodávku od prodávajícího odebrat a zaplatit kupní cenu dle příslušných ustanovení této smlouvy. </w:t>
      </w:r>
    </w:p>
    <w:p>
      <w:pPr>
        <w:pStyle w:val="Normal"/>
        <w:jc w:val="both"/>
        <w:rPr/>
      </w:pPr>
      <w:r>
        <w:rPr/>
        <w:t>3. Dodávka se považuje dle této smlouvy za splněnou, pokud bude řádně předána kupujícímu v místě plnění. Předání a převzetí bude potvrzeno podpisem dodacího listu / zápisu o předání a převzetí oprávněnými zástupci obou stran.</w:t>
      </w:r>
    </w:p>
    <w:p>
      <w:pPr>
        <w:pStyle w:val="Normal"/>
        <w:jc w:val="both"/>
        <w:rPr/>
      </w:pPr>
      <w:r>
        <w:rPr/>
        <w:t>4. Kupující nabývá vlastnické právo k dodávce okamžikem jejího převzetí.</w:t>
      </w:r>
    </w:p>
    <w:p>
      <w:pPr>
        <w:pStyle w:val="Normal"/>
        <w:jc w:val="both"/>
        <w:rPr/>
      </w:pPr>
      <w:r>
        <w:rPr/>
        <w:t xml:space="preserve">5. Závaznými podklady, kterými se sjednává obsah, rozsah, způsob provedení a kvalita dodávky </w:t>
      </w:r>
    </w:p>
    <w:p>
      <w:pPr>
        <w:pStyle w:val="Normal"/>
        <w:tabs>
          <w:tab w:val="clear" w:pos="708"/>
          <w:tab w:val="left" w:pos="1701" w:leader="none"/>
          <w:tab w:val="left" w:pos="3119" w:leader="none"/>
          <w:tab w:val="left" w:pos="4962" w:leader="none"/>
        </w:tabs>
        <w:jc w:val="both"/>
        <w:rPr/>
      </w:pPr>
      <w:r>
        <w:rPr/>
        <w:t xml:space="preserve">    </w:t>
      </w:r>
      <w:r>
        <w:rPr/>
        <w:t>je a jsou: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1701" w:leader="none"/>
          <w:tab w:val="left" w:pos="3119" w:leader="none"/>
          <w:tab w:val="left" w:pos="4962" w:leader="none"/>
        </w:tabs>
        <w:jc w:val="both"/>
        <w:rPr/>
      </w:pPr>
      <w:r>
        <w:rPr/>
        <w:t xml:space="preserve">zadávací dokumentace k veřejné zakázce vč. technické specifikace </w:t>
      </w:r>
    </w:p>
    <w:p>
      <w:pPr>
        <w:pStyle w:val="Normal"/>
        <w:widowControl/>
        <w:numPr>
          <w:ilvl w:val="0"/>
          <w:numId w:val="10"/>
        </w:numPr>
        <w:tabs>
          <w:tab w:val="clear" w:pos="708"/>
          <w:tab w:val="left" w:pos="1701" w:leader="none"/>
          <w:tab w:val="left" w:pos="3119" w:leader="none"/>
          <w:tab w:val="left" w:pos="4962" w:leader="none"/>
        </w:tabs>
        <w:jc w:val="both"/>
        <w:rPr/>
      </w:pPr>
      <w:r>
        <w:rPr/>
        <w:t>nabídkou prodávajícího podanou v rámci zadávacího řízení</w:t>
      </w:r>
    </w:p>
    <w:p>
      <w:pPr>
        <w:pStyle w:val="Normal"/>
        <w:widowControl/>
        <w:tabs>
          <w:tab w:val="clear" w:pos="708"/>
          <w:tab w:val="left" w:pos="1701" w:leader="none"/>
          <w:tab w:val="left" w:pos="3119" w:leader="none"/>
          <w:tab w:val="left" w:pos="4962" w:leader="none"/>
        </w:tabs>
        <w:ind w:left="284" w:hanging="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Tlotextu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III.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Kupní cena </w:t>
      </w:r>
    </w:p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numPr>
          <w:ilvl w:val="0"/>
          <w:numId w:val="7"/>
        </w:numPr>
        <w:ind w:left="284" w:hanging="284"/>
        <w:jc w:val="both"/>
        <w:rPr/>
      </w:pPr>
      <w:r>
        <w:rPr>
          <w:b/>
        </w:rPr>
        <w:t>Celková kupní cena       158.500,- Kč bez DPH</w:t>
      </w:r>
    </w:p>
    <w:p>
      <w:pPr>
        <w:pStyle w:val="Normal"/>
        <w:widowControl/>
        <w:ind w:left="284" w:hanging="0"/>
        <w:jc w:val="both"/>
        <w:rPr/>
      </w:pPr>
      <w:r>
        <w:rPr>
          <w:b/>
        </w:rPr>
        <w:t xml:space="preserve">                                           </w:t>
      </w:r>
      <w:r>
        <w:rPr>
          <w:b/>
        </w:rPr>
        <w:t>33.285,- Kč DPH</w:t>
      </w:r>
    </w:p>
    <w:p>
      <w:pPr>
        <w:pStyle w:val="Normal"/>
        <w:widowControl/>
        <w:ind w:left="284" w:hanging="0"/>
        <w:jc w:val="both"/>
        <w:rPr/>
      </w:pPr>
      <w:r>
        <w:rPr>
          <w:b/>
        </w:rPr>
        <w:tab/>
        <w:tab/>
        <w:tab/>
        <w:t xml:space="preserve">          191.785,- Kč vč. DPH</w:t>
      </w:r>
    </w:p>
    <w:p>
      <w:pPr>
        <w:pStyle w:val="Normal"/>
        <w:widowControl/>
        <w:ind w:left="284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/>
        <w:ind w:left="284" w:hanging="0"/>
        <w:jc w:val="both"/>
        <w:rPr/>
      </w:pPr>
      <w:r>
        <w:rPr/>
      </w:r>
    </w:p>
    <w:p>
      <w:pPr>
        <w:pStyle w:val="Normal"/>
        <w:widowControl/>
        <w:ind w:left="284" w:hanging="0"/>
        <w:jc w:val="both"/>
        <w:rPr/>
      </w:pPr>
      <w:r>
        <w:rPr/>
        <w:t>Kupní cena byla sjednána na základě výběrového řízení (VZMR).</w:t>
      </w:r>
    </w:p>
    <w:p>
      <w:pPr>
        <w:pStyle w:val="Normal"/>
        <w:widowControl/>
        <w:numPr>
          <w:ilvl w:val="0"/>
          <w:numId w:val="7"/>
        </w:numPr>
        <w:jc w:val="both"/>
        <w:rPr/>
      </w:pPr>
      <w:r>
        <w:rPr/>
        <w:t xml:space="preserve">Kupní cena je cenou konečnou obsahující veškeré náklady dodavatele vč. souvisejících nákladů a poplatků nezbytných pro kompletní realizaci dodávky, včetně nákladů na dopravu, montáž, likvidaci obalů apod. </w:t>
      </w:r>
    </w:p>
    <w:p>
      <w:pPr>
        <w:pStyle w:val="Normal"/>
        <w:widowControl/>
        <w:numPr>
          <w:ilvl w:val="0"/>
          <w:numId w:val="7"/>
        </w:numPr>
        <w:jc w:val="both"/>
        <w:rPr/>
      </w:pPr>
      <w:r>
        <w:rPr/>
        <w:t>DPH k ceně dodávky bude stanoveno v souladu s obecně závaznými předpisy o DPH platnými v čase fakturace.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IV.</w:t>
      </w:r>
    </w:p>
    <w:p>
      <w:pPr>
        <w:pStyle w:val="Normal"/>
        <w:jc w:val="center"/>
        <w:rPr>
          <w:b/>
          <w:b/>
        </w:rPr>
      </w:pPr>
      <w:r>
        <w:rPr>
          <w:b/>
        </w:rPr>
        <w:t>Platební podmínky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numPr>
          <w:ilvl w:val="0"/>
          <w:numId w:val="9"/>
        </w:numPr>
        <w:jc w:val="both"/>
        <w:rPr/>
      </w:pPr>
      <w:r>
        <w:rPr/>
        <w:t>Kupující prohlašuje, že má zajištěno financování nákupu dodávky a zavazuje se prodávajícímu za řádně a bezvadně dodávku zaplatit.</w:t>
      </w:r>
    </w:p>
    <w:p>
      <w:pPr>
        <w:pStyle w:val="Normal"/>
        <w:widowControl/>
        <w:numPr>
          <w:ilvl w:val="0"/>
          <w:numId w:val="9"/>
        </w:numPr>
        <w:jc w:val="both"/>
        <w:rPr/>
      </w:pPr>
      <w:r>
        <w:rPr/>
        <w:t>Kupující nebude prodávajícímu poskytovat zálohu.</w:t>
      </w:r>
    </w:p>
    <w:p>
      <w:pPr>
        <w:pStyle w:val="Normal"/>
        <w:widowControl/>
        <w:numPr>
          <w:ilvl w:val="0"/>
          <w:numId w:val="9"/>
        </w:numPr>
        <w:jc w:val="both"/>
        <w:rPr/>
      </w:pPr>
      <w:r>
        <w:rPr/>
        <w:t xml:space="preserve">Cenu uhradí kupující prodávajícímu na základě vystavené faktury, na základě oběma stranami potvrzeného dodacího listu / protokolu o předání a převzetí dodávky. Bez tohoto dodacího listu je faktura neplatná. </w:t>
      </w:r>
    </w:p>
    <w:p>
      <w:pPr>
        <w:pStyle w:val="Normal"/>
        <w:widowControl/>
        <w:ind w:left="340" w:hanging="340"/>
        <w:jc w:val="both"/>
        <w:rPr/>
      </w:pPr>
      <w:r>
        <w:rPr/>
        <w:t>4.  Faktury musí odpovídat svou povahou pojmu účetního dokladu podle § 11 zákona č.563/1991 Sb., o účetnictví, v platném znění a splňovat náležitosti obsažené v § 29 zákona č. 235/2004 Sb., o dani z přidané hodnoty, ve znění pozdějších předpisů a musí být předložena kupujícímu ve dvou vyhotoveních. Pokud faktura nemá sjednané náležitosti, objednatel je oprávněn ji vrátit zhotoviteli k opravě či doplnění, nejpozději však do 10 dnů pracovních dnů ode dne, kdy ji prokazatelně obdržel. Toto oznámení o vrácení může být učiněno i elektronickou poštou nebo faxem.  V takovém případě se hledí na fakturu jako na nedoručenou a běh lhůt započne, počínaje dnem doručení opraveného dokladu objednateli.</w:t>
      </w:r>
    </w:p>
    <w:p>
      <w:pPr>
        <w:pStyle w:val="Normal"/>
        <w:widowControl/>
        <w:ind w:left="340" w:hanging="340"/>
        <w:jc w:val="both"/>
        <w:rPr/>
      </w:pPr>
      <w:r>
        <w:rPr/>
        <w:t>5.</w:t>
        <w:tab/>
        <w:t xml:space="preserve">Splatnost faktury se stanoví na </w:t>
      </w:r>
      <w:r>
        <w:rPr>
          <w:b/>
        </w:rPr>
        <w:t xml:space="preserve">30 dnů </w:t>
      </w:r>
      <w:r>
        <w:rPr/>
        <w:t>ode dne doručení oprávněné faktury do sídla objednatele Povinnost úhrady je splněna okamžikem předání pokynu k úhradě peněžnímu ústavu. Veškeré platby budou probíhat výhradně v CZK a rovněž veškeré cenové údaje budou v této měně.</w:t>
      </w:r>
    </w:p>
    <w:p>
      <w:pPr>
        <w:pStyle w:val="Normal"/>
        <w:jc w:val="both"/>
        <w:rPr/>
      </w:pPr>
      <w:r>
        <w:rPr/>
        <w:t xml:space="preserve">     </w:t>
      </w:r>
      <w:r>
        <w:rPr>
          <w:b/>
          <w:sz w:val="22"/>
          <w:szCs w:val="22"/>
        </w:rPr>
        <w:t>Faktura bude zasílána pouze elektronicky na e-mailovou adresu: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Spacing"/>
        <w:jc w:val="center"/>
        <w:rPr>
          <w:b/>
          <w:b/>
        </w:rPr>
      </w:pPr>
      <w:r>
        <w:rPr>
          <w:b/>
        </w:rPr>
        <w:t>V.</w:t>
      </w:r>
    </w:p>
    <w:p>
      <w:pPr>
        <w:pStyle w:val="Normal"/>
        <w:jc w:val="center"/>
        <w:rPr>
          <w:b/>
          <w:b/>
        </w:rPr>
      </w:pPr>
      <w:r>
        <w:rPr>
          <w:b/>
        </w:rPr>
        <w:t>Doba platnosti smlouvy a místo plnění</w:t>
      </w:r>
    </w:p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/>
        <w:t>1. Termín dodání</w:t>
      </w:r>
      <w:r>
        <w:rPr>
          <w:lang w:eastAsia="ar-SA" w:bidi="ar-SA"/>
        </w:rPr>
        <w:t>:</w:t>
      </w:r>
      <w:r>
        <w:rPr>
          <w:b/>
          <w:lang w:eastAsia="ar-SA" w:bidi="ar-SA"/>
        </w:rPr>
        <w:t xml:space="preserve"> </w:t>
      </w:r>
      <w:r>
        <w:rPr>
          <w:rFonts w:eastAsia="Times New Roman" w:cs="Times New Roman"/>
          <w:b/>
          <w:lang w:eastAsia="ar-SA" w:bidi="ar-SA"/>
        </w:rPr>
        <w:t>do 12 týdnů od nabytí účinnosti smlouvy</w:t>
      </w:r>
    </w:p>
    <w:p>
      <w:pPr>
        <w:pStyle w:val="Normal"/>
        <w:jc w:val="both"/>
        <w:rPr/>
      </w:pPr>
      <w:r>
        <w:rPr/>
        <w:t>2. Místo plnění smlouvy:</w:t>
      </w:r>
      <w:r>
        <w:rPr>
          <w:b/>
        </w:rPr>
        <w:t xml:space="preserve"> </w:t>
      </w:r>
      <w:r>
        <w:rPr/>
        <w:t>IT oddělení</w:t>
      </w:r>
      <w:r>
        <w:rPr>
          <w:b/>
        </w:rPr>
        <w:t xml:space="preserve"> </w:t>
      </w:r>
      <w:r>
        <w:rPr/>
        <w:t xml:space="preserve">PNHB                                                                                </w:t>
      </w:r>
    </w:p>
    <w:p>
      <w:pPr>
        <w:pStyle w:val="Nadpis1"/>
        <w:numPr>
          <w:ilvl w:val="0"/>
          <w:numId w:val="0"/>
        </w:numPr>
        <w:ind w:left="0" w:hanging="0"/>
        <w:rPr>
          <w:b w:val="false"/>
          <w:b w:val="false"/>
          <w:szCs w:val="24"/>
        </w:rPr>
      </w:pPr>
      <w:r>
        <w:rPr>
          <w:b w:val="false"/>
          <w:szCs w:val="24"/>
        </w:rPr>
        <w:t xml:space="preserve">3. Kupující umožní dodavateli předat dodávku v pracovní dny v době od 07:00 – 14:00 hod. </w:t>
      </w:r>
    </w:p>
    <w:p>
      <w:pPr>
        <w:pStyle w:val="Nadpis1"/>
        <w:numPr>
          <w:ilvl w:val="0"/>
          <w:numId w:val="0"/>
        </w:numPr>
        <w:ind w:left="0" w:hanging="0"/>
        <w:rPr>
          <w:b w:val="false"/>
          <w:b w:val="false"/>
          <w:szCs w:val="24"/>
        </w:rPr>
      </w:pPr>
      <w:r>
        <w:rPr>
          <w:b w:val="false"/>
          <w:szCs w:val="24"/>
        </w:rPr>
        <w:t xml:space="preserve">      </w:t>
      </w:r>
      <w:r>
        <w:rPr>
          <w:b w:val="false"/>
          <w:szCs w:val="24"/>
        </w:rPr>
        <w:t xml:space="preserve">(případně v jiném termínu dle dohody). </w:t>
      </w:r>
    </w:p>
    <w:p>
      <w:pPr>
        <w:pStyle w:val="Normal"/>
        <w:jc w:val="both"/>
        <w:rPr>
          <w:lang w:eastAsia="ar-SA" w:bidi="ar-SA"/>
        </w:rPr>
      </w:pPr>
      <w:r>
        <w:rPr>
          <w:lang w:eastAsia="ar-SA" w:bidi="ar-SA"/>
        </w:rPr>
        <w:t xml:space="preserve"> </w:t>
      </w:r>
    </w:p>
    <w:p>
      <w:pPr>
        <w:pStyle w:val="Normal"/>
        <w:jc w:val="both"/>
        <w:rPr>
          <w:lang w:eastAsia="ar-SA" w:bidi="ar-SA"/>
        </w:rPr>
      </w:pPr>
      <w:r>
        <w:rPr>
          <w:lang w:eastAsia="ar-SA" w:bidi="ar-SA"/>
        </w:rPr>
      </w:r>
    </w:p>
    <w:p>
      <w:pPr>
        <w:pStyle w:val="Normal"/>
        <w:jc w:val="both"/>
        <w:rPr>
          <w:lang w:eastAsia="ar-SA" w:bidi="ar-SA"/>
        </w:rPr>
      </w:pPr>
      <w:r>
        <w:rPr>
          <w:lang w:eastAsia="ar-SA" w:bidi="ar-SA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VI.</w:t>
      </w:r>
    </w:p>
    <w:p>
      <w:pPr>
        <w:pStyle w:val="Normal"/>
        <w:jc w:val="center"/>
        <w:rPr>
          <w:b/>
          <w:b/>
        </w:rPr>
      </w:pPr>
      <w:r>
        <w:rPr>
          <w:b/>
        </w:rPr>
        <w:t>Předání a převzetí</w:t>
      </w:r>
    </w:p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numPr>
          <w:ilvl w:val="0"/>
          <w:numId w:val="4"/>
        </w:numPr>
        <w:jc w:val="both"/>
        <w:rPr/>
      </w:pPr>
      <w:r>
        <w:rPr/>
        <w:t>Prodávající dodá dodávku na svůj náklad a své nebezpečí, řádně a v čase vymezeném touto kupní smlouvou.</w:t>
      </w:r>
    </w:p>
    <w:p>
      <w:pPr>
        <w:pStyle w:val="Normal"/>
        <w:widowControl/>
        <w:numPr>
          <w:ilvl w:val="0"/>
          <w:numId w:val="4"/>
        </w:numPr>
        <w:jc w:val="both"/>
        <w:rPr/>
      </w:pPr>
      <w:r>
        <w:rPr/>
        <w:t>Prodávající se zavazuje dodat dodávku v kvalitě odpovídající účelu této smlouvy, právním předpisům a závazným normám.</w:t>
      </w:r>
    </w:p>
    <w:p>
      <w:pPr>
        <w:pStyle w:val="Normal"/>
        <w:widowControl/>
        <w:numPr>
          <w:ilvl w:val="0"/>
          <w:numId w:val="4"/>
        </w:numPr>
        <w:jc w:val="both"/>
        <w:rPr/>
      </w:pPr>
      <w:r>
        <w:rPr/>
        <w:t xml:space="preserve">Kupující se zavazuje řádné a bezvadně dodanou dodávku od prodávajícího převzít. Řádně a bezvadně dodanou dodávkou se rozumí taková, která je bez vad a nedostatků, jež nebrání její užívání. </w:t>
      </w:r>
    </w:p>
    <w:p>
      <w:pPr>
        <w:pStyle w:val="Normal"/>
        <w:widowControl/>
        <w:numPr>
          <w:ilvl w:val="0"/>
          <w:numId w:val="4"/>
        </w:numPr>
        <w:jc w:val="both"/>
        <w:rPr/>
      </w:pPr>
      <w:r>
        <w:rPr/>
        <w:t>Předání a převzetí dodávky nastane po její prohlídce a okamžikem podpisu protokolu o předání a převzetí oběma smluvními stranami.</w:t>
      </w:r>
    </w:p>
    <w:p>
      <w:pPr>
        <w:pStyle w:val="Normal"/>
        <w:numPr>
          <w:ilvl w:val="0"/>
          <w:numId w:val="4"/>
        </w:numPr>
        <w:jc w:val="both"/>
        <w:rPr/>
      </w:pPr>
      <w:r>
        <w:rPr>
          <w:color w:val="000000"/>
        </w:rPr>
        <w:t xml:space="preserve">Kupující je oprávněn ke kontrole dodávky prostřednictvím oprávněné osoby: </w:t>
      </w:r>
      <w:r>
        <w:rPr>
          <w:b/>
          <w:color w:val="000000"/>
        </w:rPr>
        <w:t xml:space="preserve"> </w:t>
      </w:r>
    </w:p>
    <w:p>
      <w:pPr>
        <w:pStyle w:val="Normal"/>
        <w:numPr>
          <w:ilvl w:val="0"/>
          <w:numId w:val="0"/>
        </w:numPr>
        <w:ind w:left="283" w:hanging="0"/>
        <w:jc w:val="both"/>
        <w:rPr>
          <w:b/>
          <w:b/>
          <w:color w:val="000000"/>
        </w:rPr>
      </w:pPr>
      <w:r>
        <w:rPr/>
      </w:r>
    </w:p>
    <w:p>
      <w:pPr>
        <w:pStyle w:val="Normal"/>
        <w:numPr>
          <w:ilvl w:val="0"/>
          <w:numId w:val="4"/>
        </w:numPr>
        <w:jc w:val="both"/>
        <w:rPr/>
      </w:pPr>
      <w:r>
        <w:rPr/>
        <w:t xml:space="preserve">Osobou odpovědnou za koordinaci ze strany dodavatele je: </w:t>
      </w:r>
      <w:r>
        <w:rPr>
          <w:b/>
          <w:bCs/>
        </w:rPr>
        <w:t xml:space="preserve"> </w:t>
      </w:r>
    </w:p>
    <w:p>
      <w:pPr>
        <w:pStyle w:val="Normal"/>
        <w:numPr>
          <w:ilvl w:val="0"/>
          <w:numId w:val="4"/>
        </w:numPr>
        <w:rPr/>
      </w:pPr>
      <w:r>
        <w:rPr/>
        <w:t>Prodávající prohlašuje, že zboží odpovídá všem požadavkům stanoveným obecně závaznými právními předpisy, zejména zákonem č. 22/1997 Sb., o technických požadavcích na výrobky, v platném znění a normám ČSN a že zboží je/bude vyrobeno dle příslušných norem EU.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VII.</w:t>
      </w:r>
    </w:p>
    <w:p>
      <w:pPr>
        <w:pStyle w:val="Normal"/>
        <w:jc w:val="center"/>
        <w:rPr>
          <w:b/>
          <w:b/>
        </w:rPr>
      </w:pPr>
      <w:r>
        <w:rPr>
          <w:b/>
        </w:rPr>
        <w:t>Záruka na dodané zboží</w:t>
      </w:r>
    </w:p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numPr>
          <w:ilvl w:val="0"/>
          <w:numId w:val="3"/>
        </w:numPr>
        <w:jc w:val="both"/>
        <w:rPr/>
      </w:pPr>
      <w:r>
        <w:rPr/>
        <w:t xml:space="preserve">Na dodanou a kupujícím převzatou dodávku poskytuje prodávající záruku. Záruční doba trvá 12 </w:t>
      </w:r>
      <w:r>
        <w:rPr>
          <w:b/>
        </w:rPr>
        <w:t>měsíců</w:t>
      </w:r>
      <w:r>
        <w:rPr/>
        <w:t xml:space="preserve"> a začíná běžet dnem předání a převzetí dodávky. </w:t>
      </w:r>
    </w:p>
    <w:p>
      <w:pPr>
        <w:pStyle w:val="Normal"/>
        <w:widowControl/>
        <w:numPr>
          <w:ilvl w:val="0"/>
          <w:numId w:val="3"/>
        </w:numPr>
        <w:jc w:val="both"/>
        <w:rPr/>
      </w:pPr>
      <w:r>
        <w:rPr/>
        <w:t xml:space="preserve">Má-li dodávka zjevné vady, kupující není povinen toto zboží převzít. Prodávající se zavazuje </w:t>
      </w:r>
      <w:r>
        <w:rPr>
          <w:b/>
        </w:rPr>
        <w:t xml:space="preserve">do </w:t>
      </w:r>
      <w:r>
        <w:rPr/>
        <w:t>30</w:t>
      </w:r>
      <w:r>
        <w:rPr>
          <w:b/>
          <w:shd w:fill="FFFF00" w:val="clear"/>
        </w:rPr>
        <w:t xml:space="preserve"> </w:t>
      </w:r>
      <w:r>
        <w:rPr>
          <w:b/>
        </w:rPr>
        <w:t xml:space="preserve">pracovních dnů </w:t>
      </w:r>
      <w:r>
        <w:rPr/>
        <w:t>nahradit takové zboží bezvadným.</w:t>
      </w:r>
    </w:p>
    <w:p>
      <w:pPr>
        <w:pStyle w:val="Normal"/>
        <w:widowControl/>
        <w:numPr>
          <w:ilvl w:val="0"/>
          <w:numId w:val="3"/>
        </w:numPr>
        <w:jc w:val="both"/>
        <w:rPr/>
      </w:pPr>
      <w:r>
        <w:rPr/>
        <w:t xml:space="preserve">Reklamace skrytých vad uplatní kupující u prodávajícího nejpozději do tří dnů, a to elektronickou poštou na adrese: </w:t>
      </w:r>
      <w:r>
        <w:rPr>
          <w:b/>
          <w:bCs/>
        </w:rPr>
        <w:t xml:space="preserve">              </w:t>
      </w:r>
      <w:r>
        <w:rPr>
          <w:b/>
        </w:rPr>
        <w:t xml:space="preserve"> </w:t>
      </w:r>
      <w:r>
        <w:rPr/>
        <w:t>Prodávající se zavazuje vyřídit reklamaci bez zbytečného odkladu, nejdéle do tří pracovních dnů.</w:t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widowControl/>
        <w:jc w:val="both"/>
        <w:rPr>
          <w:color w:val="000000"/>
          <w:sz w:val="22"/>
        </w:rPr>
      </w:pPr>
      <w:r>
        <w:rPr>
          <w:color w:val="000000"/>
          <w:sz w:val="22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VIII. </w:t>
      </w:r>
    </w:p>
    <w:p>
      <w:pPr>
        <w:pStyle w:val="Normal"/>
        <w:jc w:val="center"/>
        <w:rPr>
          <w:b/>
          <w:b/>
        </w:rPr>
      </w:pPr>
      <w:r>
        <w:rPr>
          <w:b/>
        </w:rPr>
        <w:t>Odpovědnost za vady v záruční době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Zjistí-li kupující v záruční době vady, je oprávněn a povinen tyto bez zbytečného odkladu písemně u prodávajícího reklamovat. V reklamaci musí být taková vada popsána, případně musí být uvedeno, jak se projevuje.</w:t>
      </w:r>
    </w:p>
    <w:p>
      <w:pPr>
        <w:pStyle w:val="Normal"/>
        <w:widowControl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Za včas uplatněnou reklamaci vady zboží se považuje reklamace odeslaná kupujícím nejpozději v poslední den sjednané záruční lhůty.</w:t>
      </w:r>
    </w:p>
    <w:p>
      <w:pPr>
        <w:pStyle w:val="Normal"/>
        <w:widowControl/>
        <w:numPr>
          <w:ilvl w:val="0"/>
          <w:numId w:val="8"/>
        </w:numPr>
        <w:jc w:val="both"/>
        <w:rPr/>
      </w:pPr>
      <w:r>
        <w:rPr>
          <w:color w:val="000000"/>
        </w:rPr>
        <w:t xml:space="preserve">Nejpozději do 30 </w:t>
      </w:r>
      <w:r>
        <w:rPr>
          <w:b/>
          <w:color w:val="000000"/>
        </w:rPr>
        <w:t>dnů</w:t>
      </w:r>
      <w:r>
        <w:rPr>
          <w:color w:val="000000"/>
        </w:rPr>
        <w:t xml:space="preserve"> po doručení reklamace kupujícího je prodávající povinen dostavit se ke kupujícímu k protokolárnímu ohledání a posouzení reklamované vady. Tento protokol musí obsahovat zejména dohodnutý termín odstranění reklamované vady.</w:t>
      </w:r>
    </w:p>
    <w:p>
      <w:pPr>
        <w:pStyle w:val="Normal"/>
        <w:ind w:left="283" w:hanging="0"/>
        <w:jc w:val="both"/>
        <w:rPr>
          <w:b/>
          <w:b/>
        </w:rPr>
      </w:pPr>
      <w:r>
        <w:rPr>
          <w:b/>
        </w:rPr>
        <w:t>Kontakt pro případné reklamace:</w:t>
      </w:r>
    </w:p>
    <w:p>
      <w:pPr>
        <w:pStyle w:val="Normal"/>
        <w:ind w:left="283" w:hanging="0"/>
        <w:jc w:val="both"/>
        <w:rPr/>
      </w:pPr>
      <w:r>
        <w:rPr>
          <w:b/>
        </w:rPr>
        <w:t xml:space="preserve">- kontaktní osoba:  </w:t>
      </w:r>
    </w:p>
    <w:p>
      <w:pPr>
        <w:pStyle w:val="Normal"/>
        <w:ind w:left="283" w:hanging="0"/>
        <w:jc w:val="both"/>
        <w:rPr/>
      </w:pPr>
      <w:r>
        <w:rPr>
          <w:b/>
        </w:rPr>
        <w:t xml:space="preserve">- telefon:                  </w:t>
      </w:r>
    </w:p>
    <w:p>
      <w:pPr>
        <w:pStyle w:val="Normal"/>
        <w:ind w:left="283" w:hanging="0"/>
        <w:jc w:val="both"/>
        <w:rPr>
          <w:b/>
          <w:b/>
        </w:rPr>
      </w:pPr>
      <w:r>
        <w:rPr>
          <w:b/>
        </w:rPr>
        <w:t xml:space="preserve">- e-mail:                  </w:t>
      </w:r>
    </w:p>
    <w:p>
      <w:pPr>
        <w:pStyle w:val="Normal"/>
        <w:jc w:val="both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"/>
        <w:jc w:val="both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"/>
        <w:jc w:val="both"/>
        <w:rPr>
          <w:b/>
          <w:b/>
          <w:szCs w:val="22"/>
        </w:rPr>
      </w:pPr>
      <w:r>
        <w:rPr>
          <w:b/>
          <w:szCs w:val="2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IX.</w:t>
      </w:r>
    </w:p>
    <w:p>
      <w:pPr>
        <w:pStyle w:val="Normal"/>
        <w:jc w:val="center"/>
        <w:rPr>
          <w:b/>
          <w:b/>
        </w:rPr>
      </w:pPr>
      <w:r>
        <w:rPr>
          <w:b/>
        </w:rPr>
        <w:t>Smluvní pokuty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numPr>
          <w:ilvl w:val="0"/>
          <w:numId w:val="5"/>
        </w:numPr>
        <w:jc w:val="both"/>
        <w:rPr/>
      </w:pPr>
      <w:r>
        <w:rPr/>
        <w:t>Nesplní-li prodávající lhůtu pro dodání dodávky uvedenou v čl. V, odst. 1, zavazuje se uhradit kupujícímu smluvní pokutu ve výši 0,03% z celkové ceny zboží za každý započatý den z prodlení, o jejíž výši se sníží dohodnutá cena za dodávku při fakturaci</w:t>
      </w:r>
    </w:p>
    <w:p>
      <w:pPr>
        <w:pStyle w:val="Normal"/>
        <w:widowControl/>
        <w:numPr>
          <w:ilvl w:val="0"/>
          <w:numId w:val="5"/>
        </w:numPr>
        <w:jc w:val="both"/>
        <w:rPr/>
      </w:pPr>
      <w:r>
        <w:rPr/>
        <w:t>Ujednáními o smluvních pokutách v tomto článku není dotčen nárok každé smluvní strany na náhradu škody, kterou jí svým uvedeným neplněním druhá smluvní strana způsobila.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X.</w:t>
      </w:r>
    </w:p>
    <w:p>
      <w:pPr>
        <w:pStyle w:val="Normal"/>
        <w:jc w:val="center"/>
        <w:rPr>
          <w:b/>
          <w:b/>
        </w:rPr>
      </w:pPr>
      <w:r>
        <w:rPr>
          <w:b/>
        </w:rPr>
        <w:t>Odstoupení od smlouvy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jc w:val="both"/>
        <w:rPr>
          <w:szCs w:val="20"/>
          <w:lang w:eastAsia="ar-SA" w:bidi="ar-SA"/>
        </w:rPr>
      </w:pPr>
      <w:r>
        <w:rPr>
          <w:szCs w:val="20"/>
          <w:lang w:eastAsia="ar-SA" w:bidi="ar-SA"/>
        </w:rPr>
        <w:t>Za podstatné porušení smlouvy opravňující k odstoupení od této smlouvy, smluvní strany považují: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360" w:leader="none"/>
        </w:tabs>
        <w:ind w:left="360" w:hanging="360"/>
        <w:jc w:val="both"/>
        <w:rPr>
          <w:szCs w:val="20"/>
          <w:lang w:eastAsia="ar-SA" w:bidi="ar-SA"/>
        </w:rPr>
      </w:pPr>
      <w:r>
        <w:rPr>
          <w:szCs w:val="20"/>
          <w:lang w:eastAsia="ar-SA" w:bidi="ar-SA"/>
        </w:rPr>
        <w:t>prodávající nedodá nebo neprovede dodávku předmětu koupě v souladu s předmětem plnění této smlouvy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360" w:leader="none"/>
        </w:tabs>
        <w:ind w:left="360" w:hanging="360"/>
        <w:jc w:val="both"/>
        <w:rPr>
          <w:szCs w:val="20"/>
          <w:lang w:eastAsia="ar-SA" w:bidi="ar-SA"/>
        </w:rPr>
      </w:pPr>
      <w:r>
        <w:rPr>
          <w:szCs w:val="20"/>
          <w:lang w:eastAsia="ar-SA" w:bidi="ar-SA"/>
        </w:rPr>
        <w:t>prodávající nedodrží dobu dodání, nebo plnění dodávky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360" w:leader="none"/>
        </w:tabs>
        <w:ind w:left="360" w:hanging="360"/>
        <w:jc w:val="both"/>
        <w:rPr>
          <w:szCs w:val="20"/>
          <w:lang w:eastAsia="ar-SA" w:bidi="ar-SA"/>
        </w:rPr>
      </w:pPr>
      <w:r>
        <w:rPr>
          <w:szCs w:val="20"/>
          <w:lang w:eastAsia="ar-SA" w:bidi="ar-SA"/>
        </w:rPr>
        <w:t>prodávající nedodrží zaručené vlastnosti předmětu koupě podle platných norem a příslušných předpisů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360" w:leader="none"/>
        </w:tabs>
        <w:ind w:left="360" w:hanging="360"/>
        <w:jc w:val="both"/>
        <w:rPr>
          <w:szCs w:val="20"/>
          <w:lang w:eastAsia="ar-SA" w:bidi="ar-SA"/>
        </w:rPr>
      </w:pPr>
      <w:r>
        <w:rPr>
          <w:szCs w:val="20"/>
          <w:lang w:eastAsia="ar-SA" w:bidi="ar-SA"/>
        </w:rPr>
        <w:t>prodávající nedodrží ustanovení o ceně předmětu koupě této smlouvy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360" w:leader="none"/>
        </w:tabs>
        <w:ind w:left="360" w:hanging="360"/>
        <w:jc w:val="both"/>
        <w:rPr>
          <w:szCs w:val="20"/>
          <w:lang w:eastAsia="ar-SA" w:bidi="ar-SA"/>
        </w:rPr>
      </w:pPr>
      <w:r>
        <w:rPr>
          <w:szCs w:val="20"/>
          <w:lang w:eastAsia="ar-SA" w:bidi="ar-SA"/>
        </w:rPr>
        <w:t>prohlášení konkursu na prodávajícího</w:t>
      </w:r>
    </w:p>
    <w:p>
      <w:pPr>
        <w:pStyle w:val="Normal"/>
        <w:widowControl/>
        <w:jc w:val="both"/>
        <w:rPr/>
      </w:pPr>
      <w:r>
        <w:rPr>
          <w:lang w:eastAsia="ar-SA" w:bidi="ar-SA"/>
        </w:rPr>
        <w:t>6.   dojde-li k pro</w:t>
      </w:r>
      <w:r>
        <w:rPr>
          <w:szCs w:val="20"/>
          <w:lang w:eastAsia="ar-SA" w:bidi="ar-SA"/>
        </w:rPr>
        <w:t>dlení úhrady faktury kupujícím, které bude delší jak 90 dnů</w:t>
      </w:r>
    </w:p>
    <w:p>
      <w:pPr>
        <w:pStyle w:val="Normal"/>
        <w:rPr>
          <w:b/>
          <w:b/>
          <w:szCs w:val="20"/>
          <w:lang w:eastAsia="ar-SA" w:bidi="ar-SA"/>
        </w:rPr>
      </w:pPr>
      <w:r>
        <w:rPr>
          <w:b/>
          <w:szCs w:val="20"/>
          <w:lang w:eastAsia="ar-SA" w:bidi="ar-SA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XI.</w:t>
      </w:r>
    </w:p>
    <w:p>
      <w:pPr>
        <w:pStyle w:val="Normal"/>
        <w:jc w:val="center"/>
        <w:rPr>
          <w:b/>
          <w:b/>
        </w:rPr>
      </w:pPr>
      <w:r>
        <w:rPr>
          <w:b/>
        </w:rPr>
        <w:t>Závěrečná ujednání</w:t>
      </w:r>
    </w:p>
    <w:p>
      <w:pPr>
        <w:pStyle w:val="Normal"/>
        <w:jc w:val="center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/>
        <w:t xml:space="preserve">Prodávající není oprávněn bez souhlasu objednatele postoupit třetí osobě jakékoliv své pohledávky    </w:t>
      </w:r>
    </w:p>
    <w:p>
      <w:pPr>
        <w:pStyle w:val="Normal"/>
        <w:widowControl/>
        <w:ind w:left="283" w:hanging="0"/>
        <w:jc w:val="both"/>
        <w:rPr/>
      </w:pPr>
      <w:r>
        <w:rPr/>
        <w:t>za objednatelem vyplývající z této smlouvy.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/>
        <w:t>Ujednání této kupní smlouvy lze změnit, doplnit nebo vypustit pouze písemným, pořadově očíslovaným dodatkem této kupní smlouvy, podepsaným oprávněnými zástupci smluvních stran.</w:t>
      </w:r>
    </w:p>
    <w:p>
      <w:pPr>
        <w:pStyle w:val="Normal"/>
        <w:widowControl/>
        <w:numPr>
          <w:ilvl w:val="0"/>
          <w:numId w:val="6"/>
        </w:numPr>
        <w:jc w:val="both"/>
        <w:rPr/>
      </w:pPr>
      <w:r>
        <w:rPr/>
        <w:t>Pokud v této smlouvě není stanoveno jinak, platí pro právní vztahy touto kupní smlouvou neupravené, příslušná ustanovení občanského zákoníku.</w:t>
      </w:r>
    </w:p>
    <w:p>
      <w:pPr>
        <w:pStyle w:val="Normal"/>
        <w:widowControl/>
        <w:tabs>
          <w:tab w:val="clear" w:pos="708"/>
          <w:tab w:val="left" w:pos="0" w:leader="none"/>
        </w:tabs>
        <w:ind w:left="705" w:hanging="705"/>
        <w:jc w:val="both"/>
        <w:rPr/>
      </w:pPr>
      <w:r>
        <w:rPr/>
        <w:t xml:space="preserve">3.  Prodávající souhlasí se zveřejněním všech náležitostí smluvního vztahu (kupní smlouva, včetně </w:t>
      </w:r>
    </w:p>
    <w:p>
      <w:pPr>
        <w:pStyle w:val="Normal"/>
        <w:widowControl/>
        <w:tabs>
          <w:tab w:val="clear" w:pos="708"/>
          <w:tab w:val="left" w:pos="0" w:leader="none"/>
        </w:tabs>
        <w:ind w:left="705" w:hanging="705"/>
        <w:jc w:val="both"/>
        <w:rPr/>
      </w:pPr>
      <w:r>
        <w:rPr/>
        <w:t xml:space="preserve">    </w:t>
      </w:r>
      <w:r>
        <w:rPr/>
        <w:t xml:space="preserve">všech jejích příloh) na profilu zadavatele. </w:t>
      </w:r>
    </w:p>
    <w:p>
      <w:pPr>
        <w:pStyle w:val="Normal"/>
        <w:widowControl/>
        <w:tabs>
          <w:tab w:val="clear" w:pos="708"/>
          <w:tab w:val="left" w:pos="0" w:leader="none"/>
        </w:tabs>
        <w:ind w:left="705" w:hanging="705"/>
        <w:jc w:val="both"/>
        <w:rPr/>
      </w:pPr>
      <w:r>
        <w:rPr/>
        <w:t xml:space="preserve">4. Tato kupní smlouva je sepsána ve čtyřech stejnopisech, všech s platností originálu, z nichž tři </w:t>
      </w:r>
    </w:p>
    <w:p>
      <w:pPr>
        <w:pStyle w:val="Normal"/>
        <w:widowControl/>
        <w:tabs>
          <w:tab w:val="clear" w:pos="708"/>
          <w:tab w:val="left" w:pos="0" w:leader="none"/>
        </w:tabs>
        <w:ind w:left="705" w:hanging="705"/>
        <w:jc w:val="both"/>
        <w:rPr/>
      </w:pPr>
      <w:r>
        <w:rPr/>
        <w:t xml:space="preserve">     </w:t>
      </w:r>
      <w:r>
        <w:rPr/>
        <w:t>vyhotovení obdrží kupující a jedno vyhotovení prodávající.</w:t>
      </w:r>
    </w:p>
    <w:p>
      <w:pPr>
        <w:pStyle w:val="Normal"/>
        <w:widowControl/>
        <w:jc w:val="both"/>
        <w:rPr/>
      </w:pPr>
      <w:r>
        <w:rPr/>
        <w:t xml:space="preserve">5.  </w:t>
      </w:r>
      <w:r>
        <w:rPr>
          <w:b/>
        </w:rPr>
        <w:t>Tato smlouva nabývá platnosti a účinnosti dnem jejího zveřejnění v registru smluv.</w:t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/>
        <w:t xml:space="preserve">     </w:t>
      </w:r>
      <w:r>
        <w:rPr>
          <w:iCs/>
          <w:shd w:fill="FFFFFF" w:val="clear"/>
        </w:rPr>
        <w:t xml:space="preserve">Strany této smlouvy berou na vědomí, že Psychiatrická nemocnice Havlíčkův Brod je státní      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iCs/>
          <w:shd w:fill="FFFFFF" w:val="clear"/>
        </w:rPr>
      </w:pPr>
      <w:r>
        <w:rPr>
          <w:iCs/>
          <w:shd w:fill="FFFFFF" w:val="clear"/>
        </w:rPr>
        <w:t xml:space="preserve">     </w:t>
      </w:r>
      <w:r>
        <w:rPr>
          <w:iCs/>
          <w:shd w:fill="FFFFFF" w:val="clear"/>
        </w:rPr>
        <w:t xml:space="preserve">příspěvkovou organizací. Může tak mít povinnost zveřejnit tuto smlouvu nebo její části či 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iCs/>
          <w:shd w:fill="FFFFFF" w:val="clear"/>
        </w:rPr>
      </w:pPr>
      <w:r>
        <w:rPr>
          <w:iCs/>
          <w:shd w:fill="FFFFFF" w:val="clear"/>
        </w:rPr>
        <w:t xml:space="preserve">     </w:t>
      </w:r>
      <w:r>
        <w:rPr>
          <w:iCs/>
          <w:shd w:fill="FFFFFF" w:val="clear"/>
        </w:rPr>
        <w:t xml:space="preserve">jakékoliv jiné dokumenty nebo informace vytvořené v rámci tohoto smluvního vztahu, a to např.  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iCs/>
          <w:shd w:fill="FFFFFF" w:val="clear"/>
        </w:rPr>
      </w:pPr>
      <w:r>
        <w:rPr>
          <w:iCs/>
          <w:shd w:fill="FFFFFF" w:val="clear"/>
        </w:rPr>
        <w:t xml:space="preserve">     </w:t>
      </w:r>
      <w:r>
        <w:rPr>
          <w:iCs/>
          <w:shd w:fill="FFFFFF" w:val="clear"/>
        </w:rPr>
        <w:t xml:space="preserve">na profilu zadavatele dle zákona č. 134/2016 Sb., o zadávání veřejných zakázek, v registru smluv  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iCs/>
          <w:shd w:fill="FFFFFF" w:val="clear"/>
        </w:rPr>
      </w:pPr>
      <w:r>
        <w:rPr>
          <w:iCs/>
          <w:shd w:fill="FFFFFF" w:val="clear"/>
        </w:rPr>
        <w:t xml:space="preserve">    </w:t>
      </w:r>
      <w:r>
        <w:rPr>
          <w:iCs/>
          <w:shd w:fill="FFFFFF" w:val="clear"/>
        </w:rPr>
        <w:t xml:space="preserve">dle zákona č. 340/2015 Sb., o registru smluv nebo postupy podle zákona č. 106/1999 Sb., o  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iCs/>
          <w:shd w:fill="FFFFFF" w:val="clear"/>
        </w:rPr>
      </w:pPr>
      <w:r>
        <w:rPr>
          <w:iCs/>
          <w:shd w:fill="FFFFFF" w:val="clear"/>
        </w:rPr>
        <w:t xml:space="preserve">    </w:t>
      </w:r>
      <w:r>
        <w:rPr>
          <w:iCs/>
          <w:shd w:fill="FFFFFF" w:val="clear"/>
        </w:rPr>
        <w:t xml:space="preserve">svobodném přístupu k informacím. Strany této smlouvy s tímto zveřejňováním informací souhlasí. 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V Havlíčkově Brodě dne viz el. podpis</w:t>
        <w:tab/>
        <w:tab/>
        <w:tab/>
        <w:t>V Praze dne viz el. podpis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……………………………</w:t>
      </w:r>
      <w:r>
        <w:rPr/>
        <w:t>.</w:t>
        <w:tab/>
        <w:tab/>
        <w:tab/>
        <w:tab/>
        <w:tab/>
        <w:t xml:space="preserve"> …………………………….</w:t>
        <w:tab/>
      </w:r>
    </w:p>
    <w:p>
      <w:pPr>
        <w:pStyle w:val="Normal"/>
        <w:jc w:val="both"/>
        <w:rPr/>
      </w:pPr>
      <w:r>
        <w:rPr/>
        <w:t xml:space="preserve">    </w:t>
      </w:r>
      <w:r>
        <w:rPr/>
        <w:t>Mgr. Markéta Holubová</w:t>
        <w:tab/>
        <w:tab/>
        <w:t xml:space="preserve">    </w:t>
        <w:tab/>
        <w:t xml:space="preserve">                            Ing. Václav Šamša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>ředitelka PN HB</w:t>
        <w:tab/>
        <w:tab/>
        <w:tab/>
        <w:t xml:space="preserve">            </w:t>
        <w:tab/>
        <w:t xml:space="preserve">               jednatel</w:t>
      </w:r>
    </w:p>
    <w:p>
      <w:pPr>
        <w:pStyle w:val="Tlotextu"/>
        <w:rPr/>
      </w:pPr>
      <w:r>
        <w:rPr>
          <w:rFonts w:cs="Times New Roman"/>
          <w:sz w:val="24"/>
          <w:szCs w:val="24"/>
        </w:rPr>
        <w:tab/>
        <w:t xml:space="preserve">    kupující</w:t>
        <w:tab/>
        <w:tab/>
        <w:tab/>
        <w:tab/>
        <w:tab/>
        <w:tab/>
        <w:t xml:space="preserve">            prodávající</w:t>
        <w:tab/>
      </w:r>
    </w:p>
    <w:p>
      <w:pPr>
        <w:pStyle w:val="Tlotextu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Tlotextu"/>
        <w:jc w:val="both"/>
        <w:rPr>
          <w:rFonts w:cs="Times New Roman"/>
          <w:b/>
          <w:b/>
          <w:sz w:val="24"/>
          <w:szCs w:val="24"/>
          <w:shd w:fill="FFFF00" w:val="clear"/>
        </w:rPr>
      </w:pPr>
      <w:r>
        <w:rPr>
          <w:rFonts w:cs="Times New Roman"/>
          <w:b/>
          <w:sz w:val="24"/>
          <w:szCs w:val="24"/>
          <w:shd w:fill="FFFF00" w:val="clear"/>
        </w:rPr>
      </w:r>
    </w:p>
    <w:p>
      <w:pPr>
        <w:pStyle w:val="Tlotextu"/>
        <w:rPr>
          <w:rFonts w:cs="Times New Roman"/>
          <w:b/>
          <w:b/>
          <w:sz w:val="24"/>
          <w:szCs w:val="24"/>
          <w:shd w:fill="FFFF00" w:val="clear"/>
        </w:rPr>
      </w:pPr>
      <w:r>
        <w:rPr>
          <w:rFonts w:cs="Times New Roman"/>
          <w:b/>
          <w:sz w:val="24"/>
          <w:szCs w:val="24"/>
          <w:shd w:fill="FFFF00" w:val="clear"/>
        </w:rPr>
      </w:r>
    </w:p>
    <w:p>
      <w:pPr>
        <w:pStyle w:val="Tlotextu"/>
        <w:rPr>
          <w:rFonts w:cs="Times New Roman"/>
          <w:b/>
          <w:b/>
          <w:sz w:val="24"/>
          <w:szCs w:val="24"/>
          <w:shd w:fill="FFFF00" w:val="clear"/>
        </w:rPr>
      </w:pPr>
      <w:r>
        <w:rPr>
          <w:rFonts w:cs="Times New Roman"/>
          <w:b/>
          <w:sz w:val="24"/>
          <w:szCs w:val="24"/>
          <w:shd w:fill="FFFF00" w:val="clear"/>
        </w:rPr>
      </w:r>
    </w:p>
    <w:p>
      <w:pPr>
        <w:pStyle w:val="Tlotextu"/>
        <w:rPr>
          <w:rFonts w:cs="Times New Roman"/>
          <w:b/>
          <w:b/>
          <w:sz w:val="24"/>
          <w:szCs w:val="24"/>
          <w:shd w:fill="FFFF00" w:val="clear"/>
        </w:rPr>
      </w:pPr>
      <w:r>
        <w:rPr>
          <w:rFonts w:cs="Times New Roman"/>
          <w:b/>
          <w:sz w:val="24"/>
          <w:szCs w:val="24"/>
          <w:shd w:fill="FFFF00" w:val="clear"/>
        </w:rPr>
      </w:r>
    </w:p>
    <w:p>
      <w:pPr>
        <w:pStyle w:val="Tlotextu"/>
        <w:rPr>
          <w:rFonts w:cs="Times New Roman"/>
          <w:b/>
          <w:b/>
          <w:sz w:val="24"/>
          <w:szCs w:val="24"/>
          <w:shd w:fill="FFFF00" w:val="clear"/>
        </w:rPr>
      </w:pPr>
      <w:r>
        <w:rPr>
          <w:rFonts w:cs="Times New Roman"/>
          <w:b/>
          <w:sz w:val="24"/>
          <w:szCs w:val="24"/>
          <w:shd w:fill="FFFF00" w:val="clear"/>
        </w:rPr>
      </w:r>
    </w:p>
    <w:p>
      <w:pPr>
        <w:pStyle w:val="Tlotextu"/>
        <w:spacing w:before="0" w:after="120"/>
        <w:rPr>
          <w:rFonts w:cs="Times New Roman"/>
          <w:b/>
          <w:b/>
          <w:color w:val="000000"/>
          <w:sz w:val="24"/>
          <w:szCs w:val="24"/>
          <w:shd w:fill="FFFF00" w:val="clear"/>
        </w:rPr>
      </w:pPr>
      <w:r>
        <w:rPr/>
      </w:r>
    </w:p>
    <w:sectPr>
      <w:footerReference w:type="default" r:id="rId2"/>
      <w:type w:val="nextPage"/>
      <w:pgSz w:w="12240" w:h="15840"/>
      <w:pgMar w:left="1247" w:right="1134" w:gutter="0" w:header="0" w:top="70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Arial">
    <w:charset w:val="ee"/>
    <w:family w:val="roman"/>
    <w:pitch w:val="variable"/>
  </w:font>
  <w:font w:name="Mangal">
    <w:altName w:val="Gentium Basic"/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rFonts w:ascii="Times New Roman" w:hAnsi="Times New Roman" w:cs="Times New Roman"/>
      </w:rPr>
    </w:lvl>
    <w:lvl w:ilvl="1">
      <w:start w:val="1"/>
      <w:pStyle w:val="Nadpis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pStyle w:val="Nadpis3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pStyle w:val="Nadpis4"/>
      <w:numFmt w:val="decimal"/>
      <w:lvlText w:val="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pStyle w:val="Nadpis5"/>
      <w:numFmt w:val="decimal"/>
      <w:lvlText w:val="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szCs w:val="20"/>
        <w:rFonts w:ascii="Times New Roman" w:hAnsi="Times New Roman" w:cs="Times New Roman"/>
        <w:lang w:eastAsia="ar-SA" w:bidi="ar-SA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rFonts w:ascii="Times New Roman" w:hAnsi="Times New Roman"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rFonts w:ascii="Times New Roman" w:hAnsi="Times New Roman"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rFonts w:ascii="Times New Roman" w:hAnsi="Times New Roman"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rFonts w:ascii="Times New Roman" w:hAnsi="Times New Roman"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rFonts w:ascii="Times New Roman" w:hAnsi="Times New Roman"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dstrike w:val="false"/>
        <w:strike w:val="false"/>
        <w:sz w:val="22"/>
        <w:i w:val="false"/>
        <w:u w:val="none"/>
        <w:b w:val="false"/>
        <w:rFonts w:ascii="Times New Roman" w:hAnsi="Times New Roman"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cs-CZ" w:eastAsia="zh-CN" w:bidi="hi-IN"/>
    </w:rPr>
  </w:style>
  <w:style w:type="paragraph" w:styleId="Nadpis1">
    <w:name w:val="Heading 1"/>
    <w:basedOn w:val="Normal"/>
    <w:next w:val="Normal"/>
    <w:uiPriority w:val="9"/>
    <w:qFormat/>
    <w:pPr>
      <w:keepNext w:val="true"/>
      <w:widowControl/>
      <w:numPr>
        <w:ilvl w:val="0"/>
        <w:numId w:val="1"/>
      </w:numPr>
      <w:jc w:val="both"/>
      <w:outlineLvl w:val="0"/>
    </w:pPr>
    <w:rPr>
      <w:b/>
      <w:szCs w:val="20"/>
      <w:lang w:bidi="ar-SA"/>
    </w:rPr>
  </w:style>
  <w:style w:type="paragraph" w:styleId="Nadpis2">
    <w:name w:val="Heading 2"/>
    <w:basedOn w:val="Normal"/>
    <w:next w:val="Normal"/>
    <w:uiPriority w:val="9"/>
    <w:semiHidden/>
    <w:unhideWhenUsed/>
    <w:qFormat/>
    <w:pPr>
      <w:keepNext w:val="true"/>
      <w:widowControl/>
      <w:numPr>
        <w:ilvl w:val="1"/>
        <w:numId w:val="1"/>
      </w:numPr>
      <w:jc w:val="both"/>
      <w:outlineLvl w:val="1"/>
    </w:pPr>
    <w:rPr>
      <w:b/>
      <w:color w:val="FF0000"/>
      <w:szCs w:val="20"/>
      <w:lang w:bidi="ar-SA"/>
    </w:rPr>
  </w:style>
  <w:style w:type="paragraph" w:styleId="Nadpis3">
    <w:name w:val="Heading 3"/>
    <w:basedOn w:val="Normal"/>
    <w:next w:val="Normal"/>
    <w:uiPriority w:val="9"/>
    <w:semiHidden/>
    <w:unhideWhenUsed/>
    <w:qFormat/>
    <w:pPr>
      <w:keepNext w:val="true"/>
      <w:widowControl/>
      <w:numPr>
        <w:ilvl w:val="2"/>
        <w:numId w:val="1"/>
      </w:numPr>
      <w:jc w:val="both"/>
      <w:outlineLvl w:val="2"/>
    </w:pPr>
    <w:rPr>
      <w:i/>
      <w:szCs w:val="20"/>
      <w:lang w:bidi="ar-SA"/>
    </w:rPr>
  </w:style>
  <w:style w:type="paragraph" w:styleId="Nadpis4">
    <w:name w:val="Heading 4"/>
    <w:basedOn w:val="Normal"/>
    <w:next w:val="Normal"/>
    <w:uiPriority w:val="9"/>
    <w:semiHidden/>
    <w:unhideWhenUsed/>
    <w:qFormat/>
    <w:pPr>
      <w:keepNext w:val="true"/>
      <w:widowControl/>
      <w:numPr>
        <w:ilvl w:val="3"/>
        <w:numId w:val="1"/>
      </w:numPr>
      <w:tabs>
        <w:tab w:val="clear" w:pos="708"/>
        <w:tab w:val="left" w:pos="1701" w:leader="none"/>
      </w:tabs>
      <w:jc w:val="both"/>
      <w:outlineLvl w:val="3"/>
    </w:pPr>
    <w:rPr>
      <w:color w:val="000000"/>
      <w:szCs w:val="20"/>
      <w:lang w:bidi="ar-SA"/>
    </w:rPr>
  </w:style>
  <w:style w:type="paragraph" w:styleId="Nadpis5">
    <w:name w:val="Heading 5"/>
    <w:basedOn w:val="Normal"/>
    <w:next w:val="Normal"/>
    <w:uiPriority w:val="9"/>
    <w:semiHidden/>
    <w:unhideWhenUsed/>
    <w:qFormat/>
    <w:pPr>
      <w:keepNext w:val="true"/>
      <w:widowControl/>
      <w:numPr>
        <w:ilvl w:val="4"/>
        <w:numId w:val="1"/>
      </w:numPr>
      <w:jc w:val="both"/>
      <w:outlineLvl w:val="4"/>
    </w:pPr>
    <w:rPr>
      <w:b/>
      <w:color w:val="000000"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2z0" w:customStyle="1">
    <w:name w:val="WW8Num2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3z0" w:customStyle="1">
    <w:name w:val="WW8Num3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szCs w:val="20"/>
      <w:u w:val="none"/>
      <w:lang w:eastAsia="ar-SA" w:bidi="ar-SA"/>
    </w:rPr>
  </w:style>
  <w:style w:type="character" w:styleId="WW8Num4z0" w:customStyle="1">
    <w:name w:val="WW8Num4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5z0" w:customStyle="1">
    <w:name w:val="WW8Num5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6z0" w:customStyle="1">
    <w:name w:val="WW8Num6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7z0" w:customStyle="1">
    <w:name w:val="WW8Num7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8z0" w:customStyle="1">
    <w:name w:val="WW8Num8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9z0" w:customStyle="1">
    <w:name w:val="WW8Num9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10z0" w:customStyle="1">
    <w:name w:val="WW8Num10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11z0" w:customStyle="1">
    <w:name w:val="WW8Num11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12z0" w:customStyle="1">
    <w:name w:val="WW8Num12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12z1" w:customStyle="1">
    <w:name w:val="WW8Num12z1"/>
    <w:qFormat/>
    <w:rPr>
      <w:rFonts w:cs="Times New Roman"/>
    </w:rPr>
  </w:style>
  <w:style w:type="character" w:styleId="WW8Num13z0" w:customStyle="1">
    <w:name w:val="WW8Num13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14z0" w:customStyle="1">
    <w:name w:val="WW8Num14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15z0" w:customStyle="1">
    <w:name w:val="WW8Num15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16z0" w:customStyle="1">
    <w:name w:val="WW8Num16z0"/>
    <w:qFormat/>
    <w:rPr>
      <w:rFonts w:ascii="Times New Roman" w:hAnsi="Times New Roman" w:cs="Times New Roman"/>
      <w:b w:val="false"/>
      <w:i w:val="false"/>
      <w:strike w:val="false"/>
      <w:dstrike w:val="false"/>
      <w:sz w:val="22"/>
      <w:u w:val="none"/>
    </w:rPr>
  </w:style>
  <w:style w:type="character" w:styleId="WW8Num17z0" w:customStyle="1">
    <w:name w:val="WW8Num17z0"/>
    <w:qFormat/>
    <w:rPr>
      <w:rFonts w:ascii="Symbol" w:hAnsi="Symbol" w:cs="Symbol"/>
      <w:b w:val="false"/>
      <w:i w:val="false"/>
      <w:strike w:val="false"/>
      <w:dstrike w:val="false"/>
      <w:sz w:val="22"/>
      <w:u w:val="none"/>
    </w:rPr>
  </w:style>
  <w:style w:type="character" w:styleId="WW8Num18z0" w:customStyle="1">
    <w:name w:val="WW8Num18z0"/>
    <w:qFormat/>
    <w:rPr>
      <w:rFonts w:cs="Times New Roman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cs="Times New Roman"/>
      <w:b w:val="false"/>
    </w:rPr>
  </w:style>
  <w:style w:type="character" w:styleId="WW8Num21z1" w:customStyle="1">
    <w:name w:val="WW8Num21z1"/>
    <w:qFormat/>
    <w:rPr>
      <w:rFonts w:cs="Times New Roman"/>
    </w:rPr>
  </w:style>
  <w:style w:type="character" w:styleId="WW8NumSt20z1" w:customStyle="1">
    <w:name w:val="WW8NumSt20z1"/>
    <w:qFormat/>
    <w:rPr/>
  </w:style>
  <w:style w:type="character" w:styleId="WW8NumSt20z2" w:customStyle="1">
    <w:name w:val="WW8NumSt20z2"/>
    <w:qFormat/>
    <w:rPr/>
  </w:style>
  <w:style w:type="character" w:styleId="WW8NumSt20z3" w:customStyle="1">
    <w:name w:val="WW8NumSt20z3"/>
    <w:qFormat/>
    <w:rPr/>
  </w:style>
  <w:style w:type="character" w:styleId="WW8NumSt20z4" w:customStyle="1">
    <w:name w:val="WW8NumSt20z4"/>
    <w:qFormat/>
    <w:rPr/>
  </w:style>
  <w:style w:type="character" w:styleId="WW8NumSt20z5" w:customStyle="1">
    <w:name w:val="WW8NumSt20z5"/>
    <w:qFormat/>
    <w:rPr/>
  </w:style>
  <w:style w:type="character" w:styleId="WW8NumSt20z6" w:customStyle="1">
    <w:name w:val="WW8NumSt20z6"/>
    <w:qFormat/>
    <w:rPr/>
  </w:style>
  <w:style w:type="character" w:styleId="WW8NumSt20z7" w:customStyle="1">
    <w:name w:val="WW8NumSt20z7"/>
    <w:qFormat/>
    <w:rPr/>
  </w:style>
  <w:style w:type="character" w:styleId="WW8NumSt20z8" w:customStyle="1">
    <w:name w:val="WW8NumSt20z8"/>
    <w:qFormat/>
    <w:rPr/>
  </w:style>
  <w:style w:type="character" w:styleId="WW8NumSt26z1" w:customStyle="1">
    <w:name w:val="WW8NumSt26z1"/>
    <w:qFormat/>
    <w:rPr/>
  </w:style>
  <w:style w:type="character" w:styleId="WW8NumSt26z2" w:customStyle="1">
    <w:name w:val="WW8NumSt26z2"/>
    <w:qFormat/>
    <w:rPr/>
  </w:style>
  <w:style w:type="character" w:styleId="WW8NumSt26z3" w:customStyle="1">
    <w:name w:val="WW8NumSt26z3"/>
    <w:qFormat/>
    <w:rPr/>
  </w:style>
  <w:style w:type="character" w:styleId="WW8NumSt26z4" w:customStyle="1">
    <w:name w:val="WW8NumSt26z4"/>
    <w:qFormat/>
    <w:rPr/>
  </w:style>
  <w:style w:type="character" w:styleId="WW8NumSt26z5" w:customStyle="1">
    <w:name w:val="WW8NumSt26z5"/>
    <w:qFormat/>
    <w:rPr/>
  </w:style>
  <w:style w:type="character" w:styleId="WW8NumSt26z6" w:customStyle="1">
    <w:name w:val="WW8NumSt26z6"/>
    <w:qFormat/>
    <w:rPr/>
  </w:style>
  <w:style w:type="character" w:styleId="WW8NumSt26z7" w:customStyle="1">
    <w:name w:val="WW8NumSt26z7"/>
    <w:qFormat/>
    <w:rPr/>
  </w:style>
  <w:style w:type="character" w:styleId="WW8NumSt26z8" w:customStyle="1">
    <w:name w:val="WW8NumSt26z8"/>
    <w:qFormat/>
    <w:rPr/>
  </w:style>
  <w:style w:type="character" w:styleId="WW8NumSt28z1" w:customStyle="1">
    <w:name w:val="WW8NumSt28z1"/>
    <w:qFormat/>
    <w:rPr/>
  </w:style>
  <w:style w:type="character" w:styleId="WW8NumSt28z2" w:customStyle="1">
    <w:name w:val="WW8NumSt28z2"/>
    <w:qFormat/>
    <w:rPr/>
  </w:style>
  <w:style w:type="character" w:styleId="WW8NumSt28z3" w:customStyle="1">
    <w:name w:val="WW8NumSt28z3"/>
    <w:qFormat/>
    <w:rPr/>
  </w:style>
  <w:style w:type="character" w:styleId="WW8NumSt28z4" w:customStyle="1">
    <w:name w:val="WW8NumSt28z4"/>
    <w:qFormat/>
    <w:rPr/>
  </w:style>
  <w:style w:type="character" w:styleId="WW8NumSt28z5" w:customStyle="1">
    <w:name w:val="WW8NumSt28z5"/>
    <w:qFormat/>
    <w:rPr/>
  </w:style>
  <w:style w:type="character" w:styleId="WW8NumSt28z6" w:customStyle="1">
    <w:name w:val="WW8NumSt28z6"/>
    <w:qFormat/>
    <w:rPr/>
  </w:style>
  <w:style w:type="character" w:styleId="WW8NumSt28z7" w:customStyle="1">
    <w:name w:val="WW8NumSt28z7"/>
    <w:qFormat/>
    <w:rPr/>
  </w:style>
  <w:style w:type="character" w:styleId="WW8NumSt28z8" w:customStyle="1">
    <w:name w:val="WW8NumSt28z8"/>
    <w:qFormat/>
    <w:rPr/>
  </w:style>
  <w:style w:type="character" w:styleId="ZkladntextChar" w:customStyle="1">
    <w:name w:val="Základní text Char"/>
    <w:qFormat/>
    <w:rPr>
      <w:rFonts w:cs="Mangal;Gentium Basic"/>
      <w:sz w:val="21"/>
      <w:szCs w:val="21"/>
      <w:lang w:bidi="hi-IN"/>
    </w:rPr>
  </w:style>
  <w:style w:type="character" w:styleId="Internetovodkaz">
    <w:name w:val="Internetový odkaz"/>
    <w:basedOn w:val="DefaultParagraphFont"/>
    <w:uiPriority w:val="99"/>
    <w:unhideWhenUsed/>
    <w:rsid w:val="00fc09a3"/>
    <w:rPr>
      <w:color w:val="0563C1" w:themeColor="hyperlink"/>
      <w:u w:val="single"/>
    </w:rPr>
  </w:style>
  <w:style w:type="character" w:styleId="ZhlavChar" w:customStyle="1">
    <w:name w:val="Záhlaví Char"/>
    <w:qFormat/>
    <w:rPr>
      <w:rFonts w:cs="Mangal;Gentium Basic"/>
      <w:sz w:val="24"/>
      <w:szCs w:val="21"/>
      <w:lang w:bidi="hi-IN"/>
    </w:rPr>
  </w:style>
  <w:style w:type="character" w:styleId="ZpatChar" w:customStyle="1">
    <w:name w:val="Zápatí Char"/>
    <w:qFormat/>
    <w:rPr>
      <w:rFonts w:cs="Mangal;Gentium Basic"/>
      <w:sz w:val="24"/>
      <w:szCs w:val="21"/>
      <w:lang w:bidi="hi-IN"/>
    </w:rPr>
  </w:style>
  <w:style w:type="character" w:styleId="Hlavninadpis" w:customStyle="1">
    <w:name w:val="hlavninadpis"/>
    <w:qFormat/>
    <w:rPr/>
  </w:style>
  <w:style w:type="character" w:styleId="CITE" w:customStyle="1">
    <w:name w:val="CITE"/>
    <w:qFormat/>
    <w:rPr>
      <w:i/>
    </w:rPr>
  </w:style>
  <w:style w:type="character" w:styleId="CODE" w:customStyle="1">
    <w:name w:val="CODE"/>
    <w:qFormat/>
    <w:rPr>
      <w:rFonts w:ascii="Courier New" w:hAnsi="Courier New"/>
      <w:sz w:val="20"/>
    </w:rPr>
  </w:style>
  <w:style w:type="character" w:styleId="Keyboard" w:customStyle="1">
    <w:name w:val="Keyboard"/>
    <w:qFormat/>
    <w:rPr>
      <w:rFonts w:ascii="Courier New" w:hAnsi="Courier New"/>
      <w:b/>
      <w:sz w:val="20"/>
    </w:rPr>
  </w:style>
  <w:style w:type="character" w:styleId="Sample" w:customStyle="1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 w:customStyle="1">
    <w:name w:val="Typewriter"/>
    <w:qFormat/>
    <w:rPr>
      <w:rFonts w:ascii="Courier New" w:hAnsi="Courier New"/>
      <w:sz w:val="20"/>
    </w:rPr>
  </w:style>
  <w:style w:type="character" w:styleId="HTMLMarkup" w:customStyle="1">
    <w:name w:val="HTML Markup"/>
    <w:qFormat/>
    <w:rPr>
      <w:vanish/>
      <w:color w:val="FF0000"/>
    </w:rPr>
  </w:style>
  <w:style w:type="character" w:styleId="Comment" w:customStyle="1">
    <w:name w:val="Comment"/>
    <w:qFormat/>
    <w:rPr>
      <w:vanish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09a3"/>
    <w:rPr>
      <w:color w:val="605E5C"/>
      <w:shd w:fill="E1DFDD" w:val="clear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Arial Unicode MS" w:cs="Mangal;Gentium Basic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rFonts w:cs="Mangal;Gentium Basic"/>
      <w:sz w:val="21"/>
      <w:szCs w:val="21"/>
    </w:rPr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/>
    <w:rPr>
      <w:rFonts w:ascii="Mangal;Gentium Basic" w:hAnsi="Mangal;Gentium Basic" w:cs="Mangal;Gentium Basic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Heading1" w:customStyle="1">
    <w:name w:val="Heading1"/>
    <w:basedOn w:val="Normal"/>
    <w:next w:val="Tlotextu"/>
    <w:qFormat/>
    <w:pPr>
      <w:keepNext w:val="true"/>
      <w:spacing w:before="240" w:after="120"/>
    </w:pPr>
    <w:rPr>
      <w:rFonts w:ascii="Arial" w:hAnsi="Arial" w:eastAsia="Arial Unicode MS" w:cs="Arial"/>
      <w:sz w:val="28"/>
      <w:szCs w:val="28"/>
    </w:rPr>
  </w:style>
  <w:style w:type="paragraph" w:styleId="Index1" w:customStyle="1">
    <w:name w:val="Index1"/>
    <w:basedOn w:val="Normal"/>
    <w:qFormat/>
    <w:pPr/>
    <w:rPr/>
  </w:style>
  <w:style w:type="paragraph" w:styleId="WWHeading" w:customStyle="1">
    <w:name w:val="WW-Heading"/>
    <w:basedOn w:val="Normal"/>
    <w:next w:val="Tlotextu"/>
    <w:qFormat/>
    <w:pPr>
      <w:keepNext w:val="true"/>
      <w:spacing w:before="240" w:after="120"/>
    </w:pPr>
    <w:rPr>
      <w:rFonts w:ascii="Arial" w:hAnsi="Arial" w:eastAsia="Arial Unicode MS" w:cs="Arial"/>
      <w:sz w:val="28"/>
      <w:szCs w:val="28"/>
    </w:rPr>
  </w:style>
  <w:style w:type="paragraph" w:styleId="WWcaption" w:customStyle="1">
    <w:name w:val="WW-caption"/>
    <w:basedOn w:val="Normal"/>
    <w:qFormat/>
    <w:pPr>
      <w:spacing w:before="120" w:after="120"/>
    </w:pPr>
    <w:rPr>
      <w:i/>
      <w:iCs/>
    </w:rPr>
  </w:style>
  <w:style w:type="paragraph" w:styleId="WWIndex" w:customStyle="1">
    <w:name w:val="WW-Index"/>
    <w:basedOn w:val="Normal"/>
    <w:qFormat/>
    <w:pPr/>
    <w:rPr/>
  </w:style>
  <w:style w:type="paragraph" w:styleId="WWHeading1" w:customStyle="1">
    <w:name w:val="WW-Heading1"/>
    <w:basedOn w:val="Normal"/>
    <w:next w:val="Tlotextu"/>
    <w:qFormat/>
    <w:pPr>
      <w:keepNext w:val="true"/>
      <w:spacing w:before="240" w:after="120"/>
    </w:pPr>
    <w:rPr>
      <w:rFonts w:ascii="Arial" w:hAnsi="Arial" w:eastAsia="Arial Unicode MS" w:cs="Arial"/>
      <w:sz w:val="28"/>
      <w:szCs w:val="28"/>
    </w:rPr>
  </w:style>
  <w:style w:type="paragraph" w:styleId="WWcaption1" w:customStyle="1">
    <w:name w:val="WW-caption1"/>
    <w:basedOn w:val="Normal"/>
    <w:qFormat/>
    <w:pPr>
      <w:spacing w:before="120" w:after="120"/>
    </w:pPr>
    <w:rPr>
      <w:i/>
      <w:iCs/>
    </w:rPr>
  </w:style>
  <w:style w:type="paragraph" w:styleId="WWIndex1" w:customStyle="1">
    <w:name w:val="WW-Index1"/>
    <w:basedOn w:val="Normal"/>
    <w:qFormat/>
    <w:pPr/>
    <w:rPr/>
  </w:style>
  <w:style w:type="paragraph" w:styleId="NoSpacing">
    <w:name w:val="No Spacing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Mangal;Gentium Basic"/>
      <w:color w:val="auto"/>
      <w:kern w:val="0"/>
      <w:sz w:val="24"/>
      <w:szCs w:val="21"/>
      <w:lang w:val="cs-CZ" w:eastAsia="zh-CN" w:bidi="hi-IN"/>
    </w:rPr>
  </w:style>
  <w:style w:type="paragraph" w:styleId="Zhlavazpat" w:customStyle="1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cs="Mangal;Gentium Basic"/>
      <w:szCs w:val="21"/>
    </w:rPr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cs="Mangal;Gentium Basic"/>
      <w:szCs w:val="21"/>
    </w:rPr>
  </w:style>
  <w:style w:type="paragraph" w:styleId="DefinitionTerm" w:customStyle="1">
    <w:name w:val="Definition Term"/>
    <w:basedOn w:val="Normal"/>
    <w:qFormat/>
    <w:pPr/>
    <w:rPr/>
  </w:style>
  <w:style w:type="paragraph" w:styleId="DefinitionList" w:customStyle="1">
    <w:name w:val="Definition List"/>
    <w:basedOn w:val="Normal"/>
    <w:qFormat/>
    <w:pPr>
      <w:ind w:left="360" w:hanging="0"/>
    </w:pPr>
    <w:rPr/>
  </w:style>
  <w:style w:type="paragraph" w:styleId="H1" w:customStyle="1">
    <w:name w:val="H1"/>
    <w:basedOn w:val="Normal"/>
    <w:qFormat/>
    <w:pPr>
      <w:keepNext w:val="true"/>
      <w:outlineLvl w:val="1"/>
    </w:pPr>
    <w:rPr>
      <w:b/>
      <w:kern w:val="2"/>
      <w:sz w:val="48"/>
    </w:rPr>
  </w:style>
  <w:style w:type="paragraph" w:styleId="H2" w:customStyle="1">
    <w:name w:val="H2"/>
    <w:basedOn w:val="Normal"/>
    <w:qFormat/>
    <w:pPr>
      <w:keepNext w:val="true"/>
      <w:outlineLvl w:val="2"/>
    </w:pPr>
    <w:rPr>
      <w:b/>
      <w:sz w:val="36"/>
    </w:rPr>
  </w:style>
  <w:style w:type="paragraph" w:styleId="H3" w:customStyle="1">
    <w:name w:val="H3"/>
    <w:basedOn w:val="Normal"/>
    <w:qFormat/>
    <w:pPr>
      <w:keepNext w:val="true"/>
      <w:outlineLvl w:val="3"/>
    </w:pPr>
    <w:rPr>
      <w:b/>
      <w:sz w:val="28"/>
    </w:rPr>
  </w:style>
  <w:style w:type="paragraph" w:styleId="H4" w:customStyle="1">
    <w:name w:val="H4"/>
    <w:basedOn w:val="Normal"/>
    <w:qFormat/>
    <w:pPr>
      <w:keepNext w:val="true"/>
      <w:outlineLvl w:val="4"/>
    </w:pPr>
    <w:rPr>
      <w:b/>
    </w:rPr>
  </w:style>
  <w:style w:type="paragraph" w:styleId="H5" w:customStyle="1">
    <w:name w:val="H5"/>
    <w:basedOn w:val="Normal"/>
    <w:qFormat/>
    <w:pPr>
      <w:keepNext w:val="true"/>
      <w:outlineLvl w:val="5"/>
    </w:pPr>
    <w:rPr>
      <w:b/>
      <w:sz w:val="20"/>
    </w:rPr>
  </w:style>
  <w:style w:type="paragraph" w:styleId="H6" w:customStyle="1">
    <w:name w:val="H6"/>
    <w:basedOn w:val="Normal"/>
    <w:qFormat/>
    <w:pPr>
      <w:keepNext w:val="true"/>
      <w:outlineLvl w:val="6"/>
    </w:pPr>
    <w:rPr>
      <w:b/>
      <w:sz w:val="16"/>
    </w:rPr>
  </w:style>
  <w:style w:type="paragraph" w:styleId="Address" w:customStyle="1">
    <w:name w:val="Address"/>
    <w:basedOn w:val="Normal"/>
    <w:qFormat/>
    <w:pPr/>
    <w:rPr>
      <w:i/>
    </w:rPr>
  </w:style>
  <w:style w:type="paragraph" w:styleId="Blockquote" w:customStyle="1">
    <w:name w:val="Blockquote"/>
    <w:basedOn w:val="Normal"/>
    <w:qFormat/>
    <w:pPr>
      <w:ind w:left="360" w:right="360" w:hanging="0"/>
    </w:pPr>
    <w:rPr/>
  </w:style>
  <w:style w:type="paragraph" w:styleId="Preformatted" w:customStyle="1">
    <w:name w:val="Preformatted"/>
    <w:basedOn w:val="Normal"/>
    <w:qFormat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</w:rPr>
  </w:style>
  <w:style w:type="paragraph" w:styleId="ZBottomofForm" w:customStyle="1">
    <w:name w:val="z-Bottom of Form"/>
    <w:qFormat/>
    <w:pPr>
      <w:widowControl w:val="false"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cs-CZ" w:eastAsia="zh-CN" w:bidi="hi-IN"/>
    </w:rPr>
  </w:style>
  <w:style w:type="paragraph" w:styleId="ZTopofForm" w:customStyle="1">
    <w:name w:val="z-Top of Form"/>
    <w:qFormat/>
    <w:pPr>
      <w:widowControl w:val="false"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cs-CZ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LibreOffice/7.2.0.4$Windows_X86_64 LibreOffice_project/9a9c6381e3f7a62afc1329bd359cc48accb6435b</Application>
  <AppVersion>15.0000</AppVersion>
  <Pages>5</Pages>
  <Words>1319</Words>
  <Characters>7642</Characters>
  <CharactersWithSpaces>9961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2021-06-15T08:34:00Z</dcterms:created>
  <dc:creator>HavlovaRita</dc:creator>
  <dc:description/>
  <cp:keywords>  </cp:keywords>
  <dc:language>cs-CZ</dc:language>
  <cp:lastModifiedBy/>
  <cp:lastPrinted>2025-03-18T13:55:41Z</cp:lastPrinted>
  <dcterms:modified xsi:type="dcterms:W3CDTF">2025-03-19T05:56:52Z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