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7221301021</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Tučapy</w:t>
      </w:r>
    </w:p>
    <w:p>
      <w:pPr>
        <w:pStyle w:val="BodyText"/>
        <w:tabs>
          <w:tab w:pos="2982" w:val="left" w:leader="none"/>
        </w:tabs>
        <w:ind w:left="102" w:right="1770"/>
      </w:pPr>
      <w:r>
        <w:rPr/>
        <w:t>kontaktní adresa:</w:t>
        <w:tab/>
        <w:t>Obecní</w:t>
      </w:r>
      <w:r>
        <w:rPr>
          <w:spacing w:val="-6"/>
        </w:rPr>
        <w:t> </w:t>
      </w:r>
      <w:r>
        <w:rPr/>
        <w:t>úřad</w:t>
      </w:r>
      <w:r>
        <w:rPr>
          <w:spacing w:val="-6"/>
        </w:rPr>
        <w:t> </w:t>
      </w:r>
      <w:r>
        <w:rPr/>
        <w:t>Tučapy,</w:t>
      </w:r>
      <w:r>
        <w:rPr>
          <w:spacing w:val="-5"/>
        </w:rPr>
        <w:t> </w:t>
      </w:r>
      <w:r>
        <w:rPr/>
        <w:t>č.p.</w:t>
      </w:r>
      <w:r>
        <w:rPr>
          <w:spacing w:val="-5"/>
        </w:rPr>
        <w:t> </w:t>
      </w:r>
      <w:r>
        <w:rPr/>
        <w:t>30,</w:t>
      </w:r>
      <w:r>
        <w:rPr>
          <w:spacing w:val="-6"/>
        </w:rPr>
        <w:t> </w:t>
      </w:r>
      <w:r>
        <w:rPr/>
        <w:t>687</w:t>
      </w:r>
      <w:r>
        <w:rPr>
          <w:spacing w:val="-3"/>
        </w:rPr>
        <w:t> </w:t>
      </w:r>
      <w:r>
        <w:rPr/>
        <w:t>09</w:t>
      </w:r>
      <w:r>
        <w:rPr>
          <w:spacing w:val="-4"/>
        </w:rPr>
        <w:t> </w:t>
      </w:r>
      <w:r>
        <w:rPr/>
        <w:t>Boršice</w:t>
      </w:r>
      <w:r>
        <w:rPr>
          <w:spacing w:val="-6"/>
        </w:rPr>
        <w:t> </w:t>
      </w:r>
      <w:r>
        <w:rPr/>
        <w:t>u</w:t>
      </w:r>
      <w:r>
        <w:rPr>
          <w:spacing w:val="-5"/>
        </w:rPr>
        <w:t> </w:t>
      </w:r>
      <w:r>
        <w:rPr/>
        <w:t>Buchlovic </w:t>
      </w:r>
      <w:r>
        <w:rPr>
          <w:spacing w:val="-4"/>
        </w:rPr>
        <w:t>IČO:</w:t>
      </w:r>
      <w:r>
        <w:rPr/>
        <w:tab/>
      </w:r>
      <w:r>
        <w:rPr>
          <w:spacing w:val="-2"/>
        </w:rPr>
        <w:t>00362506</w:t>
      </w:r>
    </w:p>
    <w:p>
      <w:pPr>
        <w:pStyle w:val="BodyText"/>
        <w:tabs>
          <w:tab w:pos="2982" w:val="left" w:leader="none"/>
        </w:tabs>
        <w:spacing w:line="265" w:lineRule="exact"/>
        <w:ind w:left="102"/>
      </w:pPr>
      <w:r>
        <w:rPr>
          <w:spacing w:val="-2"/>
        </w:rPr>
        <w:t>zastoupená:</w:t>
      </w:r>
      <w:r>
        <w:rPr/>
        <w:tab/>
        <w:t>Bronislavem</w:t>
      </w:r>
      <w:r>
        <w:rPr>
          <w:spacing w:val="-3"/>
        </w:rPr>
        <w:t> </w:t>
      </w:r>
      <w:r>
        <w:rPr/>
        <w:t>R</w:t>
      </w:r>
      <w:r>
        <w:rPr>
          <w:spacing w:val="-1"/>
        </w:rPr>
        <w:t> </w:t>
      </w:r>
      <w:r>
        <w:rPr/>
        <w:t>e</w:t>
      </w:r>
      <w:r>
        <w:rPr>
          <w:spacing w:val="-4"/>
        </w:rPr>
        <w:t> </w:t>
      </w:r>
      <w:r>
        <w:rPr/>
        <w:t>z</w:t>
      </w:r>
      <w:r>
        <w:rPr>
          <w:spacing w:val="-2"/>
        </w:rPr>
        <w:t> </w:t>
      </w:r>
      <w:r>
        <w:rPr/>
        <w:t>k</w:t>
      </w:r>
      <w:r>
        <w:rPr>
          <w:spacing w:val="-4"/>
        </w:rPr>
        <w:t> </w:t>
      </w:r>
      <w:r>
        <w:rPr/>
        <w:t>e</w:t>
      </w:r>
      <w:r>
        <w:rPr>
          <w:spacing w:val="-4"/>
        </w:rPr>
        <w:t> </w:t>
      </w:r>
      <w:r>
        <w:rPr/>
        <w:t>m,</w:t>
      </w:r>
      <w:r>
        <w:rPr>
          <w:spacing w:val="-4"/>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5012721/0710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7221301021 o poskytnutí finančních prostředků ze Státního fondu životního prostředí ČR ze dne 21.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1058"/>
      </w:pPr>
      <w:r>
        <w:rPr/>
        <w:t>„FVE</w:t>
      </w:r>
      <w:r>
        <w:rPr>
          <w:spacing w:val="-6"/>
        </w:rPr>
        <w:t> </w:t>
      </w:r>
      <w:r>
        <w:rPr/>
        <w:t>Obec</w:t>
      </w:r>
      <w:r>
        <w:rPr>
          <w:spacing w:val="-7"/>
        </w:rPr>
        <w:t> </w:t>
      </w:r>
      <w:r>
        <w:rPr>
          <w:spacing w:val="-2"/>
        </w:rPr>
        <w:t>Tučapy“</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703"/>
      </w:pPr>
      <w:r>
        <w:rPr>
          <w:spacing w:val="-5"/>
        </w:rPr>
        <w:t>II.</w:t>
      </w:r>
    </w:p>
    <w:p>
      <w:pPr>
        <w:pStyle w:val="Heading2"/>
        <w:spacing w:line="265" w:lineRule="exact"/>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735 223,00 Kč </w:t>
      </w:r>
      <w:r>
        <w:rPr>
          <w:sz w:val="20"/>
        </w:rPr>
        <w:t>(slovy: sedm set třicet pět tisíc dvě stě dvacet tři korun českých).</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1 236 488,84 Kč.</w:t>
      </w:r>
    </w:p>
    <w:p>
      <w:pPr>
        <w:pStyle w:val="ListParagraph"/>
        <w:numPr>
          <w:ilvl w:val="0"/>
          <w:numId w:val="2"/>
        </w:numPr>
        <w:tabs>
          <w:tab w:pos="386" w:val="left" w:leader="none"/>
        </w:tabs>
        <w:spacing w:line="240" w:lineRule="auto" w:before="118"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2"/>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0" w:hanging="360"/>
        <w:jc w:val="left"/>
        <w:rPr>
          <w:sz w:val="20"/>
        </w:rPr>
      </w:pPr>
      <w:r>
        <w:rPr>
          <w:sz w:val="20"/>
        </w:rPr>
        <w:t>splní</w:t>
      </w:r>
      <w:r>
        <w:rPr>
          <w:spacing w:val="35"/>
          <w:sz w:val="20"/>
        </w:rPr>
        <w:t> </w:t>
      </w:r>
      <w:r>
        <w:rPr>
          <w:sz w:val="20"/>
        </w:rPr>
        <w:t>účel</w:t>
      </w:r>
      <w:r>
        <w:rPr>
          <w:spacing w:val="35"/>
          <w:sz w:val="20"/>
        </w:rPr>
        <w:t> </w:t>
      </w:r>
      <w:r>
        <w:rPr>
          <w:sz w:val="20"/>
        </w:rPr>
        <w:t>akce</w:t>
      </w:r>
      <w:r>
        <w:rPr>
          <w:spacing w:val="34"/>
          <w:sz w:val="20"/>
        </w:rPr>
        <w:t> </w:t>
      </w:r>
      <w:r>
        <w:rPr>
          <w:sz w:val="20"/>
        </w:rPr>
        <w:t>„FVE</w:t>
      </w:r>
      <w:r>
        <w:rPr>
          <w:spacing w:val="35"/>
          <w:sz w:val="20"/>
        </w:rPr>
        <w:t> </w:t>
      </w:r>
      <w:r>
        <w:rPr>
          <w:sz w:val="20"/>
        </w:rPr>
        <w:t>Obec</w:t>
      </w:r>
      <w:r>
        <w:rPr>
          <w:spacing w:val="36"/>
          <w:sz w:val="20"/>
        </w:rPr>
        <w:t> </w:t>
      </w:r>
      <w:r>
        <w:rPr>
          <w:sz w:val="20"/>
        </w:rPr>
        <w:t>Tučapy“</w:t>
      </w:r>
      <w:r>
        <w:rPr>
          <w:spacing w:val="35"/>
          <w:sz w:val="20"/>
        </w:rPr>
        <w:t> </w:t>
      </w:r>
      <w:r>
        <w:rPr>
          <w:sz w:val="20"/>
        </w:rPr>
        <w:t>tím,</w:t>
      </w:r>
      <w:r>
        <w:rPr>
          <w:spacing w:val="35"/>
          <w:sz w:val="20"/>
        </w:rPr>
        <w:t> </w:t>
      </w:r>
      <w:r>
        <w:rPr>
          <w:sz w:val="20"/>
        </w:rPr>
        <w:t>že</w:t>
      </w:r>
      <w:r>
        <w:rPr>
          <w:spacing w:val="34"/>
          <w:sz w:val="20"/>
        </w:rPr>
        <w:t> </w:t>
      </w:r>
      <w:r>
        <w:rPr>
          <w:sz w:val="20"/>
        </w:rPr>
        <w:t>akce</w:t>
      </w:r>
      <w:r>
        <w:rPr>
          <w:spacing w:val="34"/>
          <w:sz w:val="20"/>
        </w:rPr>
        <w:t> </w:t>
      </w:r>
      <w:r>
        <w:rPr>
          <w:sz w:val="20"/>
        </w:rPr>
        <w:t>bude</w:t>
      </w:r>
      <w:r>
        <w:rPr>
          <w:spacing w:val="34"/>
          <w:sz w:val="20"/>
        </w:rPr>
        <w:t> </w:t>
      </w:r>
      <w:r>
        <w:rPr>
          <w:sz w:val="20"/>
        </w:rPr>
        <w:t>provedena</w:t>
      </w:r>
      <w:r>
        <w:rPr>
          <w:spacing w:val="35"/>
          <w:sz w:val="20"/>
        </w:rPr>
        <w:t> </w:t>
      </w:r>
      <w:r>
        <w:rPr>
          <w:sz w:val="20"/>
        </w:rPr>
        <w:t>v souladu</w:t>
      </w:r>
      <w:r>
        <w:rPr>
          <w:spacing w:val="35"/>
          <w:sz w:val="20"/>
        </w:rPr>
        <w:t> </w:t>
      </w:r>
      <w:r>
        <w:rPr>
          <w:sz w:val="20"/>
        </w:rPr>
        <w:t>s</w:t>
      </w:r>
      <w:r>
        <w:rPr>
          <w:spacing w:val="-1"/>
          <w:sz w:val="20"/>
        </w:rPr>
        <w:t> </w:t>
      </w:r>
      <w:r>
        <w:rPr>
          <w:sz w:val="20"/>
        </w:rPr>
        <w:t>Výzvou,</w:t>
      </w:r>
      <w:r>
        <w:rPr>
          <w:spacing w:val="35"/>
          <w:sz w:val="20"/>
        </w:rPr>
        <w:t> </w:t>
      </w:r>
      <w:r>
        <w:rPr>
          <w:sz w:val="20"/>
        </w:rPr>
        <w:t>žádostí</w:t>
      </w:r>
      <w:r>
        <w:rPr>
          <w:spacing w:val="35"/>
          <w:sz w:val="20"/>
        </w:rPr>
        <w:t> </w:t>
      </w:r>
      <w:r>
        <w:rPr>
          <w:sz w:val="20"/>
        </w:rPr>
        <w:t>o podporu a jejími přílohami a touto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1"/>
        <w:ind w:left="745"/>
      </w:pPr>
      <w:r>
        <w:rPr/>
        <w:t>s</w:t>
      </w:r>
      <w:r>
        <w:rPr>
          <w:spacing w:val="-7"/>
        </w:rPr>
        <w:t> </w:t>
      </w:r>
      <w:r>
        <w:rPr/>
        <w:t>předpokládaným</w:t>
      </w:r>
      <w:r>
        <w:rPr>
          <w:spacing w:val="-6"/>
        </w:rPr>
        <w:t> </w:t>
      </w:r>
      <w:r>
        <w:rPr/>
        <w:t>výkonem</w:t>
      </w:r>
      <w:r>
        <w:rPr>
          <w:spacing w:val="-5"/>
        </w:rPr>
        <w:t> </w:t>
      </w:r>
      <w:r>
        <w:rPr/>
        <w:t>24,96</w:t>
      </w:r>
      <w:r>
        <w:rPr>
          <w:spacing w:val="-5"/>
        </w:rPr>
        <w:t> </w:t>
      </w:r>
      <w:r>
        <w:rPr/>
        <w:t>kWp</w:t>
      </w:r>
      <w:r>
        <w:rPr>
          <w:spacing w:val="-5"/>
        </w:rPr>
        <w:t> </w:t>
      </w:r>
      <w:r>
        <w:rPr/>
        <w:t>a</w:t>
      </w:r>
      <w:r>
        <w:rPr>
          <w:spacing w:val="-7"/>
        </w:rPr>
        <w:t> </w:t>
      </w:r>
      <w:r>
        <w:rPr/>
        <w:t>instalaci</w:t>
      </w:r>
      <w:r>
        <w:rPr>
          <w:spacing w:val="-7"/>
        </w:rPr>
        <w:t> </w:t>
      </w:r>
      <w:r>
        <w:rPr/>
        <w:t>akumulace</w:t>
      </w:r>
      <w:r>
        <w:rPr>
          <w:spacing w:val="-6"/>
        </w:rPr>
        <w:t> </w:t>
      </w:r>
      <w:r>
        <w:rPr/>
        <w:t>o</w:t>
      </w:r>
      <w:r>
        <w:rPr>
          <w:spacing w:val="-6"/>
        </w:rPr>
        <w:t> </w:t>
      </w:r>
      <w:r>
        <w:rPr/>
        <w:t>kapacitě</w:t>
      </w:r>
      <w:r>
        <w:rPr>
          <w:spacing w:val="-4"/>
        </w:rPr>
        <w:t> </w:t>
      </w:r>
      <w:r>
        <w:rPr/>
        <w:t>20,5</w:t>
      </w:r>
      <w:r>
        <w:rPr>
          <w:spacing w:val="-5"/>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1"/>
          <w:sz w:val="20"/>
        </w:rPr>
        <w:t> </w:t>
      </w:r>
      <w:r>
        <w:rPr>
          <w:w w:val="95"/>
          <w:sz w:val="20"/>
        </w:rPr>
        <w:t>akce</w:t>
      </w:r>
      <w:r>
        <w:rPr>
          <w:spacing w:val="8"/>
          <w:sz w:val="20"/>
        </w:rPr>
        <w:t> </w:t>
      </w:r>
      <w:r>
        <w:rPr>
          <w:w w:val="95"/>
          <w:sz w:val="20"/>
        </w:rPr>
        <w:t>(ZVA)</w:t>
      </w:r>
      <w:r>
        <w:rPr>
          <w:spacing w:val="11"/>
          <w:sz w:val="20"/>
        </w:rPr>
        <w:t> </w:t>
      </w:r>
      <w:r>
        <w:rPr>
          <w:w w:val="95"/>
          <w:sz w:val="20"/>
        </w:rPr>
        <w:t>podle</w:t>
      </w:r>
      <w:r>
        <w:rPr>
          <w:spacing w:val="8"/>
          <w:sz w:val="20"/>
        </w:rPr>
        <w:t> </w:t>
      </w:r>
      <w:r>
        <w:rPr>
          <w:w w:val="95"/>
          <w:sz w:val="20"/>
        </w:rPr>
        <w:t>písmene</w:t>
      </w:r>
      <w:r>
        <w:rPr>
          <w:spacing w:val="15"/>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3"/>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0"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2"/>
              <w:ind w:left="391"/>
              <w:rPr>
                <w:sz w:val="20"/>
              </w:rPr>
            </w:pPr>
            <w:r>
              <w:rPr>
                <w:spacing w:val="-5"/>
                <w:sz w:val="20"/>
              </w:rPr>
              <w:t>kWh</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20.50</w:t>
            </w:r>
          </w:p>
        </w:tc>
      </w:tr>
      <w:tr>
        <w:trPr>
          <w:trHeight w:val="505"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24,96</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15.36</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9"/>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5"/>
                <w:sz w:val="20"/>
              </w:rPr>
              <w:t>49</w:t>
            </w:r>
          </w:p>
        </w:tc>
      </w:tr>
      <w:tr>
        <w:trPr>
          <w:trHeight w:val="506"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18.85</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8" w:hanging="360"/>
        <w:jc w:val="both"/>
        <w:rPr>
          <w:sz w:val="20"/>
        </w:rPr>
      </w:pPr>
      <w:r>
        <w:rPr>
          <w:sz w:val="20"/>
        </w:rPr>
        <w:t>předloží Fondu současně s žádostí o platbu podklady k ZVA podle čl. čl. 14.4 Výzvy, a to nejpozději do 3 měsíců, počítáno od celého kalendářního měsíce, následujícího po dni, kdy tato Smlouva nabude 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1"/>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081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515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2025-03-17T09:56:59Z</dcterms:created>
  <dcterms:modified xsi:type="dcterms:W3CDTF">2025-03-17T09:56:59Z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pro Microsoft 365</vt:lpwstr>
  </property>
  <property fmtid="{D5CDD505-2E9C-101B-9397-08002B2CF9AE}" pid="4" name="LastSaved">
    <vt:filetime>2025-03-17T00:00:00Z</vt:filetime>
  </property>
</Properties>
</file>