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3E3677D7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>Dodatek č.</w:t>
      </w:r>
      <w:r w:rsidR="0074040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480AA540" w14:textId="39CB26BB" w:rsidR="00740406" w:rsidRPr="00740406" w:rsidRDefault="00780343" w:rsidP="00740406">
      <w:pPr>
        <w:pStyle w:val="Standardnte"/>
        <w:tabs>
          <w:tab w:val="left" w:pos="709"/>
        </w:tabs>
        <w:jc w:val="center"/>
        <w:rPr>
          <w:b/>
          <w:sz w:val="20"/>
        </w:rPr>
      </w:pPr>
      <w:r w:rsidRPr="00ED04D1">
        <w:rPr>
          <w:b/>
          <w:sz w:val="20"/>
        </w:rPr>
        <w:t xml:space="preserve">ke </w:t>
      </w:r>
      <w:r w:rsidR="005839E5" w:rsidRPr="00ED04D1">
        <w:rPr>
          <w:b/>
          <w:sz w:val="20"/>
        </w:rPr>
        <w:t>s</w:t>
      </w:r>
      <w:r w:rsidR="00B03BDE" w:rsidRPr="00ED04D1">
        <w:rPr>
          <w:b/>
          <w:sz w:val="20"/>
        </w:rPr>
        <w:t xml:space="preserve">mlouvě </w:t>
      </w:r>
      <w:r w:rsidR="00BE65F0" w:rsidRPr="00ED04D1">
        <w:rPr>
          <w:b/>
          <w:sz w:val="20"/>
        </w:rPr>
        <w:t xml:space="preserve">č. ZAK </w:t>
      </w:r>
      <w:r w:rsidR="00740406">
        <w:rPr>
          <w:b/>
          <w:sz w:val="20"/>
        </w:rPr>
        <w:t>22-0116.4</w:t>
      </w:r>
      <w:r w:rsidR="00B03BDE" w:rsidRPr="00ED04D1">
        <w:rPr>
          <w:b/>
          <w:sz w:val="20"/>
        </w:rPr>
        <w:t xml:space="preserve"> ze dne</w:t>
      </w:r>
      <w:r w:rsidRPr="00ED04D1">
        <w:rPr>
          <w:b/>
          <w:sz w:val="20"/>
        </w:rPr>
        <w:t xml:space="preserve"> </w:t>
      </w:r>
      <w:r w:rsidR="00740406">
        <w:rPr>
          <w:b/>
          <w:sz w:val="20"/>
        </w:rPr>
        <w:t>15. 9. 2023</w:t>
      </w:r>
      <w:r w:rsidR="00BE65F0" w:rsidRPr="00ED04D1">
        <w:rPr>
          <w:b/>
          <w:sz w:val="20"/>
        </w:rPr>
        <w:br/>
      </w:r>
      <w:r w:rsidR="002077C2" w:rsidRPr="00ED04D1">
        <w:rPr>
          <w:b/>
          <w:sz w:val="20"/>
        </w:rPr>
        <w:t>„</w:t>
      </w:r>
      <w:r w:rsidR="00740406" w:rsidRPr="00740406">
        <w:rPr>
          <w:b/>
          <w:sz w:val="20"/>
        </w:rPr>
        <w:t>Příkazní smlouva o poskytování služeb projektového řízení investiční výstavby při zadávacím řízení na rekonstrukci administrativního areálu Emauzy</w:t>
      </w:r>
      <w:r w:rsidR="00740406">
        <w:rPr>
          <w:b/>
          <w:sz w:val="20"/>
        </w:rPr>
        <w:t>“</w:t>
      </w:r>
    </w:p>
    <w:p w14:paraId="2BF03212" w14:textId="3E114918" w:rsidR="006F3997" w:rsidRPr="00ED04D1" w:rsidRDefault="006F3997" w:rsidP="00740406">
      <w:p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68604F24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zastoupený</w:t>
      </w:r>
      <w:r w:rsidRPr="00F92FE7">
        <w:rPr>
          <w:rFonts w:ascii="Times New Roman" w:hAnsi="Times New Roman" w:cs="Times New Roman"/>
          <w:sz w:val="20"/>
          <w:szCs w:val="20"/>
        </w:rPr>
        <w:t>:</w:t>
      </w:r>
      <w:r w:rsidR="00035F94" w:rsidRPr="00F92FE7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F92FE7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F92FE7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F92FE7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F92FE7">
        <w:rPr>
          <w:rFonts w:ascii="Times New Roman" w:hAnsi="Times New Roman" w:cs="Times New Roman"/>
          <w:sz w:val="20"/>
          <w:szCs w:val="20"/>
        </w:rPr>
        <w:t xml:space="preserve"> činnost</w:t>
      </w:r>
      <w:bookmarkEnd w:id="0"/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0E4212A8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9B2874">
        <w:rPr>
          <w:rFonts w:ascii="Times New Roman" w:hAnsi="Times New Roman" w:cs="Times New Roman"/>
          <w:sz w:val="20"/>
          <w:szCs w:val="20"/>
        </w:rPr>
        <w:t>xxxxxx</w:t>
      </w:r>
    </w:p>
    <w:p w14:paraId="1D50C79E" w14:textId="1A2E1280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9B2874">
        <w:rPr>
          <w:rFonts w:ascii="Times New Roman" w:hAnsi="Times New Roman" w:cs="Times New Roman"/>
          <w:sz w:val="20"/>
          <w:szCs w:val="20"/>
        </w:rPr>
        <w:t>xxxxxxx</w:t>
      </w:r>
    </w:p>
    <w:p w14:paraId="02A95E69" w14:textId="322ED4DB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740406">
        <w:rPr>
          <w:rFonts w:ascii="Times New Roman" w:hAnsi="Times New Roman" w:cs="Times New Roman"/>
          <w:b/>
          <w:sz w:val="20"/>
          <w:szCs w:val="20"/>
        </w:rPr>
        <w:t>Příkazce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3B2376" w14:textId="77777777" w:rsidR="00740406" w:rsidRPr="00740406" w:rsidRDefault="00740406" w:rsidP="0074040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40406">
        <w:rPr>
          <w:rFonts w:ascii="Times New Roman" w:hAnsi="Times New Roman" w:cs="Times New Roman"/>
          <w:b/>
          <w:sz w:val="20"/>
          <w:szCs w:val="20"/>
        </w:rPr>
        <w:t>CONTRACTIS, s.r.o.</w:t>
      </w:r>
    </w:p>
    <w:p w14:paraId="0ECC2ACE" w14:textId="11729ED3" w:rsidR="00740406" w:rsidRPr="00740406" w:rsidRDefault="00740406" w:rsidP="0074040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40406">
        <w:rPr>
          <w:rFonts w:ascii="Times New Roman" w:hAnsi="Times New Roman" w:cs="Times New Roman"/>
          <w:bCs/>
          <w:sz w:val="20"/>
          <w:szCs w:val="20"/>
        </w:rPr>
        <w:t>Zastoupený Ing. Tomášem Mrkvanem,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40406">
        <w:rPr>
          <w:rFonts w:ascii="Times New Roman" w:hAnsi="Times New Roman" w:cs="Times New Roman"/>
          <w:bCs/>
          <w:sz w:val="20"/>
          <w:szCs w:val="20"/>
        </w:rPr>
        <w:t>jednatelem</w:t>
      </w:r>
    </w:p>
    <w:p w14:paraId="4992D882" w14:textId="77777777" w:rsidR="00740406" w:rsidRPr="00740406" w:rsidRDefault="00740406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sz w:val="20"/>
          <w:szCs w:val="20"/>
        </w:rPr>
        <w:t>se sídlem Nad Zámečnicí 1841/34, 150 00 Praha 5</w:t>
      </w:r>
    </w:p>
    <w:p w14:paraId="2188E27F" w14:textId="42FB7026" w:rsidR="00740406" w:rsidRPr="00740406" w:rsidRDefault="00740406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sz w:val="20"/>
          <w:szCs w:val="20"/>
        </w:rPr>
        <w:t>zaps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740406">
        <w:rPr>
          <w:rFonts w:ascii="Times New Roman" w:hAnsi="Times New Roman" w:cs="Times New Roman"/>
          <w:sz w:val="20"/>
          <w:szCs w:val="20"/>
        </w:rPr>
        <w:t>n v obchodním rejstříku, vedeném Městským soudem v Praze, oddíl C., vl. 64790</w:t>
      </w:r>
    </w:p>
    <w:p w14:paraId="1B65F1DD" w14:textId="77777777" w:rsidR="00740406" w:rsidRPr="00740406" w:rsidRDefault="00740406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sz w:val="20"/>
          <w:szCs w:val="20"/>
        </w:rPr>
        <w:t>IČO: 257 27 737</w:t>
      </w:r>
    </w:p>
    <w:p w14:paraId="30FC68F4" w14:textId="77777777" w:rsidR="00740406" w:rsidRPr="00740406" w:rsidRDefault="00740406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sz w:val="20"/>
          <w:szCs w:val="20"/>
        </w:rPr>
        <w:t>DIČ:CZ25727737</w:t>
      </w:r>
    </w:p>
    <w:p w14:paraId="5E531EEC" w14:textId="43070B21" w:rsidR="00740406" w:rsidRPr="00740406" w:rsidRDefault="00740406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9B2874">
        <w:rPr>
          <w:rFonts w:ascii="Times New Roman" w:hAnsi="Times New Roman" w:cs="Times New Roman"/>
          <w:sz w:val="20"/>
          <w:szCs w:val="20"/>
        </w:rPr>
        <w:t>xxxxxx</w:t>
      </w:r>
    </w:p>
    <w:p w14:paraId="35D62C1C" w14:textId="28CD66B8" w:rsidR="00740406" w:rsidRPr="00740406" w:rsidRDefault="00740406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9B2874">
        <w:rPr>
          <w:rFonts w:ascii="Times New Roman" w:hAnsi="Times New Roman" w:cs="Times New Roman"/>
          <w:sz w:val="20"/>
          <w:szCs w:val="20"/>
        </w:rPr>
        <w:t>xxxxxxx</w:t>
      </w:r>
    </w:p>
    <w:p w14:paraId="746708FB" w14:textId="77777777" w:rsidR="00740406" w:rsidRPr="00740406" w:rsidRDefault="00740406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sz w:val="20"/>
          <w:szCs w:val="20"/>
        </w:rPr>
        <w:t>plátce/neplátce DPH</w:t>
      </w:r>
    </w:p>
    <w:p w14:paraId="2FD08B15" w14:textId="314CB9C8" w:rsidR="00740406" w:rsidRPr="00740406" w:rsidRDefault="00A62373" w:rsidP="007404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40406" w:rsidRPr="00740406">
        <w:rPr>
          <w:rFonts w:ascii="Times New Roman" w:hAnsi="Times New Roman" w:cs="Times New Roman"/>
          <w:sz w:val="20"/>
          <w:szCs w:val="20"/>
        </w:rPr>
        <w:t xml:space="preserve">dále jen </w:t>
      </w:r>
      <w:r w:rsidR="00740406" w:rsidRPr="00740406">
        <w:rPr>
          <w:rFonts w:ascii="Times New Roman" w:hAnsi="Times New Roman" w:cs="Times New Roman"/>
          <w:b/>
          <w:bCs/>
          <w:sz w:val="20"/>
          <w:szCs w:val="20"/>
        </w:rPr>
        <w:t>„Příkazník“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4E0CE279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</w:t>
      </w:r>
      <w:r w:rsidR="00740406">
        <w:rPr>
          <w:rFonts w:ascii="Times New Roman" w:hAnsi="Times New Roman" w:cs="Times New Roman"/>
          <w:sz w:val="20"/>
          <w:szCs w:val="20"/>
        </w:rPr>
        <w:t>příkazník</w:t>
      </w:r>
      <w:r w:rsidRPr="00ED04D1">
        <w:rPr>
          <w:rFonts w:ascii="Times New Roman" w:hAnsi="Times New Roman" w:cs="Times New Roman"/>
          <w:sz w:val="20"/>
          <w:szCs w:val="20"/>
        </w:rPr>
        <w:t>“ a „</w:t>
      </w:r>
      <w:r w:rsidR="00740406">
        <w:rPr>
          <w:rFonts w:ascii="Times New Roman" w:hAnsi="Times New Roman" w:cs="Times New Roman"/>
          <w:sz w:val="20"/>
          <w:szCs w:val="20"/>
        </w:rPr>
        <w:t>příkazce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2A89D566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40406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740406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740406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740406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40406" w:rsidRPr="00A62373">
        <w:rPr>
          <w:rFonts w:ascii="Times New Roman" w:hAnsi="Times New Roman" w:cs="Times New Roman"/>
          <w:b/>
          <w:bCs/>
          <w:sz w:val="20"/>
          <w:szCs w:val="20"/>
        </w:rPr>
        <w:t>22-0116.4</w:t>
      </w:r>
      <w:r w:rsidR="009E621E" w:rsidRPr="00A6237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40406" w:rsidRPr="00A623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65B4" w:rsidRPr="00A62373">
        <w:rPr>
          <w:rFonts w:ascii="Times New Roman" w:hAnsi="Times New Roman" w:cs="Times New Roman"/>
          <w:b/>
          <w:bCs/>
          <w:sz w:val="20"/>
          <w:szCs w:val="20"/>
        </w:rPr>
        <w:t xml:space="preserve">ze dne </w:t>
      </w:r>
      <w:r w:rsidR="00740406" w:rsidRPr="00A62373">
        <w:rPr>
          <w:rFonts w:ascii="Times New Roman" w:hAnsi="Times New Roman" w:cs="Times New Roman"/>
          <w:b/>
          <w:bCs/>
          <w:sz w:val="20"/>
          <w:szCs w:val="20"/>
        </w:rPr>
        <w:t>15. 9. 2023</w:t>
      </w:r>
      <w:r w:rsidR="009E621E" w:rsidRPr="00740406">
        <w:rPr>
          <w:rFonts w:ascii="Times New Roman" w:hAnsi="Times New Roman" w:cs="Times New Roman"/>
          <w:sz w:val="20"/>
          <w:szCs w:val="20"/>
        </w:rPr>
        <w:t xml:space="preserve"> </w:t>
      </w:r>
      <w:r w:rsidRPr="00740406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A62373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A62373">
        <w:rPr>
          <w:rFonts w:ascii="Times New Roman" w:hAnsi="Times New Roman" w:cs="Times New Roman"/>
          <w:b/>
          <w:bCs/>
          <w:sz w:val="20"/>
          <w:szCs w:val="20"/>
        </w:rPr>
        <w:t>odatek</w:t>
      </w:r>
      <w:r w:rsidRPr="00740406">
        <w:rPr>
          <w:rFonts w:ascii="Times New Roman" w:hAnsi="Times New Roman" w:cs="Times New Roman"/>
          <w:sz w:val="20"/>
          <w:szCs w:val="20"/>
        </w:rPr>
        <w:t>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CB7FC1" w14:textId="77777777" w:rsidR="00A62373" w:rsidRDefault="00A62373" w:rsidP="00A623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0D86E9FE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52C0CE74" w14:textId="418DE467" w:rsidR="006F3997" w:rsidRPr="00ED04D1" w:rsidRDefault="001E7B9C" w:rsidP="00A6237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740406">
        <w:rPr>
          <w:rFonts w:ascii="Times New Roman" w:hAnsi="Times New Roman" w:cs="Times New Roman"/>
          <w:sz w:val="20"/>
          <w:szCs w:val="20"/>
        </w:rPr>
        <w:t xml:space="preserve">15. 9. 2023 </w:t>
      </w:r>
      <w:r w:rsidRPr="00ED04D1">
        <w:rPr>
          <w:rFonts w:ascii="Times New Roman" w:hAnsi="Times New Roman" w:cs="Times New Roman"/>
          <w:sz w:val="20"/>
          <w:szCs w:val="20"/>
        </w:rPr>
        <w:t xml:space="preserve">smlouvu 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o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740406">
        <w:rPr>
          <w:rFonts w:ascii="Times New Roman" w:hAnsi="Times New Roman" w:cs="Times New Roman"/>
          <w:sz w:val="20"/>
          <w:szCs w:val="20"/>
        </w:rPr>
        <w:t xml:space="preserve"> 22-0116.4 </w:t>
      </w:r>
      <w:r w:rsidRPr="00ED04D1">
        <w:rPr>
          <w:rFonts w:ascii="Times New Roman" w:hAnsi="Times New Roman" w:cs="Times New Roman"/>
          <w:sz w:val="20"/>
          <w:szCs w:val="20"/>
        </w:rPr>
        <w:t>„</w:t>
      </w:r>
      <w:r w:rsidR="002E6F98" w:rsidRPr="002E6F98">
        <w:rPr>
          <w:rFonts w:ascii="Times New Roman" w:hAnsi="Times New Roman" w:cs="Times New Roman"/>
          <w:sz w:val="20"/>
          <w:szCs w:val="20"/>
        </w:rPr>
        <w:t>Příkazní smlouva o poskytování služeb projektového řízení investiční výstavby při zadávacím řízení na rekonstrukci administrativního areálu Emauzy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164FC6B6" w14:textId="77777777" w:rsidR="00A62373" w:rsidRDefault="00A6237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6A5037" w14:textId="7E6C283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325ED731" w14:textId="77777777" w:rsidR="00A62373" w:rsidRDefault="00B03CF8" w:rsidP="00B03CF8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5917">
        <w:rPr>
          <w:rFonts w:ascii="Times New Roman" w:eastAsia="Times New Roman" w:hAnsi="Times New Roman" w:cs="Times New Roman"/>
          <w:sz w:val="20"/>
          <w:szCs w:val="20"/>
        </w:rPr>
        <w:t>Smluvní strany se dohodly, že předmět Smlouvy definovaný ve čl. I.</w:t>
      </w:r>
      <w:r w:rsidRPr="006D5917">
        <w:rPr>
          <w:rFonts w:ascii="Times New Roman" w:hAnsi="Times New Roman" w:cs="Times New Roman"/>
          <w:sz w:val="20"/>
          <w:szCs w:val="20"/>
        </w:rPr>
        <w:t xml:space="preserve"> odst. 1 smlouvy se s účinností tohoto dodatku doplňuje o </w:t>
      </w:r>
      <w:r w:rsidR="00A62373">
        <w:rPr>
          <w:rFonts w:ascii="Times New Roman" w:hAnsi="Times New Roman" w:cs="Times New Roman"/>
          <w:sz w:val="20"/>
          <w:szCs w:val="20"/>
        </w:rPr>
        <w:t>nový bod s názvem:</w:t>
      </w:r>
    </w:p>
    <w:p w14:paraId="759E42B9" w14:textId="28796A8D" w:rsidR="00B03CF8" w:rsidRPr="006D5917" w:rsidRDefault="00A62373" w:rsidP="00A62373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„V</w:t>
      </w:r>
      <w:r w:rsidR="00B03CF8" w:rsidRPr="006D5917">
        <w:rPr>
          <w:rFonts w:ascii="Times New Roman" w:hAnsi="Times New Roman" w:cs="Times New Roman"/>
          <w:sz w:val="20"/>
          <w:szCs w:val="20"/>
        </w:rPr>
        <w:t>ypracování ekonomicko-provozního zhodnocení s cílem snížení finanční náročnosti projektu rekonstrukce administrativního areálu Emauzy.</w:t>
      </w:r>
      <w:r>
        <w:rPr>
          <w:rFonts w:ascii="Times New Roman" w:hAnsi="Times New Roman" w:cs="Times New Roman"/>
          <w:sz w:val="20"/>
          <w:szCs w:val="20"/>
        </w:rPr>
        <w:t>“.</w:t>
      </w:r>
    </w:p>
    <w:p w14:paraId="6794341B" w14:textId="407D17DC" w:rsidR="00156451" w:rsidRPr="006D5917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5917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B03CF8" w:rsidRPr="006D5917">
        <w:rPr>
          <w:rFonts w:ascii="Times New Roman" w:eastAsia="Times New Roman" w:hAnsi="Times New Roman" w:cs="Times New Roman"/>
          <w:sz w:val="20"/>
          <w:szCs w:val="20"/>
        </w:rPr>
        <w:t xml:space="preserve">poslední věta </w:t>
      </w:r>
      <w:r w:rsidR="00AE5C87" w:rsidRPr="006D5917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6D5917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6D591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6D5917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6D5917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6D5917">
        <w:rPr>
          <w:rFonts w:ascii="Times New Roman" w:hAnsi="Times New Roman" w:cs="Times New Roman"/>
          <w:sz w:val="20"/>
          <w:szCs w:val="20"/>
        </w:rPr>
        <w:t>1</w:t>
      </w:r>
      <w:r w:rsidR="00D15DCF" w:rsidRPr="006D5917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6D5917">
        <w:rPr>
          <w:rFonts w:ascii="Times New Roman" w:hAnsi="Times New Roman" w:cs="Times New Roman"/>
          <w:sz w:val="20"/>
          <w:szCs w:val="20"/>
        </w:rPr>
        <w:t>s</w:t>
      </w:r>
      <w:r w:rsidR="00D15DCF" w:rsidRPr="006D5917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6D5917">
        <w:rPr>
          <w:rFonts w:ascii="Times New Roman" w:hAnsi="Times New Roman" w:cs="Times New Roman"/>
          <w:sz w:val="20"/>
          <w:szCs w:val="20"/>
        </w:rPr>
        <w:t>s</w:t>
      </w:r>
      <w:r w:rsidR="00071C22" w:rsidRPr="006D5917">
        <w:rPr>
          <w:rFonts w:ascii="Times New Roman" w:hAnsi="Times New Roman" w:cs="Times New Roman"/>
          <w:sz w:val="20"/>
          <w:szCs w:val="20"/>
        </w:rPr>
        <w:t>e s</w:t>
      </w:r>
      <w:r w:rsidR="00D00F18" w:rsidRPr="006D5917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6D5917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6D591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2621EC1F" w:rsidR="008409D5" w:rsidRPr="00EB1F43" w:rsidRDefault="008409D5" w:rsidP="00EB1F43">
      <w:pPr>
        <w:pStyle w:val="slovnUnitrproLight"/>
        <w:ind w:firstLine="0"/>
        <w:rPr>
          <w:rFonts w:ascii="Times New Roman" w:eastAsiaTheme="minorEastAsia" w:hAnsi="Times New Roman" w:cs="Times New Roman"/>
          <w:bCs w:val="0"/>
        </w:rPr>
      </w:pPr>
      <w:r w:rsidRPr="00B03CF8">
        <w:rPr>
          <w:rFonts w:ascii="Times New Roman" w:eastAsiaTheme="minorEastAsia" w:hAnsi="Times New Roman" w:cs="Times New Roman"/>
          <w:bCs w:val="0"/>
        </w:rPr>
        <w:t>„</w:t>
      </w:r>
      <w:r w:rsidR="00B03CF8" w:rsidRPr="00B03CF8">
        <w:rPr>
          <w:rFonts w:ascii="Times New Roman" w:eastAsiaTheme="minorEastAsia" w:hAnsi="Times New Roman" w:cs="Times New Roman"/>
          <w:bCs w:val="0"/>
        </w:rPr>
        <w:t xml:space="preserve">Maximální rozsah hodin poskytování služeb Příkazníka je </w:t>
      </w:r>
      <w:r w:rsidR="006D5917">
        <w:rPr>
          <w:rFonts w:ascii="Times New Roman" w:eastAsiaTheme="minorEastAsia" w:hAnsi="Times New Roman" w:cs="Times New Roman"/>
          <w:bCs w:val="0"/>
        </w:rPr>
        <w:t>74</w:t>
      </w:r>
      <w:r w:rsidR="004B4503">
        <w:rPr>
          <w:rFonts w:ascii="Times New Roman" w:eastAsiaTheme="minorEastAsia" w:hAnsi="Times New Roman" w:cs="Times New Roman"/>
          <w:bCs w:val="0"/>
        </w:rPr>
        <w:t>1</w:t>
      </w:r>
      <w:r w:rsidR="006D5917">
        <w:rPr>
          <w:rFonts w:ascii="Times New Roman" w:eastAsiaTheme="minorEastAsia" w:hAnsi="Times New Roman" w:cs="Times New Roman"/>
          <w:bCs w:val="0"/>
        </w:rPr>
        <w:t xml:space="preserve"> </w:t>
      </w:r>
      <w:r w:rsidR="00B03CF8" w:rsidRPr="00B03CF8">
        <w:rPr>
          <w:rFonts w:ascii="Times New Roman" w:eastAsiaTheme="minorEastAsia" w:hAnsi="Times New Roman" w:cs="Times New Roman"/>
          <w:bCs w:val="0"/>
        </w:rPr>
        <w:t>hodin</w:t>
      </w:r>
      <w:r w:rsidR="00A62373">
        <w:rPr>
          <w:rFonts w:ascii="Times New Roman" w:eastAsiaTheme="minorEastAsia" w:hAnsi="Times New Roman" w:cs="Times New Roman"/>
          <w:bCs w:val="0"/>
        </w:rPr>
        <w:t>.</w:t>
      </w:r>
      <w:r w:rsidRPr="00ED04D1">
        <w:rPr>
          <w:rFonts w:ascii="Times New Roman" w:hAnsi="Times New Roman" w:cs="Times New Roman"/>
        </w:rPr>
        <w:t>“</w:t>
      </w:r>
      <w:r w:rsidR="00C2756A" w:rsidRPr="00ED04D1">
        <w:rPr>
          <w:rFonts w:ascii="Times New Roman" w:hAnsi="Times New Roman" w:cs="Times New Roman"/>
        </w:rPr>
        <w:t>.</w:t>
      </w:r>
    </w:p>
    <w:p w14:paraId="75C2C551" w14:textId="77777777" w:rsidR="00EB1F43" w:rsidRDefault="002642D9" w:rsidP="00EB1F43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Smluvní strany se dohodly, že </w:t>
      </w:r>
      <w:r w:rsidR="00071C22" w:rsidRPr="00ED04D1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ED04D1">
        <w:rPr>
          <w:rFonts w:ascii="Times New Roman" w:eastAsia="Times New Roman" w:hAnsi="Times New Roman" w:cs="Times New Roman"/>
          <w:sz w:val="20"/>
          <w:szCs w:val="20"/>
        </w:rPr>
        <w:t xml:space="preserve">čl. </w:t>
      </w:r>
      <w:r w:rsidR="00EB1F43">
        <w:rPr>
          <w:rFonts w:ascii="Times New Roman" w:eastAsia="Times New Roman" w:hAnsi="Times New Roman" w:cs="Times New Roman"/>
          <w:sz w:val="20"/>
          <w:szCs w:val="20"/>
        </w:rPr>
        <w:t>V</w:t>
      </w:r>
      <w:r w:rsidR="00CE4F42"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 w:rsidR="00EB1F43">
        <w:rPr>
          <w:rFonts w:ascii="Times New Roman" w:hAnsi="Times New Roman" w:cs="Times New Roman"/>
          <w:sz w:val="20"/>
          <w:szCs w:val="20"/>
        </w:rPr>
        <w:t>1</w:t>
      </w:r>
      <w:r w:rsidR="00CE4F42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 xml:space="preserve">smlouvy se s účinností tohoto dodatku </w:t>
      </w:r>
      <w:r w:rsidR="00EB1F43" w:rsidRPr="00ED04D1">
        <w:rPr>
          <w:rFonts w:ascii="Times New Roman" w:hAnsi="Times New Roman" w:cs="Times New Roman"/>
          <w:sz w:val="20"/>
          <w:szCs w:val="20"/>
        </w:rPr>
        <w:t xml:space="preserve">nahrazuje následujícím zněním: </w:t>
      </w:r>
    </w:p>
    <w:p w14:paraId="26DE886D" w14:textId="24DAB79D" w:rsidR="00EB1F43" w:rsidRPr="00EB1F43" w:rsidRDefault="002642D9" w:rsidP="00EB1F43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1F43">
        <w:rPr>
          <w:rFonts w:ascii="Times New Roman" w:hAnsi="Times New Roman" w:cs="Times New Roman"/>
          <w:sz w:val="20"/>
          <w:szCs w:val="20"/>
        </w:rPr>
        <w:t>„</w:t>
      </w:r>
      <w:r w:rsidR="00EB1F43" w:rsidRPr="00EB1F43">
        <w:rPr>
          <w:rFonts w:ascii="Times New Roman" w:hAnsi="Times New Roman" w:cs="Times New Roman"/>
          <w:sz w:val="20"/>
          <w:szCs w:val="20"/>
        </w:rPr>
        <w:t>Celková výše odměny za zpracování předmětu Smlouvy činí maximálně:</w:t>
      </w:r>
    </w:p>
    <w:p w14:paraId="4224914B" w14:textId="362E7C30" w:rsidR="00EB1F43" w:rsidRPr="00EB1F43" w:rsidRDefault="00186B71" w:rsidP="00EB1F43">
      <w:pPr>
        <w:numPr>
          <w:ilvl w:val="0"/>
          <w:numId w:val="14"/>
        </w:numPr>
        <w:tabs>
          <w:tab w:val="left" w:pos="540"/>
          <w:tab w:val="left" w:pos="5812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1.000</w:t>
      </w:r>
      <w:r w:rsidRPr="00EB1F4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350</w:t>
      </w:r>
      <w:r w:rsidRPr="00EB1F43">
        <w:rPr>
          <w:rFonts w:ascii="Times New Roman" w:hAnsi="Times New Roman" w:cs="Times New Roman"/>
          <w:sz w:val="20"/>
          <w:szCs w:val="20"/>
        </w:rPr>
        <w:t>, -</w:t>
      </w:r>
      <w:r w:rsidR="00EB1F43" w:rsidRPr="00EB1F43">
        <w:rPr>
          <w:rFonts w:ascii="Times New Roman" w:hAnsi="Times New Roman" w:cs="Times New Roman"/>
          <w:sz w:val="20"/>
          <w:szCs w:val="20"/>
        </w:rPr>
        <w:t xml:space="preserve"> Kč bez DPH (slovy: </w:t>
      </w:r>
      <w:r w:rsidR="004B4503">
        <w:rPr>
          <w:rFonts w:ascii="Times New Roman" w:hAnsi="Times New Roman" w:cs="Times New Roman"/>
          <w:sz w:val="20"/>
          <w:szCs w:val="20"/>
        </w:rPr>
        <w:t>jeden milion třistapadesát</w:t>
      </w:r>
      <w:r w:rsidR="00EB1F43" w:rsidRPr="00EB1F43">
        <w:rPr>
          <w:rFonts w:ascii="Times New Roman" w:hAnsi="Times New Roman" w:cs="Times New Roman"/>
          <w:sz w:val="20"/>
          <w:szCs w:val="20"/>
        </w:rPr>
        <w:t xml:space="preserve"> korun českých), </w:t>
      </w:r>
    </w:p>
    <w:p w14:paraId="0FE6BFF8" w14:textId="66A36EEB" w:rsidR="00EB1F43" w:rsidRPr="00EB1F43" w:rsidRDefault="00186B71" w:rsidP="00EB1F43">
      <w:pPr>
        <w:numPr>
          <w:ilvl w:val="0"/>
          <w:numId w:val="14"/>
        </w:numPr>
        <w:tabs>
          <w:tab w:val="left" w:pos="540"/>
          <w:tab w:val="left" w:pos="5812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43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210.424</w:t>
      </w:r>
      <w:r w:rsidRPr="00EB1F43">
        <w:rPr>
          <w:rFonts w:ascii="Times New Roman" w:hAnsi="Times New Roman" w:cs="Times New Roman"/>
          <w:sz w:val="20"/>
          <w:szCs w:val="20"/>
        </w:rPr>
        <w:t>, -</w:t>
      </w:r>
      <w:r w:rsidR="00EB1F43" w:rsidRPr="00EB1F43">
        <w:rPr>
          <w:rFonts w:ascii="Times New Roman" w:hAnsi="Times New Roman" w:cs="Times New Roman"/>
          <w:sz w:val="20"/>
          <w:szCs w:val="20"/>
        </w:rPr>
        <w:t xml:space="preserve"> Kč s DPH (slovy: jeden milion </w:t>
      </w:r>
      <w:r w:rsidR="006D5917">
        <w:rPr>
          <w:rFonts w:ascii="Times New Roman" w:hAnsi="Times New Roman" w:cs="Times New Roman"/>
          <w:sz w:val="20"/>
          <w:szCs w:val="20"/>
        </w:rPr>
        <w:t xml:space="preserve">dvě </w:t>
      </w:r>
      <w:r w:rsidR="004B4503">
        <w:rPr>
          <w:rFonts w:ascii="Times New Roman" w:hAnsi="Times New Roman" w:cs="Times New Roman"/>
          <w:sz w:val="20"/>
          <w:szCs w:val="20"/>
        </w:rPr>
        <w:t>deset</w:t>
      </w:r>
      <w:r w:rsidR="00EB1F43" w:rsidRPr="00EB1F43">
        <w:rPr>
          <w:rFonts w:ascii="Times New Roman" w:hAnsi="Times New Roman" w:cs="Times New Roman"/>
          <w:sz w:val="20"/>
          <w:szCs w:val="20"/>
        </w:rPr>
        <w:t xml:space="preserve"> tisíc </w:t>
      </w:r>
      <w:r w:rsidR="004B4503">
        <w:rPr>
          <w:rFonts w:ascii="Times New Roman" w:hAnsi="Times New Roman" w:cs="Times New Roman"/>
          <w:sz w:val="20"/>
          <w:szCs w:val="20"/>
        </w:rPr>
        <w:t>čtyři</w:t>
      </w:r>
      <w:r w:rsidR="006D5917">
        <w:rPr>
          <w:rFonts w:ascii="Times New Roman" w:hAnsi="Times New Roman" w:cs="Times New Roman"/>
          <w:sz w:val="20"/>
          <w:szCs w:val="20"/>
        </w:rPr>
        <w:t xml:space="preserve"> </w:t>
      </w:r>
      <w:r w:rsidR="00EB1F43" w:rsidRPr="00EB1F43">
        <w:rPr>
          <w:rFonts w:ascii="Times New Roman" w:hAnsi="Times New Roman" w:cs="Times New Roman"/>
          <w:sz w:val="20"/>
          <w:szCs w:val="20"/>
        </w:rPr>
        <w:t>s</w:t>
      </w:r>
      <w:r w:rsidR="004B4503">
        <w:rPr>
          <w:rFonts w:ascii="Times New Roman" w:hAnsi="Times New Roman" w:cs="Times New Roman"/>
          <w:sz w:val="20"/>
          <w:szCs w:val="20"/>
        </w:rPr>
        <w:t>ta</w:t>
      </w:r>
      <w:r w:rsidR="00EB1F43" w:rsidRPr="00EB1F43">
        <w:rPr>
          <w:rFonts w:ascii="Times New Roman" w:hAnsi="Times New Roman" w:cs="Times New Roman"/>
          <w:sz w:val="20"/>
          <w:szCs w:val="20"/>
        </w:rPr>
        <w:t xml:space="preserve"> d</w:t>
      </w:r>
      <w:r w:rsidR="00D421A7">
        <w:rPr>
          <w:rFonts w:ascii="Times New Roman" w:hAnsi="Times New Roman" w:cs="Times New Roman"/>
          <w:sz w:val="20"/>
          <w:szCs w:val="20"/>
        </w:rPr>
        <w:t>vacetčtyři</w:t>
      </w:r>
      <w:r w:rsidR="00EB1F43" w:rsidRPr="00EB1F43">
        <w:rPr>
          <w:rFonts w:ascii="Times New Roman" w:hAnsi="Times New Roman" w:cs="Times New Roman"/>
          <w:sz w:val="20"/>
          <w:szCs w:val="20"/>
        </w:rPr>
        <w:t xml:space="preserve"> korun českých).</w:t>
      </w:r>
    </w:p>
    <w:p w14:paraId="41B751E2" w14:textId="5333066E" w:rsidR="00CE4F42" w:rsidRDefault="00EB1F43" w:rsidP="006D591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B1F43">
        <w:rPr>
          <w:rFonts w:ascii="Times New Roman" w:hAnsi="Times New Roman" w:cs="Times New Roman"/>
          <w:sz w:val="20"/>
          <w:szCs w:val="20"/>
        </w:rPr>
        <w:tab/>
        <w:t>Příkazník není povinen vyčerpat celou částku.</w:t>
      </w:r>
      <w:r w:rsidR="001E7B9C" w:rsidRPr="00ED04D1">
        <w:rPr>
          <w:rFonts w:ascii="Times New Roman" w:hAnsi="Times New Roman" w:cs="Times New Roman"/>
          <w:sz w:val="20"/>
          <w:szCs w:val="20"/>
        </w:rPr>
        <w:t>“.</w:t>
      </w:r>
    </w:p>
    <w:p w14:paraId="222D4915" w14:textId="159A5609" w:rsidR="006F45B0" w:rsidRDefault="006F45B0" w:rsidP="006F45B0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v čl. </w:t>
      </w:r>
      <w:r>
        <w:rPr>
          <w:rFonts w:ascii="Times New Roman" w:eastAsia="Times New Roman" w:hAnsi="Times New Roman" w:cs="Times New Roman"/>
          <w:sz w:val="20"/>
          <w:szCs w:val="20"/>
        </w:rPr>
        <w:t>IX.</w:t>
      </w:r>
      <w:r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D04D1">
        <w:rPr>
          <w:rFonts w:ascii="Times New Roman" w:hAnsi="Times New Roman" w:cs="Times New Roman"/>
          <w:sz w:val="20"/>
          <w:szCs w:val="20"/>
        </w:rPr>
        <w:t xml:space="preserve"> smlouvy se s účinností tohoto dodatku nahrazuje následujícím zněním: </w:t>
      </w:r>
    </w:p>
    <w:p w14:paraId="51D637F3" w14:textId="60951306" w:rsidR="006F45B0" w:rsidRDefault="006F45B0" w:rsidP="006F45B0">
      <w:pPr>
        <w:spacing w:after="12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B1F43">
        <w:rPr>
          <w:rFonts w:ascii="Times New Roman" w:hAnsi="Times New Roman" w:cs="Times New Roman"/>
          <w:sz w:val="20"/>
          <w:szCs w:val="20"/>
        </w:rPr>
        <w:t>„</w:t>
      </w:r>
      <w:r w:rsidRPr="006F45B0">
        <w:rPr>
          <w:rFonts w:ascii="Times New Roman" w:hAnsi="Times New Roman" w:cs="Times New Roman"/>
          <w:sz w:val="20"/>
          <w:szCs w:val="20"/>
        </w:rPr>
        <w:t xml:space="preserve">Tato Smlouva se uzavírá na dobu určitou do 31.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F45B0">
        <w:rPr>
          <w:rFonts w:ascii="Times New Roman" w:hAnsi="Times New Roman" w:cs="Times New Roman"/>
          <w:sz w:val="20"/>
          <w:szCs w:val="20"/>
        </w:rPr>
        <w:t>.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F45B0">
        <w:rPr>
          <w:rFonts w:ascii="Times New Roman" w:hAnsi="Times New Roman" w:cs="Times New Roman"/>
          <w:sz w:val="20"/>
          <w:szCs w:val="20"/>
        </w:rPr>
        <w:t xml:space="preserve"> nebo do ukončení zadávacího řízení nadlimitní veřejné zakázky na rekonstrukci administrativního areálu Emauzy, anebo do vyčerpání maximální výše odměny</w:t>
      </w:r>
      <w:r w:rsidR="00A62373">
        <w:rPr>
          <w:rFonts w:ascii="Times New Roman" w:hAnsi="Times New Roman" w:cs="Times New Roman"/>
          <w:sz w:val="20"/>
          <w:szCs w:val="20"/>
        </w:rPr>
        <w:t xml:space="preserve"> </w:t>
      </w:r>
      <w:r w:rsidRPr="006F45B0">
        <w:rPr>
          <w:rFonts w:ascii="Times New Roman" w:hAnsi="Times New Roman" w:cs="Times New Roman"/>
          <w:sz w:val="20"/>
          <w:szCs w:val="20"/>
        </w:rPr>
        <w:t>za</w:t>
      </w:r>
      <w:r w:rsidR="00A62373">
        <w:rPr>
          <w:rFonts w:ascii="Times New Roman" w:hAnsi="Times New Roman" w:cs="Times New Roman"/>
          <w:sz w:val="20"/>
          <w:szCs w:val="20"/>
        </w:rPr>
        <w:t xml:space="preserve"> </w:t>
      </w:r>
      <w:r w:rsidRPr="006F45B0">
        <w:rPr>
          <w:rFonts w:ascii="Times New Roman" w:hAnsi="Times New Roman" w:cs="Times New Roman"/>
          <w:sz w:val="20"/>
          <w:szCs w:val="20"/>
        </w:rPr>
        <w:t>služby</w:t>
      </w:r>
      <w:r w:rsidR="00A62373">
        <w:rPr>
          <w:rFonts w:ascii="Times New Roman" w:hAnsi="Times New Roman" w:cs="Times New Roman"/>
          <w:sz w:val="20"/>
          <w:szCs w:val="20"/>
        </w:rPr>
        <w:t xml:space="preserve"> </w:t>
      </w:r>
      <w:r w:rsidRPr="006F45B0">
        <w:rPr>
          <w:rFonts w:ascii="Times New Roman" w:hAnsi="Times New Roman" w:cs="Times New Roman"/>
          <w:sz w:val="20"/>
          <w:szCs w:val="20"/>
        </w:rPr>
        <w:t>dle</w:t>
      </w:r>
      <w:r w:rsidR="00A62373">
        <w:rPr>
          <w:rFonts w:ascii="Times New Roman" w:hAnsi="Times New Roman" w:cs="Times New Roman"/>
          <w:sz w:val="20"/>
          <w:szCs w:val="20"/>
        </w:rPr>
        <w:t xml:space="preserve"> </w:t>
      </w:r>
      <w:r w:rsidRPr="006F45B0">
        <w:rPr>
          <w:rFonts w:ascii="Times New Roman" w:hAnsi="Times New Roman" w:cs="Times New Roman"/>
          <w:sz w:val="20"/>
          <w:szCs w:val="20"/>
        </w:rPr>
        <w:t>článku</w:t>
      </w:r>
      <w:r w:rsidR="00A62373">
        <w:rPr>
          <w:rFonts w:ascii="Times New Roman" w:hAnsi="Times New Roman" w:cs="Times New Roman"/>
          <w:sz w:val="20"/>
          <w:szCs w:val="20"/>
        </w:rPr>
        <w:t xml:space="preserve"> </w:t>
      </w:r>
      <w:r w:rsidRPr="006F45B0">
        <w:rPr>
          <w:rFonts w:ascii="Times New Roman" w:hAnsi="Times New Roman" w:cs="Times New Roman"/>
          <w:sz w:val="20"/>
          <w:szCs w:val="20"/>
        </w:rPr>
        <w:t>V.</w:t>
      </w:r>
      <w:r w:rsidR="00A62373">
        <w:rPr>
          <w:rFonts w:ascii="Times New Roman" w:hAnsi="Times New Roman" w:cs="Times New Roman"/>
          <w:sz w:val="20"/>
          <w:szCs w:val="20"/>
        </w:rPr>
        <w:t xml:space="preserve"> </w:t>
      </w:r>
      <w:r w:rsidRPr="006F45B0">
        <w:rPr>
          <w:rFonts w:ascii="Times New Roman" w:hAnsi="Times New Roman" w:cs="Times New Roman"/>
          <w:sz w:val="20"/>
          <w:szCs w:val="20"/>
        </w:rPr>
        <w:t>odst. 1 této Smlouvy.</w:t>
      </w:r>
      <w:r w:rsidR="00A62373">
        <w:rPr>
          <w:rFonts w:ascii="Times New Roman" w:hAnsi="Times New Roman" w:cs="Times New Roman"/>
          <w:sz w:val="20"/>
          <w:szCs w:val="20"/>
        </w:rPr>
        <w:t>“.</w:t>
      </w:r>
    </w:p>
    <w:p w14:paraId="30CD1761" w14:textId="77777777" w:rsidR="001770A6" w:rsidRPr="00ED04D1" w:rsidRDefault="001770A6" w:rsidP="006F45B0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678A8E5D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43B4ED6A" w:rsidR="00013D23" w:rsidRPr="006D591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5917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</w:p>
    <w:p w14:paraId="295C86E2" w14:textId="0A4BE03E" w:rsidR="00013D23" w:rsidRPr="006D591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5917">
        <w:rPr>
          <w:rFonts w:ascii="Times New Roman" w:hAnsi="Times New Roman" w:cs="Times New Roman"/>
          <w:sz w:val="20"/>
          <w:szCs w:val="20"/>
        </w:rPr>
        <w:t xml:space="preserve">Smluvní strany dále prohlašují, </w:t>
      </w:r>
      <w:r w:rsidR="00A62373" w:rsidRPr="006D5917">
        <w:rPr>
          <w:rFonts w:ascii="Times New Roman" w:hAnsi="Times New Roman" w:cs="Times New Roman"/>
          <w:sz w:val="20"/>
          <w:szCs w:val="20"/>
        </w:rPr>
        <w:t>že skutečnosti</w:t>
      </w:r>
      <w:r w:rsidRPr="006D5917">
        <w:rPr>
          <w:rFonts w:ascii="Times New Roman" w:hAnsi="Times New Roman" w:cs="Times New Roman"/>
          <w:sz w:val="20"/>
          <w:szCs w:val="20"/>
        </w:rPr>
        <w:t xml:space="preserve"> uvedené v</w:t>
      </w:r>
      <w:r w:rsidR="00013D23" w:rsidRPr="006D5917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6D5917">
        <w:rPr>
          <w:rFonts w:ascii="Times New Roman" w:hAnsi="Times New Roman" w:cs="Times New Roman"/>
          <w:sz w:val="20"/>
          <w:szCs w:val="20"/>
        </w:rPr>
        <w:t xml:space="preserve"> </w:t>
      </w:r>
      <w:r w:rsidRPr="006D5917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76799683" w:rsidR="00A935CF" w:rsidRPr="006D5917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5917">
        <w:rPr>
          <w:rFonts w:ascii="Times New Roman" w:hAnsi="Times New Roman" w:cs="Times New Roman"/>
          <w:sz w:val="20"/>
          <w:szCs w:val="20"/>
        </w:rPr>
        <w:t>Dodatek</w:t>
      </w:r>
      <w:r w:rsidR="00C94D31" w:rsidRPr="006D5917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6D59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4950D1" w14:textId="77777777" w:rsidR="00A62373" w:rsidRDefault="00A62373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43FB86" w14:textId="77777777" w:rsidR="00A62373" w:rsidRDefault="00A62373" w:rsidP="00BE4E56">
      <w:pPr>
        <w:pStyle w:val="Standardnte"/>
        <w:tabs>
          <w:tab w:val="left" w:pos="709"/>
        </w:tabs>
        <w:rPr>
          <w:sz w:val="20"/>
        </w:rPr>
      </w:pPr>
    </w:p>
    <w:p w14:paraId="02879268" w14:textId="2CBD62E3" w:rsidR="006D5917" w:rsidRPr="006D5917" w:rsidRDefault="006D5917" w:rsidP="006D5917">
      <w:pPr>
        <w:pStyle w:val="Standardnte"/>
        <w:tabs>
          <w:tab w:val="left" w:pos="709"/>
        </w:tabs>
        <w:jc w:val="both"/>
        <w:rPr>
          <w:sz w:val="20"/>
        </w:rPr>
      </w:pPr>
      <w:r w:rsidRPr="006D5917">
        <w:rPr>
          <w:sz w:val="20"/>
        </w:rPr>
        <w:t xml:space="preserve">V Praze dne   </w:t>
      </w:r>
      <w:r w:rsidRPr="006D5917">
        <w:rPr>
          <w:sz w:val="20"/>
        </w:rPr>
        <w:tab/>
        <w:t xml:space="preserve">              </w:t>
      </w:r>
      <w:r w:rsidRPr="006D5917">
        <w:rPr>
          <w:sz w:val="20"/>
        </w:rPr>
        <w:tab/>
      </w:r>
      <w:r w:rsidRPr="006D5917">
        <w:rPr>
          <w:sz w:val="20"/>
        </w:rPr>
        <w:tab/>
      </w:r>
      <w:r w:rsidRPr="006D5917">
        <w:rPr>
          <w:sz w:val="20"/>
        </w:rPr>
        <w:tab/>
      </w:r>
      <w:r w:rsidRPr="006D5917">
        <w:rPr>
          <w:sz w:val="20"/>
        </w:rPr>
        <w:tab/>
        <w:t xml:space="preserve">V Praze dne  </w:t>
      </w:r>
    </w:p>
    <w:p w14:paraId="26084B9E" w14:textId="77777777" w:rsidR="006D5917" w:rsidRPr="006D5917" w:rsidRDefault="006D5917" w:rsidP="006D5917">
      <w:pPr>
        <w:pStyle w:val="Standardnte"/>
        <w:tabs>
          <w:tab w:val="left" w:pos="709"/>
        </w:tabs>
        <w:jc w:val="both"/>
        <w:rPr>
          <w:sz w:val="20"/>
        </w:rPr>
      </w:pPr>
    </w:p>
    <w:p w14:paraId="2749A9D8" w14:textId="77777777" w:rsidR="006D5917" w:rsidRPr="006D5917" w:rsidRDefault="006D5917" w:rsidP="006D5917">
      <w:pPr>
        <w:pStyle w:val="Standardnte"/>
        <w:tabs>
          <w:tab w:val="left" w:pos="709"/>
        </w:tabs>
        <w:jc w:val="both"/>
        <w:rPr>
          <w:sz w:val="20"/>
        </w:rPr>
      </w:pPr>
    </w:p>
    <w:p w14:paraId="50058BD9" w14:textId="77777777" w:rsidR="006D5917" w:rsidRPr="006D5917" w:rsidRDefault="006D5917" w:rsidP="006D5917">
      <w:pPr>
        <w:pStyle w:val="Standardnte"/>
        <w:tabs>
          <w:tab w:val="left" w:pos="709"/>
        </w:tabs>
        <w:jc w:val="both"/>
        <w:rPr>
          <w:sz w:val="20"/>
        </w:rPr>
      </w:pPr>
    </w:p>
    <w:p w14:paraId="7FD2EF80" w14:textId="78876C9D" w:rsidR="006D5917" w:rsidRPr="006D5917" w:rsidRDefault="006D5917" w:rsidP="006D5917">
      <w:pPr>
        <w:pStyle w:val="Standardnte"/>
        <w:tabs>
          <w:tab w:val="left" w:pos="709"/>
        </w:tabs>
        <w:jc w:val="both"/>
        <w:rPr>
          <w:sz w:val="20"/>
        </w:rPr>
      </w:pPr>
      <w:r w:rsidRPr="006D5917">
        <w:rPr>
          <w:sz w:val="20"/>
        </w:rPr>
        <w:t>...............................................</w:t>
      </w:r>
      <w:r w:rsidRPr="006D5917">
        <w:rPr>
          <w:sz w:val="20"/>
        </w:rPr>
        <w:tab/>
      </w:r>
      <w:r w:rsidRPr="006D5917">
        <w:rPr>
          <w:sz w:val="20"/>
        </w:rPr>
        <w:tab/>
      </w:r>
      <w:r w:rsidRPr="006D5917">
        <w:rPr>
          <w:sz w:val="20"/>
        </w:rPr>
        <w:tab/>
        <w:t>...................................................</w:t>
      </w:r>
    </w:p>
    <w:p w14:paraId="5A3B0260" w14:textId="7E5EAE2E" w:rsidR="006D5917" w:rsidRDefault="006D5917" w:rsidP="006D5917">
      <w:pPr>
        <w:jc w:val="both"/>
        <w:rPr>
          <w:rFonts w:ascii="Times New Roman" w:hAnsi="Times New Roman" w:cs="Times New Roman"/>
          <w:sz w:val="20"/>
          <w:szCs w:val="20"/>
        </w:rPr>
      </w:pPr>
      <w:r w:rsidRPr="006D5917">
        <w:rPr>
          <w:rFonts w:ascii="Times New Roman" w:hAnsi="Times New Roman" w:cs="Times New Roman"/>
          <w:sz w:val="20"/>
          <w:szCs w:val="20"/>
        </w:rPr>
        <w:t>Ing. Tomáš Mrkvan</w:t>
      </w:r>
      <w:r w:rsidRPr="006D5917">
        <w:rPr>
          <w:rFonts w:ascii="Times New Roman" w:hAnsi="Times New Roman" w:cs="Times New Roman"/>
          <w:sz w:val="20"/>
          <w:szCs w:val="20"/>
        </w:rPr>
        <w:tab/>
      </w:r>
      <w:r w:rsidRPr="006D5917">
        <w:rPr>
          <w:rFonts w:ascii="Times New Roman" w:hAnsi="Times New Roman" w:cs="Times New Roman"/>
          <w:sz w:val="20"/>
          <w:szCs w:val="20"/>
        </w:rPr>
        <w:tab/>
      </w:r>
      <w:r w:rsidRPr="006D5917">
        <w:rPr>
          <w:rFonts w:ascii="Times New Roman" w:hAnsi="Times New Roman" w:cs="Times New Roman"/>
          <w:sz w:val="20"/>
          <w:szCs w:val="20"/>
        </w:rPr>
        <w:tab/>
      </w:r>
      <w:r w:rsidRPr="006D5917">
        <w:rPr>
          <w:rFonts w:ascii="Times New Roman" w:hAnsi="Times New Roman" w:cs="Times New Roman"/>
          <w:sz w:val="20"/>
          <w:szCs w:val="20"/>
        </w:rPr>
        <w:tab/>
        <w:t>Mgr. Adam Švejda</w:t>
      </w:r>
      <w:r w:rsidR="00A623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762980" w14:textId="5BA15E77" w:rsidR="00A62373" w:rsidRPr="006D5917" w:rsidRDefault="00BE4E56" w:rsidP="006D591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jednatel</w:t>
      </w:r>
      <w:r w:rsidR="00A62373">
        <w:rPr>
          <w:rFonts w:ascii="Times New Roman" w:hAnsi="Times New Roman" w:cs="Times New Roman"/>
          <w:sz w:val="20"/>
          <w:szCs w:val="20"/>
        </w:rPr>
        <w:tab/>
      </w:r>
      <w:r w:rsidR="00A62373">
        <w:rPr>
          <w:rFonts w:ascii="Times New Roman" w:hAnsi="Times New Roman" w:cs="Times New Roman"/>
          <w:sz w:val="20"/>
          <w:szCs w:val="20"/>
        </w:rPr>
        <w:tab/>
      </w:r>
      <w:r w:rsidR="00A62373">
        <w:rPr>
          <w:rFonts w:ascii="Times New Roman" w:hAnsi="Times New Roman" w:cs="Times New Roman"/>
          <w:sz w:val="20"/>
          <w:szCs w:val="20"/>
        </w:rPr>
        <w:tab/>
      </w:r>
      <w:r w:rsidR="00A62373">
        <w:rPr>
          <w:rFonts w:ascii="Times New Roman" w:hAnsi="Times New Roman" w:cs="Times New Roman"/>
          <w:sz w:val="20"/>
          <w:szCs w:val="20"/>
        </w:rPr>
        <w:tab/>
      </w:r>
      <w:r w:rsidR="00A62373">
        <w:rPr>
          <w:rFonts w:ascii="Times New Roman" w:hAnsi="Times New Roman" w:cs="Times New Roman"/>
          <w:sz w:val="20"/>
          <w:szCs w:val="20"/>
        </w:rPr>
        <w:tab/>
      </w:r>
      <w:r w:rsidR="00A6237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zástupce ředitele pro provozní </w:t>
      </w:r>
      <w:r w:rsidR="00A62373">
        <w:rPr>
          <w:rFonts w:ascii="Times New Roman" w:hAnsi="Times New Roman" w:cs="Times New Roman"/>
          <w:sz w:val="20"/>
          <w:szCs w:val="20"/>
        </w:rPr>
        <w:t xml:space="preserve">a ekonomickou </w:t>
      </w:r>
      <w:r>
        <w:rPr>
          <w:rFonts w:ascii="Times New Roman" w:hAnsi="Times New Roman" w:cs="Times New Roman"/>
          <w:sz w:val="20"/>
          <w:szCs w:val="20"/>
        </w:rPr>
        <w:t>činnost</w:t>
      </w:r>
    </w:p>
    <w:p w14:paraId="68308037" w14:textId="52B54ADF" w:rsidR="006D5917" w:rsidRPr="006D5917" w:rsidRDefault="006D5917" w:rsidP="00A62373">
      <w:pPr>
        <w:ind w:left="5664" w:hanging="5664"/>
        <w:jc w:val="both"/>
        <w:rPr>
          <w:rFonts w:ascii="Times New Roman" w:hAnsi="Times New Roman" w:cs="Times New Roman"/>
          <w:sz w:val="20"/>
          <w:szCs w:val="20"/>
        </w:rPr>
      </w:pPr>
      <w:r w:rsidRPr="006D5917">
        <w:rPr>
          <w:rFonts w:ascii="Times New Roman" w:hAnsi="Times New Roman" w:cs="Times New Roman"/>
          <w:sz w:val="20"/>
          <w:szCs w:val="20"/>
        </w:rPr>
        <w:t>CONTRACTIS, s.r.o.</w:t>
      </w:r>
      <w:r w:rsidR="00BE4E56">
        <w:rPr>
          <w:rFonts w:ascii="Times New Roman" w:hAnsi="Times New Roman" w:cs="Times New Roman"/>
          <w:sz w:val="20"/>
          <w:szCs w:val="20"/>
        </w:rPr>
        <w:t xml:space="preserve">                                                 Institut plánování a rozvoje hlavního města Prahy             </w:t>
      </w:r>
    </w:p>
    <w:p w14:paraId="1868CB94" w14:textId="31902650" w:rsidR="00A935CF" w:rsidRPr="00ED04D1" w:rsidRDefault="00A935CF" w:rsidP="001B198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55FE4815" w:rsidR="00B971C4" w:rsidRPr="00740406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740406">
      <w:rPr>
        <w:rFonts w:ascii="Times New Roman" w:hAnsi="Times New Roman" w:cs="Times New Roman"/>
        <w:sz w:val="20"/>
      </w:rPr>
      <w:t xml:space="preserve">č. smlouvy </w:t>
    </w:r>
    <w:r w:rsidR="00740406">
      <w:rPr>
        <w:rFonts w:ascii="Times New Roman" w:hAnsi="Times New Roman" w:cs="Times New Roman"/>
        <w:sz w:val="20"/>
      </w:rPr>
      <w:t>příkazce</w:t>
    </w:r>
    <w:r w:rsidRPr="00740406">
      <w:rPr>
        <w:rFonts w:ascii="Times New Roman" w:hAnsi="Times New Roman" w:cs="Times New Roman"/>
        <w:sz w:val="20"/>
      </w:rPr>
      <w:t>: ZAK</w:t>
    </w:r>
    <w:r w:rsidR="00740406" w:rsidRPr="00740406">
      <w:rPr>
        <w:rFonts w:ascii="Times New Roman" w:hAnsi="Times New Roman" w:cs="Times New Roman"/>
        <w:sz w:val="20"/>
      </w:rPr>
      <w:t xml:space="preserve"> 22-0116.4 </w:t>
    </w:r>
  </w:p>
  <w:p w14:paraId="6D35E238" w14:textId="7A96903A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740406">
      <w:rPr>
        <w:rFonts w:ascii="Times New Roman" w:hAnsi="Times New Roman" w:cs="Times New Roman"/>
        <w:sz w:val="20"/>
      </w:rPr>
      <w:t xml:space="preserve">č. smlouvy </w:t>
    </w:r>
    <w:r w:rsidR="00740406">
      <w:rPr>
        <w:rFonts w:ascii="Times New Roman" w:hAnsi="Times New Roman" w:cs="Times New Roman"/>
        <w:sz w:val="20"/>
      </w:rPr>
      <w:t>příkazníka</w:t>
    </w:r>
    <w:r w:rsidRPr="00740406">
      <w:rPr>
        <w:rFonts w:ascii="Times New Roman" w:hAnsi="Times New Roman" w:cs="Times New Roman"/>
        <w:sz w:val="20"/>
      </w:rPr>
      <w:t>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53C"/>
    <w:multiLevelType w:val="hybridMultilevel"/>
    <w:tmpl w:val="14A212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D4C35"/>
    <w:multiLevelType w:val="hybridMultilevel"/>
    <w:tmpl w:val="47E44A1C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F0793"/>
    <w:multiLevelType w:val="hybridMultilevel"/>
    <w:tmpl w:val="93861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B6172"/>
    <w:multiLevelType w:val="hybridMultilevel"/>
    <w:tmpl w:val="69D81F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05420">
    <w:abstractNumId w:val="14"/>
  </w:num>
  <w:num w:numId="2" w16cid:durableId="1220361600">
    <w:abstractNumId w:val="6"/>
  </w:num>
  <w:num w:numId="3" w16cid:durableId="2006740791">
    <w:abstractNumId w:val="15"/>
  </w:num>
  <w:num w:numId="4" w16cid:durableId="1168520491">
    <w:abstractNumId w:val="13"/>
  </w:num>
  <w:num w:numId="5" w16cid:durableId="1320184021">
    <w:abstractNumId w:val="7"/>
  </w:num>
  <w:num w:numId="6" w16cid:durableId="596058554">
    <w:abstractNumId w:val="8"/>
  </w:num>
  <w:num w:numId="7" w16cid:durableId="1216042891">
    <w:abstractNumId w:val="4"/>
  </w:num>
  <w:num w:numId="8" w16cid:durableId="43800056">
    <w:abstractNumId w:val="5"/>
  </w:num>
  <w:num w:numId="9" w16cid:durableId="743920196">
    <w:abstractNumId w:val="11"/>
  </w:num>
  <w:num w:numId="10" w16cid:durableId="183324546">
    <w:abstractNumId w:val="0"/>
  </w:num>
  <w:num w:numId="11" w16cid:durableId="1008992874">
    <w:abstractNumId w:val="3"/>
  </w:num>
  <w:num w:numId="12" w16cid:durableId="1182429857">
    <w:abstractNumId w:val="10"/>
  </w:num>
  <w:num w:numId="13" w16cid:durableId="790786453">
    <w:abstractNumId w:val="2"/>
  </w:num>
  <w:num w:numId="14" w16cid:durableId="676882938">
    <w:abstractNumId w:val="1"/>
  </w:num>
  <w:num w:numId="15" w16cid:durableId="743798758">
    <w:abstractNumId w:val="12"/>
  </w:num>
  <w:num w:numId="16" w16cid:durableId="1153831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B314A"/>
    <w:rsid w:val="00123792"/>
    <w:rsid w:val="00156451"/>
    <w:rsid w:val="001770A6"/>
    <w:rsid w:val="00186B71"/>
    <w:rsid w:val="001A4F97"/>
    <w:rsid w:val="001B198B"/>
    <w:rsid w:val="001E7B9C"/>
    <w:rsid w:val="002077C2"/>
    <w:rsid w:val="00231B5B"/>
    <w:rsid w:val="0026139E"/>
    <w:rsid w:val="002642D9"/>
    <w:rsid w:val="0028266E"/>
    <w:rsid w:val="00297410"/>
    <w:rsid w:val="002A0BF7"/>
    <w:rsid w:val="002A2CDA"/>
    <w:rsid w:val="002B688F"/>
    <w:rsid w:val="002E6F98"/>
    <w:rsid w:val="002F56C8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4503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42A22"/>
    <w:rsid w:val="00657581"/>
    <w:rsid w:val="00667961"/>
    <w:rsid w:val="006714D3"/>
    <w:rsid w:val="006759AB"/>
    <w:rsid w:val="006D5917"/>
    <w:rsid w:val="006F3997"/>
    <w:rsid w:val="006F45B0"/>
    <w:rsid w:val="006F7E8C"/>
    <w:rsid w:val="00740406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1415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B2874"/>
    <w:rsid w:val="009D3E20"/>
    <w:rsid w:val="009E621E"/>
    <w:rsid w:val="00A1627D"/>
    <w:rsid w:val="00A417C3"/>
    <w:rsid w:val="00A57F4D"/>
    <w:rsid w:val="00A62373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03CF8"/>
    <w:rsid w:val="00B265B4"/>
    <w:rsid w:val="00B30F1A"/>
    <w:rsid w:val="00B354F2"/>
    <w:rsid w:val="00B46B96"/>
    <w:rsid w:val="00B971C4"/>
    <w:rsid w:val="00BE1E68"/>
    <w:rsid w:val="00BE4E56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421A7"/>
    <w:rsid w:val="00D533C7"/>
    <w:rsid w:val="00D804D1"/>
    <w:rsid w:val="00D90DB7"/>
    <w:rsid w:val="00DA7AB6"/>
    <w:rsid w:val="00DF158E"/>
    <w:rsid w:val="00E01AE6"/>
    <w:rsid w:val="00E30876"/>
    <w:rsid w:val="00E54FB6"/>
    <w:rsid w:val="00E772E3"/>
    <w:rsid w:val="00E77CB6"/>
    <w:rsid w:val="00EA711E"/>
    <w:rsid w:val="00EB1F43"/>
    <w:rsid w:val="00EB2DE9"/>
    <w:rsid w:val="00ED04D1"/>
    <w:rsid w:val="00F1680C"/>
    <w:rsid w:val="00F2682A"/>
    <w:rsid w:val="00F33E31"/>
    <w:rsid w:val="00F43A2E"/>
    <w:rsid w:val="00F92FE7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nte">
    <w:name w:val="Standardní te"/>
    <w:rsid w:val="0074040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4040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40406"/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B03CF8"/>
    <w:pPr>
      <w:spacing w:after="120"/>
      <w:ind w:left="709" w:firstLine="1233"/>
      <w:jc w:val="both"/>
    </w:pPr>
    <w:rPr>
      <w:rFonts w:ascii="UnitPro-Light" w:eastAsia="Times New Roman" w:hAnsi="UnitPro-Light" w:cs="UnitPro-Light"/>
      <w:bCs/>
      <w:sz w:val="20"/>
      <w:szCs w:val="20"/>
    </w:rPr>
  </w:style>
  <w:style w:type="character" w:customStyle="1" w:styleId="slovnUnitrproLightChar">
    <w:name w:val="Číslování Unitr pro Light Char"/>
    <w:link w:val="slovnUnitrproLight"/>
    <w:rsid w:val="00B03CF8"/>
    <w:rPr>
      <w:rFonts w:ascii="UnitPro-Light" w:eastAsia="Times New Roman" w:hAnsi="UnitPro-Light" w:cs="UnitPro-Light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4</cp:revision>
  <cp:lastPrinted>2017-10-20T09:10:00Z</cp:lastPrinted>
  <dcterms:created xsi:type="dcterms:W3CDTF">2025-03-07T10:16:00Z</dcterms:created>
  <dcterms:modified xsi:type="dcterms:W3CDTF">2025-03-14T14:02:00Z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