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289/2025</w:t>
      </w:r>
    </w:p>
    <w:p>
      <w:pPr>
        <w:pStyle w:val="Style4"/>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o výkonu činnosti koordinátora BOZP při realizaci stavby</w:t>
        <w:br/>
      </w:r>
      <w:r>
        <w:rPr>
          <w:color w:val="000000"/>
          <w:spacing w:val="0"/>
          <w:w w:val="100"/>
          <w:position w:val="0"/>
          <w:shd w:val="clear" w:color="auto" w:fill="auto"/>
          <w:lang w:val="cs-CZ" w:eastAsia="cs-CZ" w:bidi="cs-CZ"/>
        </w:rPr>
        <w:t>„Jez na Teplé u ČS Teplička - výstavba rybího přechodu“</w:t>
      </w:r>
    </w:p>
    <w:p>
      <w:pPr>
        <w:pStyle w:val="Style2"/>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br/>
        <w:t>309/2006 Sb.</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 ve věcech smluvních: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170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SINNET.EU s.r.o.</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Patočkova 2386/83, Břevnov, 169 00 Praha 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odborně způsobilá osoba: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hlavní koordinátor BOZP na staveništi: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koordinátor BOZP na staveništi:</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28741447</w:t>
      </w:r>
    </w:p>
    <w:p>
      <w:pPr>
        <w:pStyle w:val="Style2"/>
        <w:keepNext w:val="0"/>
        <w:keepLines w:val="0"/>
        <w:widowControl w:val="0"/>
        <w:shd w:val="clear" w:color="auto" w:fill="auto"/>
        <w:tabs>
          <w:tab w:pos="420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CZ28741447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zapsán v obchodním rejstříku u Městského soudu v Praze oddíl C, vložka 182802 (</w:t>
      </w:r>
      <w:r>
        <w:rPr>
          <w:i/>
          <w:iCs/>
          <w:color w:val="000000"/>
          <w:spacing w:val="0"/>
          <w:w w:val="100"/>
          <w:position w:val="0"/>
          <w:shd w:val="clear" w:color="auto" w:fill="auto"/>
          <w:lang w:val="cs-CZ" w:eastAsia="cs-CZ" w:bidi="cs-CZ"/>
        </w:rPr>
        <w:t>dále jen koordinátor)</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2.</w:t>
        <w:br/>
        <w:t>Předmět a účel smlouvy</w:t>
      </w:r>
    </w:p>
    <w:p>
      <w:pPr>
        <w:pStyle w:val="Style2"/>
        <w:keepNext w:val="0"/>
        <w:keepLines w:val="0"/>
        <w:widowControl w:val="0"/>
        <w:shd w:val="clear" w:color="auto" w:fill="auto"/>
        <w:bidi w:val="0"/>
        <w:spacing w:before="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„Jez na Teplé u ČS Teplička - výstavba rybího přechodu“</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pPr>
        <w:pStyle w:val="Style2"/>
        <w:keepNext w:val="0"/>
        <w:keepLines w:val="0"/>
        <w:widowControl w:val="0"/>
        <w:numPr>
          <w:ilvl w:val="0"/>
          <w:numId w:val="1"/>
        </w:numPr>
        <w:shd w:val="clear" w:color="auto" w:fill="auto"/>
        <w:tabs>
          <w:tab w:pos="701" w:val="left"/>
        </w:tabs>
        <w:bidi w:val="0"/>
        <w:spacing w:before="0" w:line="240" w:lineRule="auto"/>
        <w:ind w:left="720" w:right="0" w:hanging="720"/>
        <w:jc w:val="both"/>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„Jez na Teplé u ČS Teplička - výstavba rybího přechodu“</w:t>
      </w:r>
      <w:r>
        <w:rPr>
          <w:color w:val="000000"/>
          <w:spacing w:val="0"/>
          <w:w w:val="100"/>
          <w:position w:val="0"/>
          <w:shd w:val="clear" w:color="auto" w:fill="auto"/>
          <w:lang w:val="cs-CZ" w:eastAsia="cs-CZ" w:bidi="cs-CZ"/>
        </w:rPr>
        <w:t xml:space="preserve"> v souladu s platnou právní úpravou.</w:t>
      </w:r>
    </w:p>
    <w:p>
      <w:pPr>
        <w:pStyle w:val="Style2"/>
        <w:keepNext w:val="0"/>
        <w:keepLines w:val="0"/>
        <w:widowControl w:val="0"/>
        <w:numPr>
          <w:ilvl w:val="0"/>
          <w:numId w:val="1"/>
        </w:numPr>
        <w:shd w:val="clear" w:color="auto" w:fill="auto"/>
        <w:tabs>
          <w:tab w:pos="701" w:val="left"/>
        </w:tabs>
        <w:bidi w:val="0"/>
        <w:spacing w:before="0" w:after="44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2"/>
        <w:keepNext w:val="0"/>
        <w:keepLines w:val="0"/>
        <w:widowControl w:val="0"/>
        <w:numPr>
          <w:ilvl w:val="1"/>
          <w:numId w:val="1"/>
        </w:numPr>
        <w:shd w:val="clear" w:color="auto" w:fill="auto"/>
        <w:tabs>
          <w:tab w:pos="701" w:val="left"/>
        </w:tabs>
        <w:bidi w:val="0"/>
        <w:spacing w:before="0" w:line="240" w:lineRule="auto"/>
        <w:ind w:left="0" w:right="0" w:firstLine="0"/>
        <w:jc w:val="left"/>
      </w:pPr>
      <w:bookmarkStart w:id="2" w:name="bookmark2"/>
      <w:bookmarkEnd w:id="2"/>
      <w:r>
        <w:rPr>
          <w:color w:val="000000"/>
          <w:spacing w:val="0"/>
          <w:w w:val="100"/>
          <w:position w:val="0"/>
          <w:shd w:val="clear" w:color="auto" w:fill="auto"/>
          <w:lang w:val="cs-CZ" w:eastAsia="cs-CZ" w:bidi="cs-CZ"/>
        </w:rPr>
        <w:t>Koordinátor je povinen:</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2"/>
        <w:keepNext w:val="0"/>
        <w:keepLines w:val="0"/>
        <w:widowControl w:val="0"/>
        <w:numPr>
          <w:ilvl w:val="2"/>
          <w:numId w:val="1"/>
        </w:numPr>
        <w:shd w:val="clear" w:color="auto" w:fill="auto"/>
        <w:tabs>
          <w:tab w:pos="719"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2"/>
        <w:keepNext w:val="0"/>
        <w:keepLines w:val="0"/>
        <w:widowControl w:val="0"/>
        <w:numPr>
          <w:ilvl w:val="2"/>
          <w:numId w:val="1"/>
        </w:numPr>
        <w:shd w:val="clear" w:color="auto" w:fill="auto"/>
        <w:tabs>
          <w:tab w:pos="719"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2"/>
        <w:keepNext w:val="0"/>
        <w:keepLines w:val="0"/>
        <w:widowControl w:val="0"/>
        <w:numPr>
          <w:ilvl w:val="2"/>
          <w:numId w:val="1"/>
        </w:numPr>
        <w:shd w:val="clear" w:color="auto" w:fill="auto"/>
        <w:tabs>
          <w:tab w:pos="872" w:val="left"/>
        </w:tabs>
        <w:bidi w:val="0"/>
        <w:spacing w:before="0" w:after="46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2"/>
        <w:keepNext w:val="0"/>
        <w:keepLines w:val="0"/>
        <w:widowControl w:val="0"/>
        <w:numPr>
          <w:ilvl w:val="0"/>
          <w:numId w:val="3"/>
        </w:numPr>
        <w:shd w:val="clear" w:color="auto" w:fill="auto"/>
        <w:tabs>
          <w:tab w:pos="704" w:val="left"/>
        </w:tabs>
        <w:bidi w:val="0"/>
        <w:spacing w:before="0" w:line="240" w:lineRule="auto"/>
        <w:ind w:left="720" w:right="0" w:hanging="720"/>
        <w:jc w:val="both"/>
      </w:pPr>
      <w:bookmarkStart w:id="13" w:name="bookmark13"/>
      <w:bookmarkEnd w:id="13"/>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2"/>
        <w:keepNext w:val="0"/>
        <w:keepLines w:val="0"/>
        <w:widowControl w:val="0"/>
        <w:numPr>
          <w:ilvl w:val="0"/>
          <w:numId w:val="3"/>
        </w:numPr>
        <w:shd w:val="clear" w:color="auto" w:fill="auto"/>
        <w:tabs>
          <w:tab w:pos="704" w:val="left"/>
        </w:tabs>
        <w:bidi w:val="0"/>
        <w:spacing w:before="0" w:line="240" w:lineRule="auto"/>
        <w:ind w:left="720" w:right="0" w:hanging="720"/>
        <w:jc w:val="both"/>
      </w:pPr>
      <w:bookmarkStart w:id="14" w:name="bookmark14"/>
      <w:bookmarkEnd w:id="14"/>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2"/>
        <w:keepNext w:val="0"/>
        <w:keepLines w:val="0"/>
        <w:widowControl w:val="0"/>
        <w:numPr>
          <w:ilvl w:val="0"/>
          <w:numId w:val="3"/>
        </w:numPr>
        <w:shd w:val="clear" w:color="auto" w:fill="auto"/>
        <w:tabs>
          <w:tab w:pos="704" w:val="left"/>
        </w:tabs>
        <w:bidi w:val="0"/>
        <w:spacing w:before="0" w:line="240" w:lineRule="auto"/>
        <w:ind w:left="0" w:right="0" w:firstLine="0"/>
        <w:jc w:val="left"/>
      </w:pPr>
      <w:bookmarkStart w:id="15" w:name="bookmark15"/>
      <w:bookmarkEnd w:id="15"/>
      <w:r>
        <w:rPr>
          <w:color w:val="000000"/>
          <w:spacing w:val="0"/>
          <w:w w:val="100"/>
          <w:position w:val="0"/>
          <w:shd w:val="clear" w:color="auto" w:fill="auto"/>
          <w:lang w:val="cs-CZ" w:eastAsia="cs-CZ" w:bidi="cs-CZ"/>
        </w:rPr>
        <w:t>Předat koordinátorovi rizika plynoucí z prostředí místa budoucího pracoviště.</w:t>
      </w:r>
    </w:p>
    <w:p>
      <w:pPr>
        <w:pStyle w:val="Style2"/>
        <w:keepNext w:val="0"/>
        <w:keepLines w:val="0"/>
        <w:widowControl w:val="0"/>
        <w:numPr>
          <w:ilvl w:val="0"/>
          <w:numId w:val="3"/>
        </w:numPr>
        <w:shd w:val="clear" w:color="auto" w:fill="auto"/>
        <w:tabs>
          <w:tab w:pos="704" w:val="left"/>
        </w:tabs>
        <w:bidi w:val="0"/>
        <w:spacing w:before="0" w:after="460" w:line="240" w:lineRule="auto"/>
        <w:ind w:left="720" w:right="0" w:hanging="720"/>
        <w:jc w:val="both"/>
      </w:pPr>
      <w:bookmarkStart w:id="16" w:name="bookmark16"/>
      <w:bookmarkEnd w:id="16"/>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5.</w:t>
        <w:br/>
        <w:t>Doba plnění</w:t>
      </w:r>
    </w:p>
    <w:p>
      <w:pPr>
        <w:pStyle w:val="Style2"/>
        <w:keepNext w:val="0"/>
        <w:keepLines w:val="0"/>
        <w:widowControl w:val="0"/>
        <w:numPr>
          <w:ilvl w:val="0"/>
          <w:numId w:val="5"/>
        </w:numPr>
        <w:shd w:val="clear" w:color="auto" w:fill="auto"/>
        <w:tabs>
          <w:tab w:pos="704" w:val="left"/>
        </w:tabs>
        <w:bidi w:val="0"/>
        <w:spacing w:before="0" w:line="240" w:lineRule="auto"/>
        <w:ind w:left="720" w:right="0" w:hanging="720"/>
        <w:jc w:val="left"/>
      </w:pPr>
      <w:bookmarkStart w:id="17" w:name="bookmark17"/>
      <w:bookmarkEnd w:id="17"/>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2"/>
        <w:keepNext w:val="0"/>
        <w:keepLines w:val="0"/>
        <w:widowControl w:val="0"/>
        <w:shd w:val="clear" w:color="auto" w:fill="auto"/>
        <w:bidi w:val="0"/>
        <w:spacing w:before="0" w:after="460" w:line="240" w:lineRule="auto"/>
        <w:ind w:left="720" w:right="0" w:hanging="720"/>
        <w:jc w:val="left"/>
      </w:pPr>
      <w:r>
        <w:rPr>
          <w:color w:val="000000"/>
          <w:spacing w:val="0"/>
          <w:w w:val="100"/>
          <w:position w:val="0"/>
          <w:shd w:val="clear" w:color="auto" w:fill="auto"/>
          <w:lang w:val="cs-CZ" w:eastAsia="cs-CZ" w:bidi="cs-CZ"/>
        </w:rPr>
        <w:t>5.2 K datu protokolárního ukončení činnosti koordinátora předá objednateli závěrečné vyhodnocení stavby z hlediska BOZP a bude vystaven konečný daňový doklad.</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2"/>
        <w:keepNext w:val="0"/>
        <w:keepLines w:val="0"/>
        <w:widowControl w:val="0"/>
        <w:numPr>
          <w:ilvl w:val="0"/>
          <w:numId w:val="7"/>
        </w:numPr>
        <w:shd w:val="clear" w:color="auto" w:fill="auto"/>
        <w:tabs>
          <w:tab w:pos="704"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Cena za výkon činnosti koordinátora ve fázi realizace stavby se sjednává ve výši 2050,- Kč/týden bez DPH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2"/>
        <w:keepNext w:val="0"/>
        <w:keepLines w:val="0"/>
        <w:widowControl w:val="0"/>
        <w:shd w:val="clear" w:color="auto" w:fill="auto"/>
        <w:bidi w:val="0"/>
        <w:spacing w:before="0" w:line="240" w:lineRule="auto"/>
        <w:ind w:left="0" w:right="0" w:firstLine="720"/>
        <w:jc w:val="both"/>
      </w:pPr>
      <w:bookmarkStart w:id="19" w:name="bookmark19"/>
      <w:r>
        <w:rPr>
          <w:color w:val="000000"/>
          <w:spacing w:val="0"/>
          <w:w w:val="100"/>
          <w:position w:val="0"/>
          <w:shd w:val="clear" w:color="auto" w:fill="auto"/>
          <w:lang w:val="cs-CZ" w:eastAsia="cs-CZ" w:bidi="cs-CZ"/>
        </w:rPr>
        <w:t>M</w:t>
      </w:r>
      <w:bookmarkEnd w:id="19"/>
      <w:r>
        <w:rPr>
          <w:color w:val="000000"/>
          <w:spacing w:val="0"/>
          <w:w w:val="100"/>
          <w:position w:val="0"/>
          <w:shd w:val="clear" w:color="auto" w:fill="auto"/>
          <w:lang w:val="cs-CZ" w:eastAsia="cs-CZ" w:bidi="cs-CZ"/>
        </w:rPr>
        <w:t>aximální cena činí: 63 550,- Kč bez DPH.</w:t>
      </w:r>
    </w:p>
    <w:p>
      <w:pPr>
        <w:pStyle w:val="Style2"/>
        <w:keepNext w:val="0"/>
        <w:keepLines w:val="0"/>
        <w:widowControl w:val="0"/>
        <w:numPr>
          <w:ilvl w:val="0"/>
          <w:numId w:val="7"/>
        </w:numPr>
        <w:shd w:val="clear" w:color="auto" w:fill="auto"/>
        <w:tabs>
          <w:tab w:pos="704" w:val="left"/>
        </w:tabs>
        <w:bidi w:val="0"/>
        <w:spacing w:before="0" w:after="460" w:line="240" w:lineRule="auto"/>
        <w:ind w:left="720" w:right="0" w:hanging="720"/>
        <w:jc w:val="left"/>
      </w:pPr>
      <w:bookmarkStart w:id="20" w:name="bookmark20"/>
      <w:bookmarkEnd w:id="20"/>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2"/>
        <w:keepNext w:val="0"/>
        <w:keepLines w:val="0"/>
        <w:widowControl w:val="0"/>
        <w:numPr>
          <w:ilvl w:val="0"/>
          <w:numId w:val="9"/>
        </w:numPr>
        <w:shd w:val="clear" w:color="auto" w:fill="auto"/>
        <w:tabs>
          <w:tab w:pos="704" w:val="left"/>
        </w:tabs>
        <w:bidi w:val="0"/>
        <w:spacing w:before="0" w:line="240" w:lineRule="auto"/>
        <w:ind w:left="720" w:right="0" w:hanging="720"/>
        <w:jc w:val="both"/>
      </w:pPr>
      <w:bookmarkStart w:id="21" w:name="bookmark21"/>
      <w:bookmarkEnd w:id="21"/>
      <w:r>
        <w:rPr>
          <w:color w:val="000000"/>
          <w:spacing w:val="0"/>
          <w:w w:val="100"/>
          <w:position w:val="0"/>
          <w:shd w:val="clear" w:color="auto" w:fill="auto"/>
          <w:lang w:val="cs-CZ" w:eastAsia="cs-CZ" w:bidi="cs-CZ"/>
        </w:rPr>
        <w:t>Cena za výkon činnosti koordinátora bude fakturována dle skutečného rozsahu prací (počtu týdnů) odsouhlasených zástupcem objednatele – technickým dozorem investora. Předávací protokoly musí být přiloženy k vystavenému daňovému dokladu.</w:t>
      </w:r>
    </w:p>
    <w:p>
      <w:pPr>
        <w:pStyle w:val="Style2"/>
        <w:keepNext w:val="0"/>
        <w:keepLines w:val="0"/>
        <w:widowControl w:val="0"/>
        <w:numPr>
          <w:ilvl w:val="0"/>
          <w:numId w:val="9"/>
        </w:numPr>
        <w:shd w:val="clear" w:color="auto" w:fill="auto"/>
        <w:tabs>
          <w:tab w:pos="701" w:val="left"/>
        </w:tabs>
        <w:bidi w:val="0"/>
        <w:spacing w:before="0" w:line="240" w:lineRule="auto"/>
        <w:ind w:left="720" w:right="0" w:hanging="720"/>
        <w:jc w:val="both"/>
      </w:pPr>
      <w:bookmarkStart w:id="22" w:name="bookmark22"/>
      <w:bookmarkEnd w:id="22"/>
      <w:r>
        <w:rPr>
          <w:color w:val="000000"/>
          <w:spacing w:val="0"/>
          <w:w w:val="100"/>
          <w:position w:val="0"/>
          <w:shd w:val="clear" w:color="auto" w:fill="auto"/>
          <w:lang w:val="cs-CZ" w:eastAsia="cs-CZ" w:bidi="cs-CZ"/>
        </w:rPr>
        <w:t>Koordinátor je povinen vystavit příslušný daňový doklad do 7 dnů ode dne uskutečnění zdanitelného plnění tj. k poslednímu dni v měsíci a k datu protokolárního ukončení činnosti koordinátora.</w:t>
      </w:r>
    </w:p>
    <w:p>
      <w:pPr>
        <w:pStyle w:val="Style2"/>
        <w:keepNext w:val="0"/>
        <w:keepLines w:val="0"/>
        <w:widowControl w:val="0"/>
        <w:numPr>
          <w:ilvl w:val="0"/>
          <w:numId w:val="9"/>
        </w:numPr>
        <w:shd w:val="clear" w:color="auto" w:fill="auto"/>
        <w:tabs>
          <w:tab w:pos="701" w:val="left"/>
        </w:tabs>
        <w:bidi w:val="0"/>
        <w:spacing w:before="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 xml:space="preserve">Lhůta splatnosti daňového dokladu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2"/>
        <w:keepNext w:val="0"/>
        <w:keepLines w:val="0"/>
        <w:widowControl w:val="0"/>
        <w:numPr>
          <w:ilvl w:val="0"/>
          <w:numId w:val="9"/>
        </w:numPr>
        <w:shd w:val="clear" w:color="auto" w:fill="auto"/>
        <w:tabs>
          <w:tab w:pos="701"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Daňové doklady musí obsahovat všechny náležitosti dle platných zákonných předpisů.</w:t>
      </w:r>
    </w:p>
    <w:p>
      <w:pPr>
        <w:pStyle w:val="Style2"/>
        <w:keepNext w:val="0"/>
        <w:keepLines w:val="0"/>
        <w:widowControl w:val="0"/>
        <w:numPr>
          <w:ilvl w:val="0"/>
          <w:numId w:val="9"/>
        </w:numPr>
        <w:shd w:val="clear" w:color="auto" w:fill="auto"/>
        <w:tabs>
          <w:tab w:pos="701" w:val="left"/>
        </w:tabs>
        <w:bidi w:val="0"/>
        <w:spacing w:before="0" w:after="440" w:line="240" w:lineRule="auto"/>
        <w:ind w:left="720" w:right="0" w:hanging="720"/>
        <w:jc w:val="both"/>
      </w:pPr>
      <w:bookmarkStart w:id="25" w:name="bookmark25"/>
      <w:bookmarkEnd w:id="25"/>
      <w:r>
        <w:rPr>
          <w:color w:val="000000"/>
          <w:spacing w:val="0"/>
          <w:w w:val="100"/>
          <w:position w:val="0"/>
          <w:shd w:val="clear" w:color="auto" w:fill="auto"/>
          <w:lang w:val="cs-CZ" w:eastAsia="cs-CZ" w:bidi="cs-CZ"/>
        </w:rPr>
        <w:t>V případě chybějících údajů na daňovém dokladu vrátí objednatel koordinátorovi daňový doklad k doplnění. Lhůta pro zaplacení se pak počítá od doby vrácení doplněného daňového dokladu objednateli.</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8.</w:t>
        <w:br/>
        <w:t>Odpovědnost za škodu</w:t>
      </w:r>
    </w:p>
    <w:p>
      <w:pPr>
        <w:pStyle w:val="Style2"/>
        <w:keepNext w:val="0"/>
        <w:keepLines w:val="0"/>
        <w:widowControl w:val="0"/>
        <w:numPr>
          <w:ilvl w:val="0"/>
          <w:numId w:val="11"/>
        </w:numPr>
        <w:shd w:val="clear" w:color="auto" w:fill="auto"/>
        <w:tabs>
          <w:tab w:pos="701" w:val="left"/>
        </w:tabs>
        <w:bidi w:val="0"/>
        <w:spacing w:before="0" w:line="240" w:lineRule="auto"/>
        <w:ind w:left="720" w:right="0" w:hanging="720"/>
        <w:jc w:val="both"/>
      </w:pPr>
      <w:bookmarkStart w:id="26" w:name="bookmark26"/>
      <w:bookmarkEnd w:id="26"/>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numPr>
          <w:ilvl w:val="0"/>
          <w:numId w:val="11"/>
        </w:numPr>
        <w:shd w:val="clear" w:color="auto" w:fill="auto"/>
        <w:tabs>
          <w:tab w:pos="701" w:val="left"/>
        </w:tabs>
        <w:bidi w:val="0"/>
        <w:spacing w:before="0" w:after="440" w:line="240" w:lineRule="auto"/>
        <w:ind w:left="720" w:right="0" w:hanging="720"/>
        <w:jc w:val="both"/>
      </w:pPr>
      <w:bookmarkStart w:id="27" w:name="bookmark27"/>
      <w:bookmarkEnd w:id="27"/>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left"/>
      </w:pPr>
      <w:bookmarkStart w:id="30" w:name="bookmark30"/>
      <w:bookmarkEnd w:id="30"/>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left"/>
      </w:pPr>
      <w:bookmarkStart w:id="31" w:name="bookmark31"/>
      <w:bookmarkEnd w:id="31"/>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left"/>
      </w:pPr>
      <w:bookmarkStart w:id="32" w:name="bookmark32"/>
      <w:bookmarkEnd w:id="32"/>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2"/>
        <w:keepNext w:val="0"/>
        <w:keepLines w:val="0"/>
        <w:widowControl w:val="0"/>
        <w:numPr>
          <w:ilvl w:val="0"/>
          <w:numId w:val="13"/>
        </w:numPr>
        <w:shd w:val="clear" w:color="auto" w:fill="auto"/>
        <w:tabs>
          <w:tab w:pos="701" w:val="left"/>
        </w:tabs>
        <w:bidi w:val="0"/>
        <w:spacing w:before="0" w:line="240" w:lineRule="auto"/>
        <w:ind w:left="720" w:right="0" w:hanging="720"/>
        <w:jc w:val="left"/>
      </w:pPr>
      <w:bookmarkStart w:id="33" w:name="bookmark33"/>
      <w:bookmarkEnd w:id="33"/>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Ukončení smlouvy</w:t>
      </w:r>
    </w:p>
    <w:p>
      <w:pPr>
        <w:pStyle w:val="Style2"/>
        <w:keepNext w:val="0"/>
        <w:keepLines w:val="0"/>
        <w:widowControl w:val="0"/>
        <w:numPr>
          <w:ilvl w:val="0"/>
          <w:numId w:val="15"/>
        </w:numPr>
        <w:shd w:val="clear" w:color="auto" w:fill="auto"/>
        <w:tabs>
          <w:tab w:pos="702" w:val="left"/>
        </w:tabs>
        <w:bidi w:val="0"/>
        <w:spacing w:before="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Smluvní vztah je možno ukončit písemnou dohodou smluvních stran.</w:t>
      </w:r>
    </w:p>
    <w:p>
      <w:pPr>
        <w:pStyle w:val="Style2"/>
        <w:keepNext w:val="0"/>
        <w:keepLines w:val="0"/>
        <w:widowControl w:val="0"/>
        <w:numPr>
          <w:ilvl w:val="0"/>
          <w:numId w:val="15"/>
        </w:numPr>
        <w:shd w:val="clear" w:color="auto" w:fill="auto"/>
        <w:tabs>
          <w:tab w:pos="702" w:val="left"/>
        </w:tabs>
        <w:bidi w:val="0"/>
        <w:spacing w:before="0" w:line="240" w:lineRule="auto"/>
        <w:ind w:left="720" w:right="0" w:hanging="720"/>
        <w:jc w:val="left"/>
      </w:pPr>
      <w:bookmarkStart w:id="35" w:name="bookmark35"/>
      <w:bookmarkEnd w:id="35"/>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2"/>
        <w:keepNext w:val="0"/>
        <w:keepLines w:val="0"/>
        <w:widowControl w:val="0"/>
        <w:numPr>
          <w:ilvl w:val="0"/>
          <w:numId w:val="15"/>
        </w:numPr>
        <w:shd w:val="clear" w:color="auto" w:fill="auto"/>
        <w:tabs>
          <w:tab w:pos="702" w:val="left"/>
        </w:tabs>
        <w:bidi w:val="0"/>
        <w:spacing w:before="0" w:after="440" w:line="240" w:lineRule="auto"/>
        <w:ind w:left="720" w:right="0" w:hanging="720"/>
        <w:jc w:val="left"/>
      </w:pPr>
      <w:bookmarkStart w:id="36" w:name="bookmark36"/>
      <w:bookmarkEnd w:id="36"/>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w:t>
      </w:r>
    </w:p>
    <w:p>
      <w:pPr>
        <w:pStyle w:val="Style13"/>
        <w:keepNext/>
        <w:keepLines/>
        <w:widowControl w:val="0"/>
        <w:shd w:val="clear" w:color="auto" w:fill="auto"/>
        <w:bidi w:val="0"/>
        <w:spacing w:before="0" w:line="240" w:lineRule="auto"/>
        <w:ind w:left="0" w:right="0" w:firstLine="0"/>
        <w:jc w:val="center"/>
      </w:pPr>
      <w:bookmarkStart w:id="37" w:name="bookmark37"/>
      <w:bookmarkStart w:id="38" w:name="bookmark38"/>
      <w:bookmarkStart w:id="39" w:name="bookmark39"/>
      <w:r>
        <w:rPr>
          <w:color w:val="000000"/>
          <w:spacing w:val="0"/>
          <w:w w:val="100"/>
          <w:position w:val="0"/>
          <w:shd w:val="clear" w:color="auto" w:fill="auto"/>
          <w:lang w:val="cs-CZ" w:eastAsia="cs-CZ" w:bidi="cs-CZ"/>
        </w:rPr>
        <w:t>Compliance doložka</w:t>
      </w:r>
      <w:bookmarkEnd w:id="37"/>
      <w:bookmarkEnd w:id="38"/>
      <w:bookmarkEnd w:id="39"/>
    </w:p>
    <w:p>
      <w:pPr>
        <w:pStyle w:val="Style2"/>
        <w:keepNext w:val="0"/>
        <w:keepLines w:val="0"/>
        <w:widowControl w:val="0"/>
        <w:numPr>
          <w:ilvl w:val="0"/>
          <w:numId w:val="17"/>
        </w:numPr>
        <w:shd w:val="clear" w:color="auto" w:fill="auto"/>
        <w:tabs>
          <w:tab w:pos="702" w:val="left"/>
        </w:tabs>
        <w:bidi w:val="0"/>
        <w:spacing w:before="0" w:line="240" w:lineRule="auto"/>
        <w:ind w:left="720" w:right="0" w:hanging="720"/>
        <w:jc w:val="both"/>
      </w:pPr>
      <w:bookmarkStart w:id="40" w:name="bookmark40"/>
      <w:bookmarkEnd w:id="4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7"/>
        </w:numPr>
        <w:shd w:val="clear" w:color="auto" w:fill="auto"/>
        <w:tabs>
          <w:tab w:pos="702" w:val="left"/>
        </w:tabs>
        <w:bidi w:val="0"/>
        <w:spacing w:before="0" w:line="240" w:lineRule="auto"/>
        <w:ind w:left="720" w:right="0" w:hanging="720"/>
        <w:jc w:val="both"/>
      </w:pPr>
      <w:bookmarkStart w:id="41" w:name="bookmark41"/>
      <w:bookmarkEnd w:id="4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702" w:val="left"/>
        </w:tabs>
        <w:bidi w:val="0"/>
        <w:spacing w:before="0" w:after="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Koordinátor prohlašuje, že se seznámil se zásadami, hodnotami a cíli Compliance</w:t>
      </w:r>
    </w:p>
    <w:p>
      <w:pPr>
        <w:pStyle w:val="Style2"/>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2"/>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7"/>
        </w:numPr>
        <w:shd w:val="clear" w:color="auto" w:fill="auto"/>
        <w:tabs>
          <w:tab w:pos="702" w:val="left"/>
        </w:tabs>
        <w:bidi w:val="0"/>
        <w:spacing w:before="0" w:after="540" w:line="240" w:lineRule="auto"/>
        <w:ind w:left="720" w:right="0" w:hanging="720"/>
        <w:jc w:val="both"/>
      </w:pPr>
      <w:bookmarkStart w:id="43" w:name="bookmark43"/>
      <w:bookmarkEnd w:id="4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19"/>
        </w:numPr>
        <w:shd w:val="clear" w:color="auto" w:fill="auto"/>
        <w:tabs>
          <w:tab w:pos="702" w:val="left"/>
        </w:tabs>
        <w:bidi w:val="0"/>
        <w:spacing w:before="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Ve věcech touto smlouvou neupravených se smluvní vztah řídí občanským zákoníkem.</w:t>
      </w:r>
    </w:p>
    <w:p>
      <w:pPr>
        <w:pStyle w:val="Style2"/>
        <w:keepNext w:val="0"/>
        <w:keepLines w:val="0"/>
        <w:widowControl w:val="0"/>
        <w:numPr>
          <w:ilvl w:val="0"/>
          <w:numId w:val="19"/>
        </w:numPr>
        <w:shd w:val="clear" w:color="auto" w:fill="auto"/>
        <w:tabs>
          <w:tab w:pos="702" w:val="left"/>
        </w:tabs>
        <w:bidi w:val="0"/>
        <w:spacing w:before="0" w:line="240" w:lineRule="auto"/>
        <w:ind w:left="720" w:right="0" w:hanging="720"/>
        <w:jc w:val="left"/>
      </w:pPr>
      <w:bookmarkStart w:id="45" w:name="bookmark45"/>
      <w:bookmarkEnd w:id="45"/>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left"/>
      </w:pPr>
      <w:bookmarkStart w:id="46" w:name="bookmark46"/>
      <w:bookmarkEnd w:id="46"/>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left"/>
      </w:pPr>
      <w:bookmarkStart w:id="47" w:name="bookmark47"/>
      <w:bookmarkEnd w:id="4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left"/>
      </w:pPr>
      <w:bookmarkStart w:id="48" w:name="bookmark48"/>
      <w:bookmarkEnd w:id="48"/>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left"/>
      </w:pPr>
      <w:bookmarkStart w:id="49" w:name="bookmark49"/>
      <w:bookmarkEnd w:id="4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19"/>
        </w:numPr>
        <w:shd w:val="clear" w:color="auto" w:fill="auto"/>
        <w:tabs>
          <w:tab w:pos="704" w:val="left"/>
        </w:tabs>
        <w:bidi w:val="0"/>
        <w:spacing w:before="0" w:line="240" w:lineRule="auto"/>
        <w:ind w:left="0" w:right="0" w:firstLine="0"/>
        <w:jc w:val="left"/>
      </w:pPr>
      <w:bookmarkStart w:id="50" w:name="bookmark50"/>
      <w:bookmarkEnd w:id="5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2"/>
        <w:keepNext w:val="0"/>
        <w:keepLines w:val="0"/>
        <w:widowControl w:val="0"/>
        <w:numPr>
          <w:ilvl w:val="0"/>
          <w:numId w:val="19"/>
        </w:numPr>
        <w:shd w:val="clear" w:color="auto" w:fill="auto"/>
        <w:tabs>
          <w:tab w:pos="704" w:val="left"/>
        </w:tabs>
        <w:bidi w:val="0"/>
        <w:spacing w:before="0" w:line="240" w:lineRule="auto"/>
        <w:ind w:left="720" w:right="0" w:hanging="720"/>
        <w:jc w:val="both"/>
      </w:pPr>
      <w:bookmarkStart w:id="52" w:name="bookmark52"/>
      <w:bookmarkEnd w:id="52"/>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19"/>
        </w:numPr>
        <w:shd w:val="clear" w:color="auto" w:fill="auto"/>
        <w:tabs>
          <w:tab w:pos="750" w:val="left"/>
        </w:tabs>
        <w:bidi w:val="0"/>
        <w:spacing w:before="0" w:after="460" w:line="240" w:lineRule="auto"/>
        <w:ind w:left="720" w:right="0" w:hanging="720"/>
        <w:jc w:val="both"/>
      </w:pPr>
      <w:bookmarkStart w:id="53" w:name="bookmark53"/>
      <w:bookmarkEnd w:id="53"/>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0" w:line="240" w:lineRule="auto"/>
        <w:ind w:left="3300" w:right="0" w:firstLine="0"/>
        <w:jc w:val="left"/>
        <w:sectPr>
          <w:headerReference w:type="default" r:id="rId5"/>
          <w:footerReference w:type="default" r:id="rId6"/>
          <w:footnotePr>
            <w:pos w:val="pageBottom"/>
            <w:numFmt w:val="decimal"/>
            <w:numRestart w:val="continuous"/>
          </w:footnotePr>
          <w:pgSz w:w="11909" w:h="16838"/>
          <w:pgMar w:top="1353" w:left="1392" w:right="1104" w:bottom="1430" w:header="0"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887095</wp:posOffset>
                </wp:positionH>
                <wp:positionV relativeFrom="paragraph">
                  <wp:posOffset>12700</wp:posOffset>
                </wp:positionV>
                <wp:extent cx="948055" cy="387350"/>
                <wp:wrapSquare wrapText="bothSides"/>
                <wp:docPr id="5" name="Shape 5"/>
                <a:graphic xmlns:a="http://schemas.openxmlformats.org/drawingml/2006/main">
                  <a:graphicData uri="http://schemas.microsoft.com/office/word/2010/wordprocessingShape">
                    <wps:wsp>
                      <wps:cNvSpPr txBox="1"/>
                      <wps:spPr>
                        <a:xfrm>
                          <a:ext cx="94805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za objednatele</w:t>
                            </w:r>
                          </w:p>
                        </w:txbxContent>
                      </wps:txbx>
                      <wps:bodyPr lIns="0" tIns="0" rIns="0" bIns="0">
                        <a:noAutoFit/>
                      </wps:bodyPr>
                    </wps:wsp>
                  </a:graphicData>
                </a:graphic>
              </wp:anchor>
            </w:drawing>
          </mc:Choice>
          <mc:Fallback>
            <w:pict>
              <v:shape id="_x0000_s1031" type="#_x0000_t202" style="position:absolute;margin-left:69.850000000000009pt;margin-top:1.pt;width:74.650000000000006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za objednatele</w:t>
                      </w:r>
                    </w:p>
                  </w:txbxContent>
                </v:textbox>
                <w10:wrap type="square" anchorx="page"/>
              </v:shape>
            </w:pict>
          </mc:Fallback>
        </mc:AlternateContent>
      </w:r>
      <w:r>
        <w:rPr>
          <w:color w:val="000000"/>
          <w:spacing w:val="0"/>
          <w:w w:val="100"/>
          <w:position w:val="0"/>
          <w:shd w:val="clear" w:color="auto" w:fill="auto"/>
          <w:lang w:val="cs-CZ" w:eastAsia="cs-CZ" w:bidi="cs-CZ"/>
        </w:rPr>
        <w:t>V Chomutově za koordinátora</w:t>
      </w: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 společnosti</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8" w:left="1394" w:right="2863" w:bottom="1368" w:header="0" w:footer="3" w:gutter="0"/>
          <w:cols w:num="2" w:space="2256"/>
          <w:noEndnote/>
          <w:rtlGutter w:val="0"/>
          <w:docGrid w:linePitch="360"/>
        </w:sectPr>
      </w:pPr>
      <w:r>
        <w:rPr>
          <w:color w:val="000000"/>
          <w:spacing w:val="0"/>
          <w:w w:val="100"/>
          <w:position w:val="0"/>
          <w:shd w:val="clear" w:color="auto" w:fill="auto"/>
          <w:lang w:val="cs-CZ" w:eastAsia="cs-CZ" w:bidi="cs-CZ"/>
        </w:rPr>
        <w:t>SINNET.EU s.r.o.</w:t>
      </w:r>
    </w:p>
    <w:sectPr>
      <w:footnotePr>
        <w:pos w:val="pageBottom"/>
        <w:numFmt w:val="decimal"/>
        <w:numRestart w:val="continuous"/>
      </w:footnotePr>
      <w:type w:val="continuous"/>
      <w:pgSz w:w="11909" w:h="16838"/>
      <w:pgMar w:top="1368" w:left="1394" w:right="2863" w:bottom="1368" w:header="0" w:footer="3" w:gutter="0"/>
      <w:cols w:num="2" w:space="225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6684010</wp:posOffset>
              </wp:positionH>
              <wp:positionV relativeFrom="page">
                <wp:posOffset>9970135</wp:posOffset>
              </wp:positionV>
              <wp:extent cx="158750" cy="155575"/>
              <wp:wrapNone/>
              <wp:docPr id="3" name="Shape 3"/>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526.29999999999995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6114415</wp:posOffset>
              </wp:positionH>
              <wp:positionV relativeFrom="page">
                <wp:posOffset>438785</wp:posOffset>
              </wp:positionV>
              <wp:extent cx="725170" cy="140335"/>
              <wp:wrapNone/>
              <wp:docPr id="1" name="Shape 1"/>
              <a:graphic xmlns:a="http://schemas.openxmlformats.org/drawingml/2006/main">
                <a:graphicData uri="http://schemas.microsoft.com/office/word/2010/wordprocessingShape">
                  <wps:wsp>
                    <wps:cNvSpPr txBox="1"/>
                    <wps:spPr>
                      <a:xfrm>
                        <a:ext cx="725170" cy="1403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1.44999999999999pt;margin-top:34.550000000000004pt;width:57.10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502 183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500"/>
      <w:jc w:val="center"/>
    </w:pPr>
    <w:rPr>
      <w:rFonts w:ascii="Arial" w:eastAsia="Arial" w:hAnsi="Arial" w:cs="Arial"/>
      <w:b/>
      <w:bCs/>
      <w:i w:val="0"/>
      <w:iCs w:val="0"/>
      <w:smallCaps w:val="0"/>
      <w:strike w:val="0"/>
      <w:sz w:val="28"/>
      <w:szCs w:val="28"/>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